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color w:val="000000"/>
        </w:rPr>
      </w:pPr>
      <w:r>
        <w:rPr>
          <w:rFonts w:cs="Times New Roman" w:ascii="Times New Roman" w:hAnsi="Times New Roman"/>
          <w:b/>
          <w:bCs/>
          <w:color w:val="000000"/>
          <w:sz w:val="28"/>
          <w:szCs w:val="28"/>
          <w:lang w:val="en-US"/>
        </w:rPr>
        <w:t>Supplementary Materials</w:t>
      </w:r>
    </w:p>
    <w:p>
      <w:pPr>
        <w:pStyle w:val="Normal"/>
        <w:spacing w:lineRule="auto" w:line="240"/>
        <w:rPr>
          <w:color w:val="000000"/>
        </w:rPr>
      </w:pPr>
      <w:r>
        <w:rPr>
          <w:rFonts w:cs="Times New Roman" w:ascii="Times New Roman" w:hAnsi="Times New Roman"/>
          <w:b/>
          <w:bCs/>
          <w:color w:val="000000"/>
          <w:lang w:val="en-GB"/>
        </w:rPr>
        <w:t>Table S1.</w:t>
      </w:r>
      <w:r>
        <w:rPr>
          <w:rFonts w:cs="Times New Roman" w:ascii="Times New Roman" w:hAnsi="Times New Roman"/>
          <w:color w:val="000000"/>
          <w:lang w:val="en-GB"/>
        </w:rPr>
        <w:t xml:space="preserve"> Demographic, clinical, and biomarker features of the subsample with available GFAP measurement</w:t>
      </w:r>
    </w:p>
    <w:tbl>
      <w:tblPr>
        <w:tblStyle w:val="PlainTable3"/>
        <w:tblW w:w="10590" w:type="dxa"/>
        <w:jc w:val="center"/>
        <w:tblInd w:w="0" w:type="dxa"/>
        <w:tblLayout w:type="fixed"/>
        <w:tblCellMar>
          <w:top w:w="0" w:type="dxa"/>
          <w:left w:w="108" w:type="dxa"/>
          <w:bottom w:w="0" w:type="dxa"/>
          <w:right w:w="108" w:type="dxa"/>
        </w:tblCellMar>
        <w:tblLook w:firstRow="1" w:noVBand="1" w:lastRow="0" w:firstColumn="0" w:lastColumn="0" w:noHBand="0" w:val="0420"/>
      </w:tblPr>
      <w:tblGrid>
        <w:gridCol w:w="3046"/>
        <w:gridCol w:w="1867"/>
        <w:gridCol w:w="3028"/>
        <w:gridCol w:w="2648"/>
      </w:tblGrid>
      <w:tr>
        <w:trPr>
          <w:trHeight w:val="316" w:hRule="exact"/>
          <w:cnfStyle w:val="100000000000" w:firstRow="1" w:lastRow="0" w:firstColumn="0" w:lastColumn="0" w:oddVBand="0" w:evenVBand="0" w:oddHBand="0" w:evenHBand="0" w:firstRowFirstColumn="0" w:firstRowLastColumn="0" w:lastRowFirstColumn="0" w:lastRowLastColumn="0"/>
        </w:trPr>
        <w:tc>
          <w:tcPr>
            <w:tcW w:w="3046" w:type="dxa"/>
            <w:tcBorders>
              <w:bottom w:val="single" w:sz="4" w:space="0" w:color="7F7F7F"/>
            </w:tcBorders>
            <w:vAlign w:val="center"/>
          </w:tcPr>
          <w:p>
            <w:pPr>
              <w:pStyle w:val="Normal"/>
              <w:widowControl/>
              <w:spacing w:lineRule="auto" w:line="480" w:before="0" w:after="160"/>
              <w:jc w:val="center"/>
              <w:rPr>
                <w:rFonts w:ascii="Times New Roman" w:hAnsi="Times New Roman" w:eastAsia="Aptos" w:cs="Times New Roman"/>
                <w:b/>
                <w:bCs/>
                <w:caps/>
                <w:color w:val="000000"/>
                <w:kern w:val="0"/>
                <w:sz w:val="20"/>
                <w:szCs w:val="20"/>
                <w:lang w:val="en-US" w:eastAsia="en-US" w:bidi="ar-SA"/>
              </w:rPr>
            </w:pPr>
            <w:r>
              <w:rPr>
                <w:rFonts w:eastAsia="Aptos" w:cs="Times New Roman" w:ascii="Times New Roman" w:hAnsi="Times New Roman"/>
                <w:b/>
                <w:bCs/>
                <w:caps/>
                <w:color w:val="000000"/>
                <w:kern w:val="0"/>
                <w:sz w:val="20"/>
                <w:szCs w:val="20"/>
                <w:lang w:val="en-US" w:eastAsia="en-US" w:bidi="ar-SA"/>
              </w:rPr>
            </w:r>
          </w:p>
        </w:tc>
        <w:tc>
          <w:tcPr>
            <w:tcW w:w="1867" w:type="dxa"/>
            <w:tcBorders>
              <w:bottom w:val="single" w:sz="4" w:space="0" w:color="7F7F7F"/>
            </w:tcBorders>
            <w:vAlign w:val="center"/>
          </w:tcPr>
          <w:p>
            <w:pPr>
              <w:pStyle w:val="Normal"/>
              <w:widowControl/>
              <w:spacing w:lineRule="auto" w:line="480" w:before="0" w:after="160"/>
              <w:jc w:val="center"/>
              <w:rPr>
                <w:rFonts w:ascii="Aptos" w:hAnsi="Aptos" w:eastAsia="Aptos" w:cs=""/>
                <w:b/>
                <w:bCs/>
                <w:caps/>
                <w:color w:val="000000"/>
                <w:kern w:val="0"/>
                <w:sz w:val="22"/>
                <w:szCs w:val="22"/>
                <w:lang w:val="it-IT" w:eastAsia="en-US" w:bidi="ar-SA"/>
              </w:rPr>
            </w:pPr>
            <w:r>
              <w:rPr>
                <w:rFonts w:eastAsia="Aptos" w:cs="Times New Roman" w:ascii="Times New Roman" w:hAnsi="Times New Roman"/>
                <w:b/>
                <w:bCs/>
                <w:caps/>
                <w:color w:val="000000"/>
                <w:kern w:val="0"/>
                <w:sz w:val="20"/>
                <w:szCs w:val="20"/>
                <w:lang w:val="en-US" w:eastAsia="en-US" w:bidi="ar-SA"/>
              </w:rPr>
              <w:t>Females</w:t>
            </w:r>
          </w:p>
          <w:p>
            <w:pPr>
              <w:pStyle w:val="Normal"/>
              <w:widowControl/>
              <w:spacing w:lineRule="auto" w:line="480" w:before="0" w:after="160"/>
              <w:jc w:val="center"/>
              <w:rPr>
                <w:rFonts w:ascii="Times New Roman" w:hAnsi="Times New Roman" w:eastAsia="Aptos" w:cs="Times New Roman"/>
                <w:b/>
                <w:bCs/>
                <w:caps/>
                <w:color w:val="000000"/>
                <w:kern w:val="0"/>
                <w:sz w:val="20"/>
                <w:szCs w:val="20"/>
                <w:lang w:val="it-IT" w:eastAsia="en-US" w:bidi="ar-SA"/>
              </w:rPr>
            </w:pPr>
            <w:r>
              <w:rPr>
                <w:rFonts w:eastAsia="Aptos" w:cs="Times New Roman" w:ascii="Times New Roman" w:hAnsi="Times New Roman"/>
                <w:b/>
                <w:bCs/>
                <w:caps/>
                <w:color w:val="000000"/>
                <w:kern w:val="0"/>
                <w:sz w:val="20"/>
                <w:szCs w:val="20"/>
                <w:lang w:val="it-IT" w:eastAsia="en-US" w:bidi="ar-SA"/>
              </w:rPr>
            </w:r>
          </w:p>
        </w:tc>
        <w:tc>
          <w:tcPr>
            <w:tcW w:w="3028" w:type="dxa"/>
            <w:tcBorders>
              <w:bottom w:val="single" w:sz="4" w:space="0" w:color="7F7F7F"/>
            </w:tcBorders>
            <w:vAlign w:val="center"/>
          </w:tcPr>
          <w:p>
            <w:pPr>
              <w:pStyle w:val="Normal"/>
              <w:widowControl/>
              <w:spacing w:lineRule="auto" w:line="480" w:before="0" w:after="160"/>
              <w:jc w:val="center"/>
              <w:rPr>
                <w:rFonts w:ascii="Aptos" w:hAnsi="Aptos" w:eastAsia="Aptos" w:cs=""/>
                <w:b/>
                <w:bCs/>
                <w:caps/>
                <w:color w:val="000000"/>
                <w:kern w:val="0"/>
                <w:sz w:val="22"/>
                <w:szCs w:val="22"/>
                <w:lang w:val="it-IT" w:eastAsia="en-US" w:bidi="ar-SA"/>
              </w:rPr>
            </w:pPr>
            <w:r>
              <w:rPr>
                <w:rFonts w:eastAsia="Aptos" w:cs="Times New Roman" w:ascii="Times New Roman" w:hAnsi="Times New Roman"/>
                <w:b/>
                <w:bCs/>
                <w:caps/>
                <w:color w:val="000000"/>
                <w:kern w:val="0"/>
                <w:sz w:val="20"/>
                <w:szCs w:val="20"/>
                <w:lang w:val="en-US" w:eastAsia="en-US" w:bidi="ar-SA"/>
              </w:rPr>
              <w:t>Males</w:t>
            </w:r>
          </w:p>
        </w:tc>
        <w:tc>
          <w:tcPr>
            <w:tcW w:w="2648" w:type="dxa"/>
            <w:tcBorders>
              <w:bottom w:val="single" w:sz="4" w:space="0" w:color="7F7F7F"/>
            </w:tcBorders>
            <w:vAlign w:val="center"/>
          </w:tcPr>
          <w:p>
            <w:pPr>
              <w:pStyle w:val="Normal"/>
              <w:widowControl/>
              <w:spacing w:lineRule="auto" w:line="480" w:before="0" w:after="160"/>
              <w:jc w:val="center"/>
              <w:rPr>
                <w:rFonts w:ascii="Aptos" w:hAnsi="Aptos" w:eastAsia="Aptos" w:cs=""/>
                <w:b/>
                <w:bCs/>
                <w:caps/>
                <w:color w:val="000000"/>
                <w:kern w:val="0"/>
                <w:sz w:val="22"/>
                <w:szCs w:val="22"/>
                <w:lang w:val="it-IT" w:eastAsia="en-US" w:bidi="ar-SA"/>
              </w:rPr>
            </w:pPr>
            <w:r>
              <w:rPr>
                <w:rFonts w:eastAsia="Aptos" w:cs="Times New Roman" w:ascii="Times New Roman" w:hAnsi="Times New Roman"/>
                <w:b/>
                <w:bCs/>
                <w:caps/>
                <w:color w:val="000000"/>
                <w:kern w:val="0"/>
                <w:sz w:val="20"/>
                <w:szCs w:val="20"/>
                <w:lang w:val="en-US" w:eastAsia="en-US" w:bidi="ar-SA"/>
              </w:rPr>
              <w:t>p-value</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6" w:type="dxa"/>
            <w:tcBorders/>
            <w:shd w:color="auto" w:fill="F2F2F2" w:themeFill="background1" w:themeFillShade="f2" w:val="clear"/>
            <w:vAlign w:val="center"/>
          </w:tcPr>
          <w:p>
            <w:pPr>
              <w:pStyle w:val="Normal"/>
              <w:widowControl/>
              <w:spacing w:lineRule="auto" w:line="480" w:before="0" w:after="0"/>
              <w:jc w:val="center"/>
              <w:rPr>
                <w:rFonts w:ascii="Times New Roman" w:hAnsi="Times New Roman" w:eastAsia="Aptos" w:cs="Times New Roman"/>
                <w:color w:val="000000"/>
                <w:kern w:val="0"/>
                <w:sz w:val="20"/>
                <w:szCs w:val="20"/>
                <w:lang w:val="en-US" w:eastAsia="en-US" w:bidi="ar-SA"/>
              </w:rPr>
            </w:pPr>
            <w:r>
              <w:rPr>
                <w:rFonts w:eastAsia="Aptos" w:cs="Times New Roman" w:ascii="Times New Roman" w:hAnsi="Times New Roman"/>
                <w:color w:val="000000"/>
                <w:kern w:val="0"/>
                <w:sz w:val="20"/>
                <w:szCs w:val="20"/>
                <w:lang w:val="en-US" w:eastAsia="en-US" w:bidi="ar-SA"/>
              </w:rPr>
            </w:r>
          </w:p>
        </w:tc>
        <w:tc>
          <w:tcPr>
            <w:tcW w:w="1867" w:type="dxa"/>
            <w:tcBorders/>
            <w:shd w:color="auto" w:fill="F2F2F2" w:themeFill="background1" w:themeFillShade="f2" w:val="clear"/>
            <w:vAlign w:val="center"/>
          </w:tcPr>
          <w:p>
            <w:pPr>
              <w:pStyle w:val="Normal"/>
              <w:widowControl/>
              <w:spacing w:lineRule="auto" w:line="480" w:before="0" w:after="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N=67</w:t>
            </w:r>
          </w:p>
        </w:tc>
        <w:tc>
          <w:tcPr>
            <w:tcW w:w="3028" w:type="dxa"/>
            <w:tcBorders/>
            <w:shd w:color="auto" w:fill="F2F2F2" w:themeFill="background1" w:themeFillShade="f2" w:val="clear"/>
            <w:vAlign w:val="center"/>
          </w:tcPr>
          <w:p>
            <w:pPr>
              <w:pStyle w:val="Normal"/>
              <w:widowControl/>
              <w:spacing w:lineRule="auto" w:line="480" w:before="0" w:after="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N=68</w:t>
            </w:r>
          </w:p>
        </w:tc>
        <w:tc>
          <w:tcPr>
            <w:tcW w:w="2648" w:type="dxa"/>
            <w:tcBorders/>
            <w:shd w:color="auto" w:fill="F2F2F2" w:themeFill="background1" w:themeFillShade="f2" w:val="clear"/>
            <w:vAlign w:val="center"/>
          </w:tcPr>
          <w:p>
            <w:pPr>
              <w:pStyle w:val="Normal"/>
              <w:widowControl/>
              <w:spacing w:lineRule="auto" w:line="480" w:before="0" w:after="0"/>
              <w:jc w:val="center"/>
              <w:rPr>
                <w:rFonts w:ascii="Times New Roman" w:hAnsi="Times New Roman" w:eastAsia="Aptos" w:cs="Times New Roman"/>
                <w:color w:val="000000"/>
                <w:kern w:val="0"/>
                <w:sz w:val="20"/>
                <w:szCs w:val="20"/>
                <w:lang w:val="en-US" w:eastAsia="en-US" w:bidi="ar-SA"/>
              </w:rPr>
            </w:pPr>
            <w:r>
              <w:rPr>
                <w:rFonts w:eastAsia="Aptos" w:cs="Times New Roman" w:ascii="Times New Roman" w:hAnsi="Times New Roman"/>
                <w:color w:val="000000"/>
                <w:kern w:val="0"/>
                <w:sz w:val="20"/>
                <w:szCs w:val="20"/>
                <w:lang w:val="en-US" w:eastAsia="en-US" w:bidi="ar-SA"/>
              </w:rPr>
            </w:r>
          </w:p>
        </w:tc>
      </w:tr>
      <w:tr>
        <w:trPr>
          <w:trHeight w:val="316" w:hRule="exact"/>
        </w:trPr>
        <w:tc>
          <w:tcPr>
            <w:tcW w:w="3046" w:type="dxa"/>
            <w:tcBorders/>
            <w:vAlign w:val="center"/>
          </w:tcPr>
          <w:p>
            <w:pPr>
              <w:pStyle w:val="Normal"/>
              <w:widowControl/>
              <w:spacing w:lineRule="auto" w:line="480" w:before="0" w:after="0"/>
              <w:jc w:val="left"/>
              <w:rPr>
                <w:rFonts w:ascii="Aptos" w:hAnsi="Aptos" w:eastAsia="Aptos" w:cs=""/>
                <w:color w:val="000000"/>
                <w:kern w:val="0"/>
                <w:sz w:val="22"/>
                <w:szCs w:val="22"/>
                <w:lang w:val="it-IT" w:eastAsia="en-US" w:bidi="ar-SA"/>
              </w:rPr>
            </w:pPr>
            <w:r>
              <w:rPr>
                <w:rFonts w:eastAsia="Aptos" w:cs="Times New Roman" w:ascii="Times New Roman" w:hAnsi="Times New Roman"/>
                <w:b/>
                <w:bCs/>
                <w:color w:val="000000"/>
                <w:kern w:val="0"/>
                <w:sz w:val="20"/>
                <w:szCs w:val="20"/>
                <w:lang w:val="it-IT" w:eastAsia="en-US" w:bidi="ar-SA"/>
              </w:rPr>
              <w:t xml:space="preserve">Clinical features </w:t>
            </w:r>
          </w:p>
        </w:tc>
        <w:tc>
          <w:tcPr>
            <w:tcW w:w="1867" w:type="dxa"/>
            <w:tcBorders/>
            <w:vAlign w:val="center"/>
          </w:tcPr>
          <w:p>
            <w:pPr>
              <w:pStyle w:val="Normal"/>
              <w:widowControl/>
              <w:spacing w:lineRule="auto" w:line="480" w:before="0" w:after="0"/>
              <w:jc w:val="center"/>
              <w:rPr>
                <w:rFonts w:ascii="Times New Roman" w:hAnsi="Times New Roman" w:eastAsia="Aptos" w:cs="Times New Roman"/>
                <w:b/>
                <w:bCs/>
                <w:color w:val="000000"/>
                <w:kern w:val="0"/>
                <w:sz w:val="20"/>
                <w:szCs w:val="20"/>
                <w:lang w:val="en-US" w:eastAsia="en-US" w:bidi="ar-SA"/>
              </w:rPr>
            </w:pPr>
            <w:r>
              <w:rPr>
                <w:rFonts w:eastAsia="Aptos" w:cs="Times New Roman" w:ascii="Times New Roman" w:hAnsi="Times New Roman"/>
                <w:b/>
                <w:bCs/>
                <w:color w:val="000000"/>
                <w:kern w:val="0"/>
                <w:sz w:val="20"/>
                <w:szCs w:val="20"/>
                <w:lang w:val="en-US" w:eastAsia="en-US" w:bidi="ar-SA"/>
              </w:rPr>
            </w:r>
          </w:p>
        </w:tc>
        <w:tc>
          <w:tcPr>
            <w:tcW w:w="3028" w:type="dxa"/>
            <w:tcBorders/>
            <w:vAlign w:val="center"/>
          </w:tcPr>
          <w:p>
            <w:pPr>
              <w:pStyle w:val="Normal"/>
              <w:widowControl/>
              <w:spacing w:lineRule="auto" w:line="480" w:before="0" w:after="0"/>
              <w:jc w:val="center"/>
              <w:rPr>
                <w:rFonts w:ascii="Times New Roman" w:hAnsi="Times New Roman" w:eastAsia="Aptos" w:cs="Times New Roman"/>
                <w:b/>
                <w:bCs/>
                <w:color w:val="000000"/>
                <w:kern w:val="0"/>
                <w:sz w:val="20"/>
                <w:szCs w:val="20"/>
                <w:lang w:val="en-US" w:eastAsia="en-US" w:bidi="ar-SA"/>
              </w:rPr>
            </w:pPr>
            <w:r>
              <w:rPr>
                <w:rFonts w:eastAsia="Aptos" w:cs="Times New Roman" w:ascii="Times New Roman" w:hAnsi="Times New Roman"/>
                <w:b/>
                <w:bCs/>
                <w:color w:val="000000"/>
                <w:kern w:val="0"/>
                <w:sz w:val="20"/>
                <w:szCs w:val="20"/>
                <w:lang w:val="en-US" w:eastAsia="en-US" w:bidi="ar-SA"/>
              </w:rPr>
            </w:r>
          </w:p>
        </w:tc>
        <w:tc>
          <w:tcPr>
            <w:tcW w:w="2648" w:type="dxa"/>
            <w:tcBorders/>
            <w:vAlign w:val="center"/>
          </w:tcPr>
          <w:p>
            <w:pPr>
              <w:pStyle w:val="Normal"/>
              <w:widowControl/>
              <w:spacing w:lineRule="auto" w:line="480" w:before="0" w:after="0"/>
              <w:jc w:val="center"/>
              <w:rPr>
                <w:rFonts w:ascii="Times New Roman" w:hAnsi="Times New Roman" w:eastAsia="Aptos" w:cs="Times New Roman"/>
                <w:color w:val="000000"/>
                <w:kern w:val="0"/>
                <w:sz w:val="20"/>
                <w:szCs w:val="20"/>
                <w:lang w:val="en-US" w:eastAsia="en-US" w:bidi="ar-SA"/>
              </w:rPr>
            </w:pPr>
            <w:r>
              <w:rPr>
                <w:rFonts w:eastAsia="Aptos" w:cs="Times New Roman" w:ascii="Times New Roman" w:hAnsi="Times New Roman"/>
                <w:color w:val="000000"/>
                <w:kern w:val="0"/>
                <w:sz w:val="20"/>
                <w:szCs w:val="20"/>
                <w:lang w:val="en-US" w:eastAsia="en-US" w:bidi="ar-SA"/>
              </w:rPr>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6"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Age (years)</w:t>
            </w:r>
          </w:p>
        </w:tc>
        <w:tc>
          <w:tcPr>
            <w:tcW w:w="1867" w:type="dxa"/>
            <w:tcBorders/>
            <w:shd w:color="auto" w:fill="F2F2F2" w:themeFill="background1" w:themeFillShade="f2" w:val="clear"/>
          </w:tcPr>
          <w:p>
            <w:pPr>
              <w:pStyle w:val="Normal"/>
              <w:widowControl/>
              <w:spacing w:lineRule="auto" w:line="480" w:before="0" w:after="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69.1 (10.2)     </w:t>
            </w:r>
          </w:p>
        </w:tc>
        <w:tc>
          <w:tcPr>
            <w:tcW w:w="3028" w:type="dxa"/>
            <w:tcBorders/>
            <w:shd w:color="auto" w:fill="F2F2F2" w:themeFill="background1" w:themeFillShade="f2" w:val="clear"/>
          </w:tcPr>
          <w:p>
            <w:pPr>
              <w:pStyle w:val="Normal"/>
              <w:widowControl/>
              <w:spacing w:lineRule="auto" w:line="480" w:before="0" w:after="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71.3 (8.68)     </w:t>
            </w:r>
          </w:p>
        </w:tc>
        <w:tc>
          <w:tcPr>
            <w:tcW w:w="2648" w:type="dxa"/>
            <w:tcBorders/>
            <w:shd w:color="auto" w:fill="F2F2F2" w:themeFill="background1" w:themeFillShade="f2" w:val="clear"/>
          </w:tcPr>
          <w:p>
            <w:pPr>
              <w:pStyle w:val="Normal"/>
              <w:widowControl/>
              <w:spacing w:lineRule="auto" w:line="480" w:before="0" w:after="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0.196  </w:t>
            </w:r>
          </w:p>
        </w:tc>
      </w:tr>
      <w:tr>
        <w:trPr>
          <w:trHeight w:val="316" w:hRule="exact"/>
        </w:trPr>
        <w:tc>
          <w:tcPr>
            <w:tcW w:w="3046"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Education (years)</w:t>
            </w:r>
          </w:p>
        </w:tc>
        <w:tc>
          <w:tcPr>
            <w:tcW w:w="1867"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13.5 (4.33)     </w:t>
            </w:r>
          </w:p>
        </w:tc>
        <w:tc>
          <w:tcPr>
            <w:tcW w:w="302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14.8 (3.98)     </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0.066  </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6" w:type="dxa"/>
            <w:tcBorders/>
            <w:shd w:color="auto" w:fill="F2F2F2" w:themeFill="background1" w:themeFillShade="f2" w:val="clear"/>
            <w:vAlign w:val="center"/>
          </w:tcPr>
          <w:p>
            <w:pPr>
              <w:pStyle w:val="Normal"/>
              <w:widowControl/>
              <w:spacing w:lineRule="auto" w:line="480" w:before="0" w:after="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Caucasian ethnicity</w:t>
            </w:r>
          </w:p>
        </w:tc>
        <w:tc>
          <w:tcPr>
            <w:tcW w:w="1867" w:type="dxa"/>
            <w:tcBorders/>
            <w:shd w:color="auto" w:fill="F2F2F2" w:themeFill="background1" w:themeFillShade="f2" w:val="clear"/>
            <w:vAlign w:val="center"/>
          </w:tcPr>
          <w:p>
            <w:pPr>
              <w:pStyle w:val="Normal"/>
              <w:widowControl/>
              <w:spacing w:lineRule="auto" w:line="480" w:before="0" w:after="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82%</w:t>
            </w:r>
          </w:p>
        </w:tc>
        <w:tc>
          <w:tcPr>
            <w:tcW w:w="3028" w:type="dxa"/>
            <w:tcBorders/>
            <w:shd w:color="auto" w:fill="F2F2F2" w:themeFill="background1" w:themeFillShade="f2" w:val="clear"/>
            <w:vAlign w:val="center"/>
          </w:tcPr>
          <w:p>
            <w:pPr>
              <w:pStyle w:val="Normal"/>
              <w:widowControl/>
              <w:spacing w:lineRule="auto" w:line="480" w:before="0" w:after="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90%</w:t>
            </w:r>
          </w:p>
        </w:tc>
        <w:tc>
          <w:tcPr>
            <w:tcW w:w="2648" w:type="dxa"/>
            <w:tcBorders/>
            <w:shd w:color="auto" w:fill="F2F2F2" w:themeFill="background1" w:themeFillShade="f2" w:val="clear"/>
            <w:vAlign w:val="center"/>
          </w:tcPr>
          <w:p>
            <w:pPr>
              <w:pStyle w:val="Normal"/>
              <w:widowControl/>
              <w:spacing w:lineRule="auto" w:line="480" w:before="0" w:after="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0.487</w:t>
            </w:r>
          </w:p>
        </w:tc>
      </w:tr>
      <w:tr>
        <w:trPr>
          <w:trHeight w:val="316" w:hRule="exact"/>
        </w:trPr>
        <w:tc>
          <w:tcPr>
            <w:tcW w:w="3046"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Clinical stage (CU/MCI/DEM)</w:t>
            </w:r>
          </w:p>
        </w:tc>
        <w:tc>
          <w:tcPr>
            <w:tcW w:w="1867"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24/35/8</w:t>
            </w:r>
          </w:p>
        </w:tc>
        <w:tc>
          <w:tcPr>
            <w:tcW w:w="3028"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17/43/8</w:t>
            </w:r>
          </w:p>
        </w:tc>
        <w:tc>
          <w:tcPr>
            <w:tcW w:w="2648"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0.345</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6"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MMSE</w:t>
            </w:r>
          </w:p>
        </w:tc>
        <w:tc>
          <w:tcPr>
            <w:tcW w:w="1867"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25.3 (3.46)     </w:t>
            </w:r>
          </w:p>
        </w:tc>
        <w:tc>
          <w:tcPr>
            <w:tcW w:w="302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26.2 (4.35)     </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0.268  </w:t>
            </w:r>
          </w:p>
        </w:tc>
      </w:tr>
      <w:tr>
        <w:trPr>
          <w:trHeight w:val="316" w:hRule="exact"/>
        </w:trPr>
        <w:tc>
          <w:tcPr>
            <w:tcW w:w="3046"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APOE ε4 carriership (%)</w:t>
            </w:r>
          </w:p>
        </w:tc>
        <w:tc>
          <w:tcPr>
            <w:tcW w:w="1867"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44.6%</w:t>
            </w:r>
          </w:p>
        </w:tc>
        <w:tc>
          <w:tcPr>
            <w:tcW w:w="302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30.8%</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0.148</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6"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Amyloid positivity (%)</w:t>
            </w:r>
          </w:p>
        </w:tc>
        <w:tc>
          <w:tcPr>
            <w:tcW w:w="1867"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54%</w:t>
            </w:r>
          </w:p>
        </w:tc>
        <w:tc>
          <w:tcPr>
            <w:tcW w:w="302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52.4%</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w:t>
            </w:r>
          </w:p>
        </w:tc>
      </w:tr>
      <w:tr>
        <w:trPr>
          <w:trHeight w:val="316" w:hRule="exact"/>
        </w:trPr>
        <w:tc>
          <w:tcPr>
            <w:tcW w:w="3046"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b/>
                <w:bCs/>
                <w:color w:val="000000"/>
                <w:kern w:val="0"/>
                <w:sz w:val="20"/>
                <w:szCs w:val="20"/>
                <w:lang w:val="en-US" w:eastAsia="en-US" w:bidi="ar-SA"/>
              </w:rPr>
              <w:t>Biomarkers</w:t>
            </w:r>
          </w:p>
        </w:tc>
        <w:tc>
          <w:tcPr>
            <w:tcW w:w="1867" w:type="dxa"/>
            <w:tcBorders/>
            <w:vAlign w:val="center"/>
          </w:tcPr>
          <w:p>
            <w:pPr>
              <w:pStyle w:val="Normal"/>
              <w:widowControl/>
              <w:spacing w:lineRule="auto" w:line="480" w:before="0" w:after="160"/>
              <w:jc w:val="center"/>
              <w:rPr>
                <w:rFonts w:ascii="Times New Roman" w:hAnsi="Times New Roman" w:eastAsia="Aptos" w:cs="Times New Roman"/>
                <w:color w:val="000000"/>
                <w:kern w:val="0"/>
                <w:sz w:val="20"/>
                <w:szCs w:val="20"/>
                <w:lang w:val="en-US" w:eastAsia="en-US" w:bidi="ar-SA"/>
              </w:rPr>
            </w:pPr>
            <w:r>
              <w:rPr>
                <w:rFonts w:eastAsia="Aptos" w:cs="Times New Roman" w:ascii="Times New Roman" w:hAnsi="Times New Roman"/>
                <w:color w:val="000000"/>
                <w:kern w:val="0"/>
                <w:sz w:val="20"/>
                <w:szCs w:val="20"/>
                <w:lang w:val="en-US" w:eastAsia="en-US" w:bidi="ar-SA"/>
              </w:rPr>
            </w:r>
          </w:p>
        </w:tc>
        <w:tc>
          <w:tcPr>
            <w:tcW w:w="3028" w:type="dxa"/>
            <w:tcBorders/>
            <w:vAlign w:val="center"/>
          </w:tcPr>
          <w:p>
            <w:pPr>
              <w:pStyle w:val="Normal"/>
              <w:widowControl/>
              <w:spacing w:lineRule="auto" w:line="480" w:before="0" w:after="160"/>
              <w:jc w:val="center"/>
              <w:rPr>
                <w:rFonts w:ascii="Times New Roman" w:hAnsi="Times New Roman" w:eastAsia="Aptos" w:cs="Times New Roman"/>
                <w:color w:val="000000"/>
                <w:kern w:val="0"/>
                <w:sz w:val="20"/>
                <w:szCs w:val="20"/>
                <w:lang w:val="en-US" w:eastAsia="en-US" w:bidi="ar-SA"/>
              </w:rPr>
            </w:pPr>
            <w:r>
              <w:rPr>
                <w:rFonts w:eastAsia="Aptos" w:cs="Times New Roman" w:ascii="Times New Roman" w:hAnsi="Times New Roman"/>
                <w:color w:val="000000"/>
                <w:kern w:val="0"/>
                <w:sz w:val="20"/>
                <w:szCs w:val="20"/>
                <w:lang w:val="en-US" w:eastAsia="en-US" w:bidi="ar-SA"/>
              </w:rPr>
            </w:r>
          </w:p>
        </w:tc>
        <w:tc>
          <w:tcPr>
            <w:tcW w:w="2648" w:type="dxa"/>
            <w:tcBorders/>
            <w:vAlign w:val="center"/>
          </w:tcPr>
          <w:p>
            <w:pPr>
              <w:pStyle w:val="Normal"/>
              <w:widowControl/>
              <w:spacing w:lineRule="auto" w:line="480" w:before="0" w:after="160"/>
              <w:jc w:val="center"/>
              <w:rPr>
                <w:rFonts w:ascii="Times New Roman" w:hAnsi="Times New Roman" w:eastAsia="Aptos" w:cs="Times New Roman"/>
                <w:color w:val="000000"/>
                <w:kern w:val="0"/>
                <w:sz w:val="20"/>
                <w:szCs w:val="20"/>
                <w:lang w:val="en-US" w:eastAsia="en-US" w:bidi="ar-SA"/>
              </w:rPr>
            </w:pPr>
            <w:r>
              <w:rPr>
                <w:rFonts w:eastAsia="Aptos" w:cs="Times New Roman" w:ascii="Times New Roman" w:hAnsi="Times New Roman"/>
                <w:color w:val="000000"/>
                <w:kern w:val="0"/>
                <w:sz w:val="20"/>
                <w:szCs w:val="20"/>
                <w:lang w:val="en-US" w:eastAsia="en-US" w:bidi="ar-SA"/>
              </w:rPr>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6"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Hippocampal volume (relative)</w:t>
            </w:r>
          </w:p>
        </w:tc>
        <w:tc>
          <w:tcPr>
            <w:tcW w:w="1867"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0.0025 (± 0.00040)</w:t>
            </w:r>
          </w:p>
        </w:tc>
        <w:tc>
          <w:tcPr>
            <w:tcW w:w="302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0.0025 (± 0.00038)</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0.252</w:t>
            </w:r>
          </w:p>
        </w:tc>
      </w:tr>
      <w:tr>
        <w:trPr>
          <w:trHeight w:val="316" w:hRule="exact"/>
        </w:trPr>
        <w:tc>
          <w:tcPr>
            <w:tcW w:w="3046"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AD cortical thickness (mm)</w:t>
            </w:r>
          </w:p>
        </w:tc>
        <w:tc>
          <w:tcPr>
            <w:tcW w:w="1867"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2.74 (0.15)     </w:t>
            </w:r>
          </w:p>
        </w:tc>
        <w:tc>
          <w:tcPr>
            <w:tcW w:w="302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2.66 (0.27)     </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b/>
                <w:bCs/>
                <w:color w:val="000000"/>
                <w:kern w:val="0"/>
                <w:sz w:val="20"/>
                <w:szCs w:val="20"/>
                <w:lang w:val="en-US" w:eastAsia="en-US" w:bidi="ar-SA"/>
              </w:rPr>
              <w:t xml:space="preserve">  </w:t>
            </w:r>
            <w:r>
              <w:rPr>
                <w:rFonts w:eastAsia="Aptos" w:cs="Times New Roman" w:ascii="Times New Roman" w:hAnsi="Times New Roman"/>
                <w:b/>
                <w:bCs/>
                <w:color w:val="000000"/>
                <w:kern w:val="0"/>
                <w:sz w:val="20"/>
                <w:szCs w:val="20"/>
                <w:lang w:val="en-US" w:eastAsia="en-US" w:bidi="ar-SA"/>
              </w:rPr>
              <w:t xml:space="preserve">0.040  </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6"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Early-phase Tau SUVR</w:t>
            </w:r>
          </w:p>
        </w:tc>
        <w:tc>
          <w:tcPr>
            <w:tcW w:w="1867"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1.31 (0.10)     </w:t>
            </w:r>
          </w:p>
        </w:tc>
        <w:tc>
          <w:tcPr>
            <w:tcW w:w="302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1.29 (0.12)     </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0.285  </w:t>
            </w:r>
          </w:p>
        </w:tc>
      </w:tr>
      <w:tr>
        <w:trPr>
          <w:trHeight w:val="316" w:hRule="exact"/>
        </w:trPr>
        <w:tc>
          <w:tcPr>
            <w:tcW w:w="3046"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Centiloid</w:t>
            </w:r>
          </w:p>
        </w:tc>
        <w:tc>
          <w:tcPr>
            <w:tcW w:w="1867"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39.8 (44.3)     </w:t>
            </w:r>
          </w:p>
        </w:tc>
        <w:tc>
          <w:tcPr>
            <w:tcW w:w="302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38.3 (44.3)     </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0.844  </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6"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Global Tau SUVR</w:t>
            </w:r>
          </w:p>
        </w:tc>
        <w:tc>
          <w:tcPr>
            <w:tcW w:w="1867"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1.43 (0.39)     </w:t>
            </w:r>
          </w:p>
        </w:tc>
        <w:tc>
          <w:tcPr>
            <w:tcW w:w="302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1.23 (0.20)     </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b/>
                <w:bCs/>
                <w:color w:val="000000"/>
                <w:kern w:val="0"/>
                <w:sz w:val="20"/>
                <w:szCs w:val="20"/>
                <w:lang w:val="en-US" w:eastAsia="en-US" w:bidi="ar-SA"/>
              </w:rPr>
              <w:t xml:space="preserve">  </w:t>
            </w:r>
            <w:r>
              <w:rPr>
                <w:rFonts w:eastAsia="Aptos" w:cs="Times New Roman" w:ascii="Times New Roman" w:hAnsi="Times New Roman"/>
                <w:b/>
                <w:bCs/>
                <w:color w:val="000000"/>
                <w:kern w:val="0"/>
                <w:sz w:val="20"/>
                <w:szCs w:val="20"/>
                <w:lang w:val="en-US" w:eastAsia="en-US" w:bidi="ar-SA"/>
              </w:rPr>
              <w:t xml:space="preserve">&lt;0.001  </w:t>
            </w:r>
          </w:p>
        </w:tc>
      </w:tr>
      <w:tr>
        <w:trPr>
          <w:trHeight w:val="316" w:hRule="exact"/>
        </w:trPr>
        <w:tc>
          <w:tcPr>
            <w:tcW w:w="3046"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fr-CH" w:eastAsia="en-US" w:bidi="ar-SA"/>
              </w:rPr>
              <w:t>Braak I-III Tau SUVR</w:t>
            </w:r>
          </w:p>
        </w:tc>
        <w:tc>
          <w:tcPr>
            <w:tcW w:w="1867"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fr-CH" w:eastAsia="en-US" w:bidi="ar-SA"/>
              </w:rPr>
              <w:t xml:space="preserve">     </w:t>
            </w:r>
            <w:r>
              <w:rPr>
                <w:rFonts w:eastAsia="Aptos" w:cs="Times New Roman" w:ascii="Times New Roman" w:hAnsi="Times New Roman"/>
                <w:color w:val="000000"/>
                <w:kern w:val="0"/>
                <w:sz w:val="20"/>
                <w:szCs w:val="20"/>
                <w:lang w:val="en-US" w:eastAsia="en-US" w:bidi="ar-SA"/>
              </w:rPr>
              <w:t xml:space="preserve">1.39 (0.36)     </w:t>
            </w:r>
          </w:p>
        </w:tc>
        <w:tc>
          <w:tcPr>
            <w:tcW w:w="302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1.29 (0.29)     </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0.079  </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6"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Braak IV Tau SUVR</w:t>
            </w:r>
          </w:p>
        </w:tc>
        <w:tc>
          <w:tcPr>
            <w:tcW w:w="1867"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1.38 (0.26)     </w:t>
            </w:r>
          </w:p>
        </w:tc>
        <w:tc>
          <w:tcPr>
            <w:tcW w:w="302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1.28 (0.21)     </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b/>
                <w:bCs/>
                <w:color w:val="000000"/>
                <w:kern w:val="0"/>
                <w:sz w:val="20"/>
                <w:szCs w:val="20"/>
                <w:lang w:val="en-US" w:eastAsia="en-US" w:bidi="ar-SA"/>
              </w:rPr>
              <w:t xml:space="preserve">  </w:t>
            </w:r>
            <w:r>
              <w:rPr>
                <w:rFonts w:eastAsia="Aptos" w:cs="Times New Roman" w:ascii="Times New Roman" w:hAnsi="Times New Roman"/>
                <w:b/>
                <w:bCs/>
                <w:color w:val="000000"/>
                <w:kern w:val="0"/>
                <w:sz w:val="20"/>
                <w:szCs w:val="20"/>
                <w:lang w:val="en-US" w:eastAsia="en-US" w:bidi="ar-SA"/>
              </w:rPr>
              <w:t xml:space="preserve">0.017  </w:t>
            </w:r>
          </w:p>
        </w:tc>
      </w:tr>
      <w:tr>
        <w:trPr>
          <w:trHeight w:val="316" w:hRule="exact"/>
        </w:trPr>
        <w:tc>
          <w:tcPr>
            <w:tcW w:w="3046"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Braak V Tau SUVR</w:t>
            </w:r>
          </w:p>
        </w:tc>
        <w:tc>
          <w:tcPr>
            <w:tcW w:w="1867"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1.38 (0.33)     </w:t>
            </w:r>
          </w:p>
        </w:tc>
        <w:tc>
          <w:tcPr>
            <w:tcW w:w="302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1.24 (0.22)     </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b/>
                <w:bCs/>
                <w:color w:val="000000"/>
                <w:kern w:val="0"/>
                <w:sz w:val="20"/>
                <w:szCs w:val="20"/>
                <w:lang w:val="en-US" w:eastAsia="en-US" w:bidi="ar-SA"/>
              </w:rPr>
              <w:t xml:space="preserve">  </w:t>
            </w:r>
            <w:r>
              <w:rPr>
                <w:rFonts w:eastAsia="Aptos" w:cs="Times New Roman" w:ascii="Times New Roman" w:hAnsi="Times New Roman"/>
                <w:b/>
                <w:bCs/>
                <w:color w:val="000000"/>
                <w:kern w:val="0"/>
                <w:sz w:val="20"/>
                <w:szCs w:val="20"/>
                <w:lang w:val="en-US" w:eastAsia="en-US" w:bidi="ar-SA"/>
              </w:rPr>
              <w:t xml:space="preserve">0.006  </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6"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Braak VI Tau SUVR</w:t>
            </w:r>
          </w:p>
        </w:tc>
        <w:tc>
          <w:tcPr>
            <w:tcW w:w="1867"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1.25 (0.30)     </w:t>
            </w:r>
          </w:p>
        </w:tc>
        <w:tc>
          <w:tcPr>
            <w:tcW w:w="302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1.13 (0.19)     </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b/>
                <w:bCs/>
                <w:color w:val="000000"/>
                <w:kern w:val="0"/>
                <w:sz w:val="20"/>
                <w:szCs w:val="20"/>
                <w:lang w:val="en-US" w:eastAsia="en-US" w:bidi="ar-SA"/>
              </w:rPr>
              <w:t xml:space="preserve">  </w:t>
            </w:r>
            <w:r>
              <w:rPr>
                <w:rFonts w:eastAsia="Aptos" w:cs="Times New Roman" w:ascii="Times New Roman" w:hAnsi="Times New Roman"/>
                <w:b/>
                <w:bCs/>
                <w:color w:val="000000"/>
                <w:kern w:val="0"/>
                <w:sz w:val="20"/>
                <w:szCs w:val="20"/>
                <w:lang w:val="en-US" w:eastAsia="en-US" w:bidi="ar-SA"/>
              </w:rPr>
              <w:t xml:space="preserve">0.006  </w:t>
            </w:r>
          </w:p>
        </w:tc>
      </w:tr>
      <w:tr>
        <w:trPr>
          <w:trHeight w:val="316" w:hRule="exact"/>
        </w:trPr>
        <w:tc>
          <w:tcPr>
            <w:tcW w:w="3046"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GFAP (pg/ml)</w:t>
            </w:r>
          </w:p>
        </w:tc>
        <w:tc>
          <w:tcPr>
            <w:tcW w:w="1867"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200 (110)</w:t>
            </w:r>
          </w:p>
        </w:tc>
        <w:tc>
          <w:tcPr>
            <w:tcW w:w="302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170 (110)</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b/>
                <w:bCs/>
                <w:color w:val="000000"/>
                <w:kern w:val="0"/>
                <w:sz w:val="20"/>
                <w:szCs w:val="20"/>
                <w:lang w:val="en-US" w:eastAsia="en-US" w:bidi="ar-SA"/>
              </w:rPr>
              <w:t>0.044</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6"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ARWMC</w:t>
            </w:r>
          </w:p>
        </w:tc>
        <w:tc>
          <w:tcPr>
            <w:tcW w:w="1867"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7.73 (5.62)     </w:t>
            </w:r>
          </w:p>
        </w:tc>
        <w:tc>
          <w:tcPr>
            <w:tcW w:w="302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7.31 (5.23)     </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0.713  </w:t>
            </w:r>
          </w:p>
        </w:tc>
      </w:tr>
      <w:tr>
        <w:trPr>
          <w:trHeight w:val="316" w:hRule="exact"/>
        </w:trPr>
        <w:tc>
          <w:tcPr>
            <w:tcW w:w="3046"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TLV (mm3)</w:t>
            </w:r>
          </w:p>
        </w:tc>
        <w:tc>
          <w:tcPr>
            <w:tcW w:w="1867"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4.74 (7.77)     </w:t>
            </w:r>
          </w:p>
        </w:tc>
        <w:tc>
          <w:tcPr>
            <w:tcW w:w="302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7.22 (12.8)     </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 xml:space="preserve">  </w:t>
            </w:r>
            <w:r>
              <w:rPr>
                <w:rFonts w:eastAsia="Aptos" w:cs="Times New Roman" w:ascii="Times New Roman" w:hAnsi="Times New Roman"/>
                <w:color w:val="000000"/>
                <w:kern w:val="0"/>
                <w:sz w:val="20"/>
                <w:szCs w:val="20"/>
                <w:lang w:val="en-US" w:eastAsia="en-US" w:bidi="ar-SA"/>
              </w:rPr>
              <w:t xml:space="preserve">0.190  </w:t>
            </w:r>
          </w:p>
        </w:tc>
      </w:tr>
      <w:tr>
        <w:trPr>
          <w:trHeight w:val="929" w:hRule="exact"/>
          <w:cnfStyle w:val="000000100000" w:firstRow="0" w:lastRow="0" w:firstColumn="0" w:lastColumn="0" w:oddVBand="0" w:evenVBand="0" w:oddHBand="1" w:evenHBand="0" w:firstRowFirstColumn="0" w:firstRowLastColumn="0" w:lastRowFirstColumn="0" w:lastRowLastColumn="0"/>
        </w:trPr>
        <w:tc>
          <w:tcPr>
            <w:tcW w:w="10589" w:type="dxa"/>
            <w:gridSpan w:val="4"/>
            <w:tcBorders/>
            <w:shd w:color="auto" w:fill="F2F2F2" w:themeFill="background1" w:themeFillShade="f2" w:val="clear"/>
            <w:vAlign w:val="center"/>
          </w:tcPr>
          <w:p>
            <w:pPr>
              <w:pStyle w:val="Normal"/>
              <w:widowControl/>
              <w:spacing w:lineRule="auto" w:line="480" w:before="0" w:after="0"/>
              <w:jc w:val="left"/>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16"/>
                <w:szCs w:val="16"/>
                <w:lang w:val="en-US" w:eastAsia="en-US" w:bidi="ar-SA"/>
              </w:rPr>
              <w:t>Note: Continuous variables are reported as mean and standard deviation, categorical variables as number and percentage. All p-values are obtained by</w:t>
            </w:r>
          </w:p>
          <w:p>
            <w:pPr>
              <w:pStyle w:val="Normal"/>
              <w:widowControl/>
              <w:spacing w:lineRule="auto" w:line="480" w:before="0" w:after="0"/>
              <w:jc w:val="left"/>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16"/>
                <w:szCs w:val="16"/>
                <w:lang w:val="en-US" w:eastAsia="en-US" w:bidi="ar-SA"/>
              </w:rPr>
              <w:t>Mann-Whitney U tests for continuous variables and proportion test for frequencies.</w:t>
            </w:r>
          </w:p>
          <w:p>
            <w:pPr>
              <w:pStyle w:val="Normal"/>
              <w:widowControl/>
              <w:spacing w:lineRule="auto" w:line="480" w:before="0" w:after="0"/>
              <w:jc w:val="left"/>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16"/>
                <w:szCs w:val="16"/>
                <w:lang w:val="en-US" w:eastAsia="en-US" w:bidi="ar-SA"/>
              </w:rPr>
              <w:t>Abbreviations: AD, Alzheimer’s disease; ARWMC,</w:t>
            </w:r>
            <w:r>
              <w:rPr>
                <w:rFonts w:eastAsia="Aptos" w:cs=""/>
                <w:color w:val="000000"/>
                <w:kern w:val="0"/>
                <w:sz w:val="22"/>
                <w:szCs w:val="22"/>
                <w:lang w:val="en-US" w:eastAsia="en-US" w:bidi="ar-SA"/>
              </w:rPr>
              <w:t xml:space="preserve"> </w:t>
            </w:r>
            <w:r>
              <w:rPr>
                <w:rFonts w:eastAsia="Aptos" w:cs="Times New Roman" w:ascii="Times New Roman" w:hAnsi="Times New Roman"/>
                <w:color w:val="000000"/>
                <w:kern w:val="0"/>
                <w:sz w:val="16"/>
                <w:szCs w:val="16"/>
                <w:lang w:val="en-US" w:eastAsia="en-US" w:bidi="ar-SA"/>
              </w:rPr>
              <w:t>age-related white matter change scale; CU, cognitively unimpaired; DEM, dementia; MCI, mild cognitive impairment; MMSE, mini-mental state examination; GFAP, Glial Fibrillary Acidic Protein; SUVR, standardized uptake value ratios; TLV, total lesion volume.</w:t>
            </w:r>
          </w:p>
        </w:tc>
      </w:tr>
    </w:tbl>
    <w:p>
      <w:pPr>
        <w:pStyle w:val="Normal"/>
        <w:rPr>
          <w:color w:val="000000"/>
          <w:lang w:val="en-US"/>
        </w:rPr>
      </w:pPr>
      <w:r>
        <w:rPr>
          <w:color w:val="000000"/>
          <w:lang w:val="en-US"/>
        </w:rPr>
      </w:r>
    </w:p>
    <w:p>
      <w:pPr>
        <w:pStyle w:val="Normal"/>
        <w:spacing w:lineRule="auto" w:line="240"/>
        <w:rPr>
          <w:color w:val="000000"/>
        </w:rPr>
      </w:pPr>
      <w:r>
        <w:rPr>
          <w:rFonts w:cs="Times New Roman" w:ascii="Times New Roman" w:hAnsi="Times New Roman"/>
          <w:b/>
          <w:bCs/>
          <w:color w:val="000000"/>
          <w:lang w:val="en-GB"/>
        </w:rPr>
        <w:t>Table S2.</w:t>
      </w:r>
      <w:r>
        <w:rPr>
          <w:rFonts w:cs="Times New Roman" w:ascii="Times New Roman" w:hAnsi="Times New Roman"/>
          <w:color w:val="000000"/>
          <w:lang w:val="en-GB"/>
        </w:rPr>
        <w:t xml:space="preserve"> Demographic, clinical, and biomarker features of the subsample with available clinical follow-up</w:t>
      </w:r>
    </w:p>
    <w:tbl>
      <w:tblPr>
        <w:tblStyle w:val="PlainTable3"/>
        <w:tblW w:w="10591" w:type="dxa"/>
        <w:jc w:val="center"/>
        <w:tblInd w:w="0" w:type="dxa"/>
        <w:tblLayout w:type="fixed"/>
        <w:tblCellMar>
          <w:top w:w="0" w:type="dxa"/>
          <w:left w:w="108" w:type="dxa"/>
          <w:bottom w:w="0" w:type="dxa"/>
          <w:right w:w="108" w:type="dxa"/>
        </w:tblCellMar>
        <w:tblLook w:firstRow="1" w:noVBand="1" w:lastRow="0" w:firstColumn="0" w:lastColumn="0" w:noHBand="0" w:val="0420"/>
      </w:tblPr>
      <w:tblGrid>
        <w:gridCol w:w="3047"/>
        <w:gridCol w:w="2756"/>
        <w:gridCol w:w="2139"/>
        <w:gridCol w:w="2648"/>
      </w:tblGrid>
      <w:tr>
        <w:trPr>
          <w:trHeight w:val="316" w:hRule="exact"/>
          <w:cnfStyle w:val="100000000000" w:firstRow="1" w:lastRow="0" w:firstColumn="0" w:lastColumn="0" w:oddVBand="0" w:evenVBand="0" w:oddHBand="0" w:evenHBand="0" w:firstRowFirstColumn="0" w:firstRowLastColumn="0" w:lastRowFirstColumn="0" w:lastRowLastColumn="0"/>
        </w:trPr>
        <w:tc>
          <w:tcPr>
            <w:tcW w:w="3047" w:type="dxa"/>
            <w:tcBorders>
              <w:bottom w:val="single" w:sz="4" w:space="0" w:color="7F7F7F"/>
            </w:tcBorders>
            <w:vAlign w:val="center"/>
          </w:tcPr>
          <w:p>
            <w:pPr>
              <w:pStyle w:val="Normal"/>
              <w:widowControl/>
              <w:spacing w:lineRule="auto" w:line="480" w:before="0" w:after="160"/>
              <w:jc w:val="center"/>
              <w:rPr>
                <w:rFonts w:ascii="Times New Roman" w:hAnsi="Times New Roman" w:eastAsia="Aptos" w:cs="Times New Roman"/>
                <w:b/>
                <w:bCs/>
                <w:caps/>
                <w:color w:val="000000"/>
                <w:kern w:val="0"/>
                <w:sz w:val="20"/>
                <w:szCs w:val="20"/>
                <w:lang w:val="en-US" w:eastAsia="en-US" w:bidi="ar-SA"/>
              </w:rPr>
            </w:pPr>
            <w:r>
              <w:rPr>
                <w:rFonts w:eastAsia="Aptos" w:cs="Times New Roman" w:ascii="Times New Roman" w:hAnsi="Times New Roman"/>
                <w:b/>
                <w:bCs/>
                <w:caps/>
                <w:color w:val="000000"/>
                <w:kern w:val="0"/>
                <w:sz w:val="20"/>
                <w:szCs w:val="20"/>
                <w:lang w:val="en-US" w:eastAsia="en-US" w:bidi="ar-SA"/>
              </w:rPr>
            </w:r>
          </w:p>
        </w:tc>
        <w:tc>
          <w:tcPr>
            <w:tcW w:w="2756" w:type="dxa"/>
            <w:tcBorders>
              <w:bottom w:val="single" w:sz="4" w:space="0" w:color="7F7F7F"/>
            </w:tcBorders>
            <w:vAlign w:val="center"/>
          </w:tcPr>
          <w:p>
            <w:pPr>
              <w:pStyle w:val="Normal"/>
              <w:widowControl/>
              <w:spacing w:lineRule="auto" w:line="480" w:before="0" w:after="160"/>
              <w:jc w:val="center"/>
              <w:rPr>
                <w:rFonts w:ascii="Aptos" w:hAnsi="Aptos" w:eastAsia="Aptos" w:cs=""/>
                <w:b/>
                <w:bCs/>
                <w:caps/>
                <w:color w:val="000000"/>
                <w:kern w:val="0"/>
                <w:sz w:val="22"/>
                <w:szCs w:val="22"/>
                <w:lang w:val="it-IT" w:eastAsia="en-US" w:bidi="ar-SA"/>
              </w:rPr>
            </w:pPr>
            <w:r>
              <w:rPr>
                <w:rFonts w:eastAsia="Aptos" w:cs="Times New Roman" w:ascii="Times New Roman" w:hAnsi="Times New Roman"/>
                <w:b/>
                <w:bCs/>
                <w:caps/>
                <w:color w:val="000000"/>
                <w:kern w:val="0"/>
                <w:sz w:val="20"/>
                <w:szCs w:val="20"/>
                <w:lang w:val="en-US" w:eastAsia="en-US" w:bidi="ar-SA"/>
              </w:rPr>
              <w:t>Females</w:t>
            </w:r>
          </w:p>
          <w:p>
            <w:pPr>
              <w:pStyle w:val="Normal"/>
              <w:widowControl/>
              <w:spacing w:lineRule="auto" w:line="480" w:before="0" w:after="160"/>
              <w:jc w:val="center"/>
              <w:rPr>
                <w:rFonts w:ascii="Times New Roman" w:hAnsi="Times New Roman" w:eastAsia="Aptos" w:cs="Times New Roman"/>
                <w:b/>
                <w:bCs/>
                <w:caps/>
                <w:color w:val="000000"/>
                <w:kern w:val="0"/>
                <w:sz w:val="20"/>
                <w:szCs w:val="20"/>
                <w:lang w:val="it-IT" w:eastAsia="en-US" w:bidi="ar-SA"/>
              </w:rPr>
            </w:pPr>
            <w:r>
              <w:rPr>
                <w:rFonts w:eastAsia="Aptos" w:cs="Times New Roman" w:ascii="Times New Roman" w:hAnsi="Times New Roman"/>
                <w:b/>
                <w:bCs/>
                <w:caps/>
                <w:color w:val="000000"/>
                <w:kern w:val="0"/>
                <w:sz w:val="20"/>
                <w:szCs w:val="20"/>
                <w:lang w:val="it-IT" w:eastAsia="en-US" w:bidi="ar-SA"/>
              </w:rPr>
            </w:r>
          </w:p>
        </w:tc>
        <w:tc>
          <w:tcPr>
            <w:tcW w:w="2139" w:type="dxa"/>
            <w:tcBorders>
              <w:bottom w:val="single" w:sz="4" w:space="0" w:color="7F7F7F"/>
            </w:tcBorders>
            <w:vAlign w:val="center"/>
          </w:tcPr>
          <w:p>
            <w:pPr>
              <w:pStyle w:val="Normal"/>
              <w:widowControl/>
              <w:spacing w:lineRule="auto" w:line="480" w:before="0" w:after="160"/>
              <w:jc w:val="center"/>
              <w:rPr>
                <w:rFonts w:ascii="Aptos" w:hAnsi="Aptos" w:eastAsia="Aptos" w:cs=""/>
                <w:b/>
                <w:bCs/>
                <w:caps/>
                <w:color w:val="000000"/>
                <w:kern w:val="0"/>
                <w:sz w:val="22"/>
                <w:szCs w:val="22"/>
                <w:lang w:val="it-IT" w:eastAsia="en-US" w:bidi="ar-SA"/>
              </w:rPr>
            </w:pPr>
            <w:r>
              <w:rPr>
                <w:rFonts w:eastAsia="Aptos" w:cs="Times New Roman" w:ascii="Times New Roman" w:hAnsi="Times New Roman"/>
                <w:b/>
                <w:bCs/>
                <w:caps/>
                <w:color w:val="000000"/>
                <w:kern w:val="0"/>
                <w:sz w:val="20"/>
                <w:szCs w:val="20"/>
                <w:lang w:val="en-US" w:eastAsia="en-US" w:bidi="ar-SA"/>
              </w:rPr>
              <w:t>Males</w:t>
            </w:r>
          </w:p>
        </w:tc>
        <w:tc>
          <w:tcPr>
            <w:tcW w:w="2648" w:type="dxa"/>
            <w:tcBorders>
              <w:bottom w:val="single" w:sz="4" w:space="0" w:color="7F7F7F"/>
            </w:tcBorders>
            <w:vAlign w:val="center"/>
          </w:tcPr>
          <w:p>
            <w:pPr>
              <w:pStyle w:val="Normal"/>
              <w:widowControl/>
              <w:spacing w:lineRule="auto" w:line="480" w:before="0" w:after="160"/>
              <w:jc w:val="center"/>
              <w:rPr>
                <w:rFonts w:ascii="Aptos" w:hAnsi="Aptos" w:eastAsia="Aptos" w:cs=""/>
                <w:b/>
                <w:bCs/>
                <w:caps/>
                <w:color w:val="000000"/>
                <w:kern w:val="0"/>
                <w:sz w:val="22"/>
                <w:szCs w:val="22"/>
                <w:lang w:val="it-IT" w:eastAsia="en-US" w:bidi="ar-SA"/>
              </w:rPr>
            </w:pPr>
            <w:r>
              <w:rPr>
                <w:rFonts w:eastAsia="Aptos" w:cs="Times New Roman" w:ascii="Times New Roman" w:hAnsi="Times New Roman"/>
                <w:b/>
                <w:bCs/>
                <w:caps/>
                <w:color w:val="000000"/>
                <w:kern w:val="0"/>
                <w:sz w:val="20"/>
                <w:szCs w:val="20"/>
                <w:lang w:val="en-US" w:eastAsia="en-US" w:bidi="ar-SA"/>
              </w:rPr>
              <w:t>p-value</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7" w:type="dxa"/>
            <w:tcBorders/>
            <w:shd w:color="auto" w:fill="F2F2F2" w:themeFill="background1" w:themeFillShade="f2" w:val="clear"/>
            <w:vAlign w:val="center"/>
          </w:tcPr>
          <w:p>
            <w:pPr>
              <w:pStyle w:val="Normal"/>
              <w:widowControl/>
              <w:spacing w:lineRule="auto" w:line="480" w:before="0" w:after="0"/>
              <w:jc w:val="center"/>
              <w:rPr>
                <w:rFonts w:ascii="Times New Roman" w:hAnsi="Times New Roman" w:eastAsia="Aptos" w:cs="Times New Roman"/>
                <w:color w:val="000000"/>
                <w:kern w:val="0"/>
                <w:sz w:val="20"/>
                <w:szCs w:val="20"/>
                <w:lang w:val="en-US" w:eastAsia="en-US" w:bidi="ar-SA"/>
              </w:rPr>
            </w:pPr>
            <w:r>
              <w:rPr>
                <w:rFonts w:eastAsia="Aptos" w:cs="Times New Roman" w:ascii="Times New Roman" w:hAnsi="Times New Roman"/>
                <w:color w:val="000000"/>
                <w:kern w:val="0"/>
                <w:sz w:val="20"/>
                <w:szCs w:val="20"/>
                <w:lang w:val="en-US" w:eastAsia="en-US" w:bidi="ar-SA"/>
              </w:rPr>
            </w:r>
          </w:p>
        </w:tc>
        <w:tc>
          <w:tcPr>
            <w:tcW w:w="2756" w:type="dxa"/>
            <w:tcBorders/>
            <w:shd w:color="auto" w:fill="F2F2F2" w:themeFill="background1" w:themeFillShade="f2" w:val="clear"/>
            <w:vAlign w:val="center"/>
          </w:tcPr>
          <w:p>
            <w:pPr>
              <w:pStyle w:val="Normal"/>
              <w:widowControl/>
              <w:spacing w:lineRule="auto" w:line="480" w:before="0" w:after="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N=68</w:t>
            </w:r>
          </w:p>
        </w:tc>
        <w:tc>
          <w:tcPr>
            <w:tcW w:w="2139" w:type="dxa"/>
            <w:tcBorders/>
            <w:shd w:color="auto" w:fill="F2F2F2" w:themeFill="background1" w:themeFillShade="f2" w:val="clear"/>
            <w:vAlign w:val="center"/>
          </w:tcPr>
          <w:p>
            <w:pPr>
              <w:pStyle w:val="Normal"/>
              <w:widowControl/>
              <w:spacing w:lineRule="auto" w:line="480" w:before="0" w:after="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N=69</w:t>
            </w:r>
          </w:p>
        </w:tc>
        <w:tc>
          <w:tcPr>
            <w:tcW w:w="2648" w:type="dxa"/>
            <w:tcBorders/>
            <w:shd w:color="auto" w:fill="F2F2F2" w:themeFill="background1" w:themeFillShade="f2" w:val="clear"/>
            <w:vAlign w:val="center"/>
          </w:tcPr>
          <w:p>
            <w:pPr>
              <w:pStyle w:val="Normal"/>
              <w:widowControl/>
              <w:spacing w:lineRule="auto" w:line="480" w:before="0" w:after="0"/>
              <w:jc w:val="center"/>
              <w:rPr>
                <w:rFonts w:ascii="Times New Roman" w:hAnsi="Times New Roman" w:eastAsia="Aptos" w:cs="Times New Roman"/>
                <w:color w:val="000000"/>
                <w:kern w:val="0"/>
                <w:sz w:val="20"/>
                <w:szCs w:val="20"/>
                <w:lang w:val="en-US" w:eastAsia="en-US" w:bidi="ar-SA"/>
              </w:rPr>
            </w:pPr>
            <w:r>
              <w:rPr>
                <w:rFonts w:eastAsia="Aptos" w:cs="Times New Roman" w:ascii="Times New Roman" w:hAnsi="Times New Roman"/>
                <w:color w:val="000000"/>
                <w:kern w:val="0"/>
                <w:sz w:val="20"/>
                <w:szCs w:val="20"/>
                <w:lang w:val="en-US" w:eastAsia="en-US" w:bidi="ar-SA"/>
              </w:rPr>
            </w:r>
          </w:p>
        </w:tc>
      </w:tr>
      <w:tr>
        <w:trPr>
          <w:trHeight w:val="316" w:hRule="exact"/>
        </w:trPr>
        <w:tc>
          <w:tcPr>
            <w:tcW w:w="3047" w:type="dxa"/>
            <w:tcBorders/>
            <w:vAlign w:val="center"/>
          </w:tcPr>
          <w:p>
            <w:pPr>
              <w:pStyle w:val="Normal"/>
              <w:widowControl/>
              <w:spacing w:lineRule="auto" w:line="480" w:before="0" w:after="0"/>
              <w:jc w:val="left"/>
              <w:rPr>
                <w:rFonts w:ascii="Aptos" w:hAnsi="Aptos" w:eastAsia="Aptos" w:cs=""/>
                <w:color w:val="000000"/>
                <w:kern w:val="0"/>
                <w:sz w:val="22"/>
                <w:szCs w:val="22"/>
                <w:lang w:val="it-IT" w:eastAsia="en-US" w:bidi="ar-SA"/>
              </w:rPr>
            </w:pPr>
            <w:r>
              <w:rPr>
                <w:rFonts w:eastAsia="Aptos" w:cs="Times New Roman" w:ascii="Times New Roman" w:hAnsi="Times New Roman"/>
                <w:b/>
                <w:bCs/>
                <w:color w:val="000000"/>
                <w:kern w:val="0"/>
                <w:sz w:val="20"/>
                <w:szCs w:val="20"/>
                <w:lang w:val="it-IT" w:eastAsia="en-US" w:bidi="ar-SA"/>
              </w:rPr>
              <w:t xml:space="preserve">Clinical features </w:t>
            </w:r>
          </w:p>
        </w:tc>
        <w:tc>
          <w:tcPr>
            <w:tcW w:w="2756" w:type="dxa"/>
            <w:tcBorders/>
            <w:vAlign w:val="center"/>
          </w:tcPr>
          <w:p>
            <w:pPr>
              <w:pStyle w:val="Normal"/>
              <w:widowControl/>
              <w:spacing w:lineRule="auto" w:line="480" w:before="0" w:after="0"/>
              <w:jc w:val="center"/>
              <w:rPr>
                <w:rFonts w:ascii="Times New Roman" w:hAnsi="Times New Roman" w:eastAsia="Aptos" w:cs="Times New Roman"/>
                <w:b/>
                <w:bCs/>
                <w:color w:val="000000"/>
                <w:kern w:val="0"/>
                <w:sz w:val="20"/>
                <w:szCs w:val="20"/>
                <w:lang w:val="en-US" w:eastAsia="en-US" w:bidi="ar-SA"/>
              </w:rPr>
            </w:pPr>
            <w:r>
              <w:rPr>
                <w:rFonts w:eastAsia="Aptos" w:cs="Times New Roman" w:ascii="Times New Roman" w:hAnsi="Times New Roman"/>
                <w:b/>
                <w:bCs/>
                <w:color w:val="000000"/>
                <w:kern w:val="0"/>
                <w:sz w:val="20"/>
                <w:szCs w:val="20"/>
                <w:lang w:val="en-US" w:eastAsia="en-US" w:bidi="ar-SA"/>
              </w:rPr>
            </w:r>
          </w:p>
        </w:tc>
        <w:tc>
          <w:tcPr>
            <w:tcW w:w="2139" w:type="dxa"/>
            <w:tcBorders/>
            <w:vAlign w:val="center"/>
          </w:tcPr>
          <w:p>
            <w:pPr>
              <w:pStyle w:val="Normal"/>
              <w:widowControl/>
              <w:spacing w:lineRule="auto" w:line="480" w:before="0" w:after="0"/>
              <w:jc w:val="center"/>
              <w:rPr>
                <w:rFonts w:ascii="Times New Roman" w:hAnsi="Times New Roman" w:eastAsia="Aptos" w:cs="Times New Roman"/>
                <w:b/>
                <w:bCs/>
                <w:color w:val="000000"/>
                <w:kern w:val="0"/>
                <w:sz w:val="20"/>
                <w:szCs w:val="20"/>
                <w:lang w:val="en-US" w:eastAsia="en-US" w:bidi="ar-SA"/>
              </w:rPr>
            </w:pPr>
            <w:r>
              <w:rPr>
                <w:rFonts w:eastAsia="Aptos" w:cs="Times New Roman" w:ascii="Times New Roman" w:hAnsi="Times New Roman"/>
                <w:b/>
                <w:bCs/>
                <w:color w:val="000000"/>
                <w:kern w:val="0"/>
                <w:sz w:val="20"/>
                <w:szCs w:val="20"/>
                <w:lang w:val="en-US" w:eastAsia="en-US" w:bidi="ar-SA"/>
              </w:rPr>
            </w:r>
          </w:p>
        </w:tc>
        <w:tc>
          <w:tcPr>
            <w:tcW w:w="2648" w:type="dxa"/>
            <w:tcBorders/>
            <w:vAlign w:val="center"/>
          </w:tcPr>
          <w:p>
            <w:pPr>
              <w:pStyle w:val="Normal"/>
              <w:widowControl/>
              <w:spacing w:lineRule="auto" w:line="480" w:before="0" w:after="0"/>
              <w:jc w:val="center"/>
              <w:rPr>
                <w:rFonts w:ascii="Times New Roman" w:hAnsi="Times New Roman" w:eastAsia="Aptos" w:cs="Times New Roman"/>
                <w:color w:val="000000"/>
                <w:kern w:val="0"/>
                <w:sz w:val="20"/>
                <w:szCs w:val="20"/>
                <w:lang w:val="en-US" w:eastAsia="en-US" w:bidi="ar-SA"/>
              </w:rPr>
            </w:pPr>
            <w:r>
              <w:rPr>
                <w:rFonts w:eastAsia="Aptos" w:cs="Times New Roman" w:ascii="Times New Roman" w:hAnsi="Times New Roman"/>
                <w:color w:val="000000"/>
                <w:kern w:val="0"/>
                <w:sz w:val="20"/>
                <w:szCs w:val="20"/>
                <w:lang w:val="en-US" w:eastAsia="en-US" w:bidi="ar-SA"/>
              </w:rPr>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7"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Age (years)</w:t>
            </w:r>
          </w:p>
        </w:tc>
        <w:tc>
          <w:tcPr>
            <w:tcW w:w="2756"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71.4 (7.48)</w:t>
            </w:r>
          </w:p>
        </w:tc>
        <w:tc>
          <w:tcPr>
            <w:tcW w:w="2139"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71.2 (6.97)</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0.931</w:t>
            </w:r>
          </w:p>
        </w:tc>
      </w:tr>
      <w:tr>
        <w:trPr>
          <w:trHeight w:val="316" w:hRule="exact"/>
        </w:trPr>
        <w:tc>
          <w:tcPr>
            <w:tcW w:w="3047"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Education (years)</w:t>
            </w:r>
          </w:p>
        </w:tc>
        <w:tc>
          <w:tcPr>
            <w:tcW w:w="2756"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13.3 (3.99)</w:t>
            </w:r>
          </w:p>
        </w:tc>
        <w:tc>
          <w:tcPr>
            <w:tcW w:w="2139"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14.8 (4.23)</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b/>
                <w:bCs/>
                <w:color w:val="000000"/>
                <w:kern w:val="0"/>
                <w:sz w:val="20"/>
                <w:szCs w:val="20"/>
                <w:lang w:val="en-US" w:eastAsia="en-US" w:bidi="ar-SA"/>
              </w:rPr>
              <w:t>0.046</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7" w:type="dxa"/>
            <w:tcBorders/>
            <w:shd w:color="auto" w:fill="F2F2F2" w:themeFill="background1" w:themeFillShade="f2" w:val="clear"/>
            <w:vAlign w:val="center"/>
          </w:tcPr>
          <w:p>
            <w:pPr>
              <w:pStyle w:val="Normal"/>
              <w:widowControl/>
              <w:spacing w:lineRule="auto" w:line="480" w:before="0" w:after="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Caucasian ethnicity</w:t>
            </w:r>
          </w:p>
        </w:tc>
        <w:tc>
          <w:tcPr>
            <w:tcW w:w="2756" w:type="dxa"/>
            <w:tcBorders/>
            <w:shd w:color="auto" w:fill="F2F2F2" w:themeFill="background1" w:themeFillShade="f2" w:val="clear"/>
            <w:vAlign w:val="center"/>
          </w:tcPr>
          <w:p>
            <w:pPr>
              <w:pStyle w:val="Normal"/>
              <w:widowControl/>
              <w:spacing w:lineRule="auto" w:line="480" w:before="0" w:after="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86%</w:t>
            </w:r>
          </w:p>
        </w:tc>
        <w:tc>
          <w:tcPr>
            <w:tcW w:w="2139" w:type="dxa"/>
            <w:tcBorders/>
            <w:shd w:color="auto" w:fill="F2F2F2" w:themeFill="background1" w:themeFillShade="f2" w:val="clear"/>
            <w:vAlign w:val="center"/>
          </w:tcPr>
          <w:p>
            <w:pPr>
              <w:pStyle w:val="Normal"/>
              <w:widowControl/>
              <w:spacing w:lineRule="auto" w:line="480" w:before="0" w:after="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93%</w:t>
            </w:r>
          </w:p>
        </w:tc>
        <w:tc>
          <w:tcPr>
            <w:tcW w:w="2648" w:type="dxa"/>
            <w:tcBorders/>
            <w:shd w:color="auto" w:fill="F2F2F2" w:themeFill="background1" w:themeFillShade="f2" w:val="clear"/>
            <w:vAlign w:val="center"/>
          </w:tcPr>
          <w:p>
            <w:pPr>
              <w:pStyle w:val="Normal"/>
              <w:widowControl/>
              <w:spacing w:lineRule="auto" w:line="480" w:before="0" w:after="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0.624</w:t>
            </w:r>
          </w:p>
        </w:tc>
      </w:tr>
      <w:tr>
        <w:trPr>
          <w:trHeight w:val="316" w:hRule="exact"/>
        </w:trPr>
        <w:tc>
          <w:tcPr>
            <w:tcW w:w="3047"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Clinical stage (CU/MCI/DEM)</w:t>
            </w:r>
          </w:p>
        </w:tc>
        <w:tc>
          <w:tcPr>
            <w:tcW w:w="2756"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27/30/11</w:t>
            </w:r>
          </w:p>
        </w:tc>
        <w:tc>
          <w:tcPr>
            <w:tcW w:w="2139"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19/43/7</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0.101</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7"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MMSE</w:t>
            </w:r>
          </w:p>
        </w:tc>
        <w:tc>
          <w:tcPr>
            <w:tcW w:w="2756"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25.7 (3.18)</w:t>
            </w:r>
          </w:p>
        </w:tc>
        <w:tc>
          <w:tcPr>
            <w:tcW w:w="2139"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25.6 (4.96)</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0.861</w:t>
            </w:r>
          </w:p>
        </w:tc>
      </w:tr>
      <w:tr>
        <w:trPr>
          <w:trHeight w:val="316" w:hRule="exact"/>
        </w:trPr>
        <w:tc>
          <w:tcPr>
            <w:tcW w:w="3047"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APOE ε4 carriership (%)</w:t>
            </w:r>
          </w:p>
        </w:tc>
        <w:tc>
          <w:tcPr>
            <w:tcW w:w="2756"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46.2%</w:t>
            </w:r>
          </w:p>
        </w:tc>
        <w:tc>
          <w:tcPr>
            <w:tcW w:w="2139"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32.7%</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0.148</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7"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Amyloid positivity (%)</w:t>
            </w:r>
          </w:p>
        </w:tc>
        <w:tc>
          <w:tcPr>
            <w:tcW w:w="2756"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52.3%</w:t>
            </w:r>
          </w:p>
        </w:tc>
        <w:tc>
          <w:tcPr>
            <w:tcW w:w="2139"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51.5%</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w:t>
            </w:r>
          </w:p>
        </w:tc>
      </w:tr>
      <w:tr>
        <w:trPr>
          <w:trHeight w:val="316" w:hRule="exact"/>
        </w:trPr>
        <w:tc>
          <w:tcPr>
            <w:tcW w:w="3047"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b/>
                <w:bCs/>
                <w:color w:val="000000"/>
                <w:kern w:val="0"/>
                <w:sz w:val="20"/>
                <w:szCs w:val="20"/>
                <w:lang w:val="en-US" w:eastAsia="en-US" w:bidi="ar-SA"/>
              </w:rPr>
              <w:t>Biomarkers</w:t>
            </w:r>
          </w:p>
        </w:tc>
        <w:tc>
          <w:tcPr>
            <w:tcW w:w="2756" w:type="dxa"/>
            <w:tcBorders/>
            <w:vAlign w:val="center"/>
          </w:tcPr>
          <w:p>
            <w:pPr>
              <w:pStyle w:val="Normal"/>
              <w:widowControl/>
              <w:spacing w:lineRule="auto" w:line="480" w:before="0" w:after="160"/>
              <w:jc w:val="center"/>
              <w:rPr>
                <w:rFonts w:ascii="Times New Roman" w:hAnsi="Times New Roman" w:eastAsia="Aptos" w:cs="Times New Roman"/>
                <w:color w:val="000000"/>
                <w:kern w:val="0"/>
                <w:sz w:val="20"/>
                <w:szCs w:val="20"/>
                <w:lang w:val="en-US" w:eastAsia="en-US" w:bidi="ar-SA"/>
              </w:rPr>
            </w:pPr>
            <w:r>
              <w:rPr>
                <w:rFonts w:eastAsia="Aptos" w:cs="Times New Roman" w:ascii="Times New Roman" w:hAnsi="Times New Roman"/>
                <w:color w:val="000000"/>
                <w:kern w:val="0"/>
                <w:sz w:val="20"/>
                <w:szCs w:val="20"/>
                <w:lang w:val="en-US" w:eastAsia="en-US" w:bidi="ar-SA"/>
              </w:rPr>
            </w:r>
          </w:p>
        </w:tc>
        <w:tc>
          <w:tcPr>
            <w:tcW w:w="2139" w:type="dxa"/>
            <w:tcBorders/>
            <w:vAlign w:val="center"/>
          </w:tcPr>
          <w:p>
            <w:pPr>
              <w:pStyle w:val="Normal"/>
              <w:widowControl/>
              <w:spacing w:lineRule="auto" w:line="480" w:before="0" w:after="160"/>
              <w:jc w:val="center"/>
              <w:rPr>
                <w:rFonts w:ascii="Times New Roman" w:hAnsi="Times New Roman" w:eastAsia="Aptos" w:cs="Times New Roman"/>
                <w:color w:val="000000"/>
                <w:kern w:val="0"/>
                <w:sz w:val="20"/>
                <w:szCs w:val="20"/>
                <w:lang w:val="en-US" w:eastAsia="en-US" w:bidi="ar-SA"/>
              </w:rPr>
            </w:pPr>
            <w:r>
              <w:rPr>
                <w:rFonts w:eastAsia="Aptos" w:cs="Times New Roman" w:ascii="Times New Roman" w:hAnsi="Times New Roman"/>
                <w:color w:val="000000"/>
                <w:kern w:val="0"/>
                <w:sz w:val="20"/>
                <w:szCs w:val="20"/>
                <w:lang w:val="en-US" w:eastAsia="en-US" w:bidi="ar-SA"/>
              </w:rPr>
            </w:r>
          </w:p>
        </w:tc>
        <w:tc>
          <w:tcPr>
            <w:tcW w:w="2648" w:type="dxa"/>
            <w:tcBorders/>
            <w:vAlign w:val="center"/>
          </w:tcPr>
          <w:p>
            <w:pPr>
              <w:pStyle w:val="Normal"/>
              <w:widowControl/>
              <w:spacing w:lineRule="auto" w:line="480" w:before="0" w:after="160"/>
              <w:jc w:val="center"/>
              <w:rPr>
                <w:rFonts w:ascii="Times New Roman" w:hAnsi="Times New Roman" w:eastAsia="Aptos" w:cs="Times New Roman"/>
                <w:color w:val="000000"/>
                <w:kern w:val="0"/>
                <w:sz w:val="20"/>
                <w:szCs w:val="20"/>
                <w:lang w:val="en-US" w:eastAsia="en-US" w:bidi="ar-SA"/>
              </w:rPr>
            </w:pPr>
            <w:r>
              <w:rPr>
                <w:rFonts w:eastAsia="Aptos" w:cs="Times New Roman" w:ascii="Times New Roman" w:hAnsi="Times New Roman"/>
                <w:color w:val="000000"/>
                <w:kern w:val="0"/>
                <w:sz w:val="20"/>
                <w:szCs w:val="20"/>
                <w:lang w:val="en-US" w:eastAsia="en-US" w:bidi="ar-SA"/>
              </w:rPr>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7"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Hippocampal volume (relative)</w:t>
            </w:r>
          </w:p>
        </w:tc>
        <w:tc>
          <w:tcPr>
            <w:tcW w:w="2756"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0.0025 (± 0.00040)</w:t>
            </w:r>
          </w:p>
        </w:tc>
        <w:tc>
          <w:tcPr>
            <w:tcW w:w="2139"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0.0025 (± 0.00038)</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0.229</w:t>
            </w:r>
          </w:p>
        </w:tc>
      </w:tr>
      <w:tr>
        <w:trPr>
          <w:trHeight w:val="316" w:hRule="exact"/>
        </w:trPr>
        <w:tc>
          <w:tcPr>
            <w:tcW w:w="3047"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AD cortical thickness (mm)</w:t>
            </w:r>
          </w:p>
        </w:tc>
        <w:tc>
          <w:tcPr>
            <w:tcW w:w="2756"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2.70 (0.18)</w:t>
            </w:r>
          </w:p>
        </w:tc>
        <w:tc>
          <w:tcPr>
            <w:tcW w:w="2139"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2.67 (0.23)</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0.438</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7"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Early-phase Tau SUVR</w:t>
            </w:r>
          </w:p>
        </w:tc>
        <w:tc>
          <w:tcPr>
            <w:tcW w:w="2756"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1.31 (0.10)</w:t>
            </w:r>
          </w:p>
        </w:tc>
        <w:tc>
          <w:tcPr>
            <w:tcW w:w="2139"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1.30 (0.13)</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0.688</w:t>
            </w:r>
          </w:p>
        </w:tc>
      </w:tr>
      <w:tr>
        <w:trPr>
          <w:trHeight w:val="316" w:hRule="exact"/>
        </w:trPr>
        <w:tc>
          <w:tcPr>
            <w:tcW w:w="3047"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Centiloid</w:t>
            </w:r>
          </w:p>
        </w:tc>
        <w:tc>
          <w:tcPr>
            <w:tcW w:w="2756"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39.6 (50.0)</w:t>
            </w:r>
          </w:p>
        </w:tc>
        <w:tc>
          <w:tcPr>
            <w:tcW w:w="2139"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38.9 (50.2)</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0.941</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7"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Global Tau SUVR</w:t>
            </w:r>
          </w:p>
        </w:tc>
        <w:tc>
          <w:tcPr>
            <w:tcW w:w="2756"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1.43 (0.39)</w:t>
            </w:r>
          </w:p>
        </w:tc>
        <w:tc>
          <w:tcPr>
            <w:tcW w:w="2139"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1.30 (0.28)</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b/>
                <w:bCs/>
                <w:color w:val="000000"/>
                <w:kern w:val="0"/>
                <w:sz w:val="20"/>
                <w:szCs w:val="20"/>
                <w:lang w:val="en-US" w:eastAsia="en-US" w:bidi="ar-SA"/>
              </w:rPr>
              <w:t>0.026</w:t>
            </w:r>
          </w:p>
        </w:tc>
      </w:tr>
      <w:tr>
        <w:trPr>
          <w:trHeight w:val="316" w:hRule="exact"/>
        </w:trPr>
        <w:tc>
          <w:tcPr>
            <w:tcW w:w="3047"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fr-CH" w:eastAsia="en-US" w:bidi="ar-SA"/>
              </w:rPr>
              <w:t>Braak I-III Tau SUVR</w:t>
            </w:r>
          </w:p>
        </w:tc>
        <w:tc>
          <w:tcPr>
            <w:tcW w:w="2756"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1.42 (0.34)</w:t>
            </w:r>
          </w:p>
        </w:tc>
        <w:tc>
          <w:tcPr>
            <w:tcW w:w="2139"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1.35 (0.35)</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0.233</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7"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Braak IV Tau SUVR</w:t>
            </w:r>
          </w:p>
        </w:tc>
        <w:tc>
          <w:tcPr>
            <w:tcW w:w="2756"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1.37 (0.24)</w:t>
            </w:r>
          </w:p>
        </w:tc>
        <w:tc>
          <w:tcPr>
            <w:tcW w:w="2139"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1.30 (0.22)</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0.070</w:t>
            </w:r>
          </w:p>
        </w:tc>
      </w:tr>
      <w:tr>
        <w:trPr>
          <w:trHeight w:val="316" w:hRule="exact"/>
        </w:trPr>
        <w:tc>
          <w:tcPr>
            <w:tcW w:w="3047"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Braak V Tau SUVR</w:t>
            </w:r>
          </w:p>
        </w:tc>
        <w:tc>
          <w:tcPr>
            <w:tcW w:w="2756"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1.38 (0.32)</w:t>
            </w:r>
          </w:p>
        </w:tc>
        <w:tc>
          <w:tcPr>
            <w:tcW w:w="2139"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1.31 (0.30)</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0.205</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7"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Braak VI Tau SUVR</w:t>
            </w:r>
          </w:p>
        </w:tc>
        <w:tc>
          <w:tcPr>
            <w:tcW w:w="2756"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1.24 (0.25)</w:t>
            </w:r>
          </w:p>
        </w:tc>
        <w:tc>
          <w:tcPr>
            <w:tcW w:w="2139"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1.17 (0.25)</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0.146</w:t>
            </w:r>
          </w:p>
        </w:tc>
      </w:tr>
      <w:tr>
        <w:trPr>
          <w:trHeight w:val="316" w:hRule="exact"/>
        </w:trPr>
        <w:tc>
          <w:tcPr>
            <w:tcW w:w="3047"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GFAP (pg/ml)</w:t>
            </w:r>
          </w:p>
        </w:tc>
        <w:tc>
          <w:tcPr>
            <w:tcW w:w="2756"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203 (119)</w:t>
            </w:r>
          </w:p>
        </w:tc>
        <w:tc>
          <w:tcPr>
            <w:tcW w:w="2139"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170 (124)</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0.204</w:t>
            </w:r>
          </w:p>
        </w:tc>
      </w:tr>
      <w:tr>
        <w:trPr>
          <w:trHeight w:val="316" w:hRule="exact"/>
          <w:cnfStyle w:val="000000100000" w:firstRow="0" w:lastRow="0" w:firstColumn="0" w:lastColumn="0" w:oddVBand="0" w:evenVBand="0" w:oddHBand="1" w:evenHBand="0" w:firstRowFirstColumn="0" w:firstRowLastColumn="0" w:lastRowFirstColumn="0" w:lastRowLastColumn="0"/>
        </w:trPr>
        <w:tc>
          <w:tcPr>
            <w:tcW w:w="3047" w:type="dxa"/>
            <w:tcBorders/>
            <w:shd w:color="auto" w:fill="F2F2F2" w:themeFill="background1" w:themeFillShade="f2" w:val="clear"/>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ARWMC</w:t>
            </w:r>
          </w:p>
        </w:tc>
        <w:tc>
          <w:tcPr>
            <w:tcW w:w="2756"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8.16 (5.80)</w:t>
            </w:r>
          </w:p>
        </w:tc>
        <w:tc>
          <w:tcPr>
            <w:tcW w:w="2139"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7.32 (5.08)</w:t>
            </w:r>
          </w:p>
        </w:tc>
        <w:tc>
          <w:tcPr>
            <w:tcW w:w="2648" w:type="dxa"/>
            <w:tcBorders/>
            <w:shd w:color="auto" w:fill="F2F2F2" w:themeFill="background1" w:themeFillShade="f2" w:val="clear"/>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0.472</w:t>
            </w:r>
          </w:p>
        </w:tc>
      </w:tr>
      <w:tr>
        <w:trPr>
          <w:trHeight w:val="316" w:hRule="exact"/>
        </w:trPr>
        <w:tc>
          <w:tcPr>
            <w:tcW w:w="3047" w:type="dxa"/>
            <w:tcBorders/>
            <w:vAlign w:val="center"/>
          </w:tcPr>
          <w:p>
            <w:pPr>
              <w:pStyle w:val="Normal"/>
              <w:widowControl/>
              <w:spacing w:lineRule="auto" w:line="480" w:before="0" w:after="160"/>
              <w:jc w:val="both"/>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TLV (mm3)</w:t>
            </w:r>
          </w:p>
        </w:tc>
        <w:tc>
          <w:tcPr>
            <w:tcW w:w="2756"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5.30 (7.62)</w:t>
            </w:r>
          </w:p>
        </w:tc>
        <w:tc>
          <w:tcPr>
            <w:tcW w:w="2139"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6.60 (9.44)</w:t>
            </w:r>
          </w:p>
        </w:tc>
        <w:tc>
          <w:tcPr>
            <w:tcW w:w="2648" w:type="dxa"/>
            <w:tcBorders/>
            <w:vAlign w:val="center"/>
          </w:tcPr>
          <w:p>
            <w:pPr>
              <w:pStyle w:val="Normal"/>
              <w:widowControl/>
              <w:spacing w:lineRule="auto" w:line="480" w:before="0" w:after="160"/>
              <w:jc w:val="center"/>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20"/>
                <w:szCs w:val="20"/>
                <w:lang w:val="en-US" w:eastAsia="en-US" w:bidi="ar-SA"/>
              </w:rPr>
              <w:t>0.407</w:t>
            </w:r>
          </w:p>
        </w:tc>
      </w:tr>
      <w:tr>
        <w:trPr>
          <w:trHeight w:val="929" w:hRule="exact"/>
          <w:cnfStyle w:val="000000100000" w:firstRow="0" w:lastRow="0" w:firstColumn="0" w:lastColumn="0" w:oddVBand="0" w:evenVBand="0" w:oddHBand="1" w:evenHBand="0" w:firstRowFirstColumn="0" w:firstRowLastColumn="0" w:lastRowFirstColumn="0" w:lastRowLastColumn="0"/>
        </w:trPr>
        <w:tc>
          <w:tcPr>
            <w:tcW w:w="10590" w:type="dxa"/>
            <w:gridSpan w:val="4"/>
            <w:tcBorders/>
            <w:shd w:color="auto" w:fill="F2F2F2" w:themeFill="background1" w:themeFillShade="f2" w:val="clear"/>
            <w:vAlign w:val="center"/>
          </w:tcPr>
          <w:p>
            <w:pPr>
              <w:pStyle w:val="Normal"/>
              <w:widowControl/>
              <w:spacing w:lineRule="auto" w:line="480" w:before="0" w:after="0"/>
              <w:jc w:val="left"/>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16"/>
                <w:szCs w:val="16"/>
                <w:lang w:val="en-US" w:eastAsia="en-US" w:bidi="ar-SA"/>
              </w:rPr>
              <w:t>Note: Continuous variables are reported as mean and standard deviation, categorical variables as number and percentage. All p-values are obtained by</w:t>
            </w:r>
          </w:p>
          <w:p>
            <w:pPr>
              <w:pStyle w:val="Normal"/>
              <w:widowControl/>
              <w:spacing w:lineRule="auto" w:line="480" w:before="0" w:after="0"/>
              <w:jc w:val="left"/>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16"/>
                <w:szCs w:val="16"/>
                <w:lang w:val="en-US" w:eastAsia="en-US" w:bidi="ar-SA"/>
              </w:rPr>
              <w:t>Mann-Whitney U tests for continuous variables and proportion test for frequencies.</w:t>
            </w:r>
          </w:p>
          <w:p>
            <w:pPr>
              <w:pStyle w:val="Normal"/>
              <w:widowControl/>
              <w:spacing w:lineRule="auto" w:line="480" w:before="0" w:after="0"/>
              <w:jc w:val="left"/>
              <w:rPr>
                <w:rFonts w:ascii="Aptos" w:hAnsi="Aptos" w:eastAsia="Aptos" w:cs=""/>
                <w:color w:val="000000"/>
                <w:kern w:val="0"/>
                <w:sz w:val="22"/>
                <w:szCs w:val="22"/>
                <w:lang w:val="it-IT" w:eastAsia="en-US" w:bidi="ar-SA"/>
              </w:rPr>
            </w:pPr>
            <w:r>
              <w:rPr>
                <w:rFonts w:eastAsia="Aptos" w:cs="Times New Roman" w:ascii="Times New Roman" w:hAnsi="Times New Roman"/>
                <w:color w:val="000000"/>
                <w:kern w:val="0"/>
                <w:sz w:val="16"/>
                <w:szCs w:val="16"/>
                <w:lang w:val="en-US" w:eastAsia="en-US" w:bidi="ar-SA"/>
              </w:rPr>
              <w:t>Abbreviations: AD, Alzheimer’s disease; ARWMC,</w:t>
            </w:r>
            <w:r>
              <w:rPr>
                <w:rFonts w:eastAsia="Aptos" w:cs=""/>
                <w:color w:val="000000"/>
                <w:kern w:val="0"/>
                <w:sz w:val="22"/>
                <w:szCs w:val="22"/>
                <w:lang w:val="en-US" w:eastAsia="en-US" w:bidi="ar-SA"/>
              </w:rPr>
              <w:t xml:space="preserve"> </w:t>
            </w:r>
            <w:r>
              <w:rPr>
                <w:rFonts w:eastAsia="Aptos" w:cs="Times New Roman" w:ascii="Times New Roman" w:hAnsi="Times New Roman"/>
                <w:color w:val="000000"/>
                <w:kern w:val="0"/>
                <w:sz w:val="16"/>
                <w:szCs w:val="16"/>
                <w:lang w:val="en-US" w:eastAsia="en-US" w:bidi="ar-SA"/>
              </w:rPr>
              <w:t>age-related white matter change scale; CU, cognitively unimpaired; DEM, dementia; MCI, mild cognitive impairment; MMSE, mini-mental state examination; GFAP, Glial Fibrillary Acidic Protein; SUVR, standardized uptake value ratios; TLV, total lesion volume.</w:t>
            </w:r>
          </w:p>
        </w:tc>
      </w:tr>
    </w:tbl>
    <w:p>
      <w:pPr>
        <w:pStyle w:val="Normal"/>
        <w:rPr>
          <w:color w:val="000000"/>
          <w:lang w:val="en-US"/>
        </w:rPr>
      </w:pPr>
      <w:r>
        <w:rPr>
          <w:color w:val="000000"/>
          <w:lang w:val="en-US"/>
        </w:rPr>
      </w:r>
    </w:p>
    <w:p>
      <w:pPr>
        <w:pStyle w:val="Normal"/>
        <w:rPr>
          <w:color w:val="000000"/>
          <w:lang w:val="en-US"/>
        </w:rPr>
      </w:pPr>
      <w:r>
        <w:rPr>
          <w:color w:val="000000"/>
          <w:lang w:val="en-US"/>
        </w:rPr>
      </w:r>
    </w:p>
    <w:p>
      <w:pPr>
        <w:pStyle w:val="Normal"/>
        <w:jc w:val="both"/>
        <w:rPr>
          <w:color w:val="000000"/>
        </w:rPr>
      </w:pPr>
      <w:r>
        <w:rPr>
          <w:rFonts w:cs="Times New Roman" w:ascii="Times New Roman" w:hAnsi="Times New Roman"/>
          <w:b/>
          <w:bCs/>
          <w:color w:val="000000"/>
          <w:lang w:val="en-US"/>
        </w:rPr>
        <w:t xml:space="preserve">Figure S1. Meta ROI for early-phase perfusion images. </w:t>
      </w:r>
      <w:r>
        <w:rPr>
          <w:rFonts w:cs="Times New Roman" w:ascii="Times New Roman" w:hAnsi="Times New Roman"/>
          <w:color w:val="000000"/>
          <w:lang w:val="en-US"/>
        </w:rPr>
        <w:t>A voxel-wise linear regression model including intensity-normalized early-phase tau images and the MMSE scores was used to identify a relevant meta-ROI for early-phase perfusion. The statistical threshold was set at p&lt;0.005, FWE-corrected at the cluster level. The obtained ROI resembled the Alzheimer’s disease-typical hypometabolic pattern including temporoparietal and frontal regions and has been used to extract the SUVR for early-phase perfusion images.</w:t>
      </w:r>
    </w:p>
    <w:p>
      <w:pPr>
        <w:pStyle w:val="Normal"/>
        <w:jc w:val="center"/>
        <w:rPr>
          <w:color w:val="000000"/>
        </w:rPr>
      </w:pPr>
      <w:r>
        <w:rPr>
          <w:color w:val="000000"/>
        </w:rPr>
        <w:drawing>
          <wp:inline distT="0" distB="0" distL="0" distR="0">
            <wp:extent cx="2976245" cy="3562350"/>
            <wp:effectExtent l="0" t="0" r="0" b="0"/>
            <wp:docPr id="1" name="Picture 5" descr="A close-up of a mri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A close-up of a mri scan&#10;&#10;Description automatically generated"/>
                    <pic:cNvPicPr>
                      <a:picLocks noChangeAspect="1" noChangeArrowheads="1"/>
                    </pic:cNvPicPr>
                  </pic:nvPicPr>
                  <pic:blipFill>
                    <a:blip r:embed="rId2"/>
                    <a:stretch>
                      <a:fillRect/>
                    </a:stretch>
                  </pic:blipFill>
                  <pic:spPr bwMode="auto">
                    <a:xfrm>
                      <a:off x="0" y="0"/>
                      <a:ext cx="2976245" cy="3562350"/>
                    </a:xfrm>
                    <a:prstGeom prst="rect">
                      <a:avLst/>
                    </a:prstGeom>
                    <a:noFill/>
                  </pic:spPr>
                </pic:pic>
              </a:graphicData>
            </a:graphic>
          </wp:inline>
        </w:drawing>
      </w:r>
    </w:p>
    <w:p>
      <w:pPr>
        <w:pStyle w:val="Normal"/>
        <w:spacing w:lineRule="auto" w:line="276"/>
        <w:rPr>
          <w:rFonts w:ascii="Times New Roman" w:hAnsi="Times New Roman" w:cs="Times New Roman"/>
          <w:b/>
          <w:bCs/>
          <w:color w:val="000000"/>
          <w:lang w:val="en-GB"/>
        </w:rPr>
      </w:pPr>
      <w:r>
        <w:rPr>
          <w:rFonts w:cs="Times New Roman" w:ascii="Times New Roman" w:hAnsi="Times New Roman"/>
          <w:b/>
          <w:bCs/>
          <w:color w:val="000000"/>
          <w:lang w:val="en-GB"/>
        </w:rPr>
      </w:r>
    </w:p>
    <w:p>
      <w:pPr>
        <w:pStyle w:val="Normal"/>
        <w:spacing w:lineRule="auto" w:line="276"/>
        <w:rPr>
          <w:color w:val="000000"/>
        </w:rPr>
      </w:pPr>
      <w:r>
        <w:rPr>
          <w:rFonts w:cs="Times New Roman" w:ascii="Times New Roman" w:hAnsi="Times New Roman"/>
          <w:b/>
          <w:bCs/>
          <w:color w:val="000000"/>
          <w:lang w:val="en-GB"/>
        </w:rPr>
        <w:t xml:space="preserve">Figure S2. Associations between white matter lesions and cognitive outcomes in females (pink) and males (blue). </w:t>
      </w:r>
      <w:r>
        <w:rPr>
          <w:rFonts w:cs="Times New Roman" w:ascii="Times New Roman" w:hAnsi="Times New Roman"/>
          <w:color w:val="000000"/>
          <w:lang w:val="en-GB"/>
        </w:rPr>
        <w:t>Linear regressions show the different associations between ARWMC and TLV and cognitive performance (MMSE at baseline) and decline (MMSE rate of changes). The shaded areas around each regression line in the plots represent the confidence intervals for the regression lines.</w:t>
      </w:r>
    </w:p>
    <w:p>
      <w:pPr>
        <w:pStyle w:val="Normal"/>
        <w:spacing w:lineRule="auto" w:line="276"/>
        <w:rPr>
          <w:rFonts w:ascii="Times New Roman" w:hAnsi="Times New Roman" w:cs="Times New Roman"/>
          <w:b/>
          <w:bCs/>
          <w:color w:val="000000"/>
          <w:lang w:val="en-GB"/>
        </w:rPr>
      </w:pPr>
      <w:r>
        <w:rPr>
          <w:rFonts w:cs="Times New Roman" w:ascii="Times New Roman" w:hAnsi="Times New Roman"/>
          <w:b/>
          <w:bCs/>
          <w:color w:val="000000"/>
          <w:lang w:val="en-GB"/>
        </w:rPr>
      </w:r>
    </w:p>
    <w:p>
      <w:pPr>
        <w:pStyle w:val="Normal"/>
        <w:spacing w:lineRule="auto" w:line="276"/>
        <w:rPr>
          <w:color w:val="000000"/>
        </w:rPr>
      </w:pPr>
      <w:r>
        <w:rPr>
          <w:color w:val="000000"/>
        </w:rPr>
        <w:drawing>
          <wp:inline distT="0" distB="0" distL="0" distR="0">
            <wp:extent cx="5154295" cy="2633980"/>
            <wp:effectExtent l="0" t="0" r="0" b="0"/>
            <wp:docPr id="2"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pic:cNvPicPr>
                      <a:picLocks noChangeAspect="1" noChangeArrowheads="1"/>
                    </pic:cNvPicPr>
                  </pic:nvPicPr>
                  <pic:blipFill>
                    <a:blip r:embed="rId3"/>
                    <a:stretch>
                      <a:fillRect/>
                    </a:stretch>
                  </pic:blipFill>
                  <pic:spPr bwMode="auto">
                    <a:xfrm>
                      <a:off x="0" y="0"/>
                      <a:ext cx="5154295" cy="2633980"/>
                    </a:xfrm>
                    <a:prstGeom prst="rect">
                      <a:avLst/>
                    </a:prstGeom>
                    <a:noFill/>
                  </pic:spPr>
                </pic:pic>
              </a:graphicData>
            </a:graphic>
          </wp:inline>
        </w:drawing>
      </w:r>
    </w:p>
    <w:p>
      <w:pPr>
        <w:pStyle w:val="Normal"/>
        <w:spacing w:lineRule="auto" w:line="276"/>
        <w:rPr>
          <w:rFonts w:ascii="Times New Roman" w:hAnsi="Times New Roman" w:cs="Times New Roman"/>
          <w:b/>
          <w:bCs/>
          <w:color w:val="000000"/>
          <w:lang w:val="en-GB"/>
        </w:rPr>
      </w:pPr>
      <w:r>
        <w:rPr>
          <w:rFonts w:cs="Times New Roman" w:ascii="Times New Roman" w:hAnsi="Times New Roman"/>
          <w:b/>
          <w:bCs/>
          <w:color w:val="000000"/>
          <w:lang w:val="en-GB"/>
        </w:rPr>
      </w:r>
    </w:p>
    <w:p>
      <w:pPr>
        <w:pStyle w:val="Normal"/>
        <w:spacing w:lineRule="auto" w:line="276"/>
        <w:rPr>
          <w:color w:val="000000"/>
        </w:rPr>
      </w:pPr>
      <w:r>
        <w:rPr>
          <w:rFonts w:cs="Times New Roman" w:ascii="Times New Roman" w:hAnsi="Times New Roman"/>
          <w:b/>
          <w:bCs/>
          <w:color w:val="000000"/>
          <w:lang w:val="en-GB"/>
        </w:rPr>
        <w:t>Figure S</w:t>
      </w:r>
      <w:r>
        <w:rPr>
          <w:rFonts w:cs="Times New Roman" w:ascii="Times New Roman" w:hAnsi="Times New Roman"/>
          <w:b/>
          <w:bCs/>
          <w:color w:val="000000"/>
          <w:lang w:val="en-GB"/>
        </w:rPr>
        <w:t>3</w:t>
      </w:r>
      <w:r>
        <w:rPr>
          <w:rFonts w:cs="Times New Roman" w:ascii="Times New Roman" w:hAnsi="Times New Roman"/>
          <w:b/>
          <w:bCs/>
          <w:color w:val="000000"/>
          <w:lang w:val="en-GB"/>
        </w:rPr>
        <w:t>. Longitudinal results show different cognitive trajectories of MMSE scores over time in females and males at different levels of AD cortical thickness.</w:t>
      </w:r>
      <w:r>
        <w:rPr>
          <w:rFonts w:cs="Times New Roman" w:ascii="Times New Roman" w:hAnsi="Times New Roman"/>
          <w:color w:val="000000"/>
          <w:lang w:val="en-GB"/>
        </w:rPr>
        <w:t xml:space="preserve"> Results obtained with the longitudinal linear mixed-effect model showed a significant three-way interaction effect showing that females with high atrophy (lower tertile) exhibited faster cognitive decline than men with high atrophy</w:t>
      </w:r>
      <w:r>
        <w:rPr>
          <w:rFonts w:cs="Times New Roman" w:ascii="Times New Roman" w:hAnsi="Times New Roman"/>
          <w:color w:val="000000"/>
          <w:lang w:val="en-GB"/>
        </w:rPr>
        <w:t>, and males with low atrophy (upper tertile) exhibited faster cognitive decline then females with low atrophy</w:t>
      </w:r>
      <w:r>
        <w:rPr>
          <w:rFonts w:cs="Times New Roman" w:ascii="Times New Roman" w:hAnsi="Times New Roman"/>
          <w:color w:val="000000"/>
          <w:lang w:val="en-GB"/>
        </w:rPr>
        <w:t>.</w:t>
      </w:r>
    </w:p>
    <w:p>
      <w:pPr>
        <w:pStyle w:val="Normal"/>
        <w:spacing w:before="0" w:after="160"/>
        <w:jc w:val="center"/>
        <w:rPr>
          <w:color w:val="000000"/>
        </w:rPr>
      </w:pPr>
      <w:r>
        <w:rPr>
          <w:color w:val="000000"/>
        </w:rPr>
        <w:drawing>
          <wp:inline distT="0" distB="0" distL="0" distR="0">
            <wp:extent cx="5760720" cy="2878455"/>
            <wp:effectExtent l="0" t="0" r="0" b="0"/>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4"/>
                    <a:stretch>
                      <a:fillRect/>
                    </a:stretch>
                  </pic:blipFill>
                  <pic:spPr bwMode="auto">
                    <a:xfrm>
                      <a:off x="0" y="0"/>
                      <a:ext cx="5760720" cy="2878455"/>
                    </a:xfrm>
                    <a:prstGeom prst="rect">
                      <a:avLst/>
                    </a:prstGeom>
                    <a:noFill/>
                  </pic:spPr>
                </pic:pic>
              </a:graphicData>
            </a:graphic>
          </wp:inline>
        </w:drawing>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en-CH"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en-CH" w:eastAsia="en-US" w:bidi="ar-SA"/>
      <w14:ligatures w14:val="standardContextual"/>
    </w:rPr>
  </w:style>
  <w:style w:type="paragraph" w:styleId="Heading1">
    <w:name w:val="heading 1"/>
    <w:basedOn w:val="Normal"/>
    <w:next w:val="Normal"/>
    <w:link w:val="Heading1Char"/>
    <w:uiPriority w:val="9"/>
    <w:qFormat/>
    <w:rsid w:val="009b17d2"/>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9b17d2"/>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9b17d2"/>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9b17d2"/>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9b17d2"/>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9b17d2"/>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9b17d2"/>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9b17d2"/>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9b17d2"/>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9b17d2"/>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9b17d2"/>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9b17d2"/>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9b17d2"/>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9b17d2"/>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9b17d2"/>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9b17d2"/>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9b17d2"/>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9b17d2"/>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9b17d2"/>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9b17d2"/>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9b17d2"/>
    <w:rPr>
      <w:i/>
      <w:iCs/>
      <w:color w:themeColor="text1" w:themeTint="bf" w:val="404040"/>
    </w:rPr>
  </w:style>
  <w:style w:type="character" w:styleId="IntenseEmphasis">
    <w:name w:val="Intense Emphasis"/>
    <w:basedOn w:val="DefaultParagraphFont"/>
    <w:uiPriority w:val="21"/>
    <w:qFormat/>
    <w:rsid w:val="009b17d2"/>
    <w:rPr>
      <w:i/>
      <w:iCs/>
      <w:color w:themeColor="accent1" w:themeShade="bf" w:val="0F4761"/>
    </w:rPr>
  </w:style>
  <w:style w:type="character" w:styleId="IntenseQuoteChar" w:customStyle="1">
    <w:name w:val="Intense Quote Char"/>
    <w:basedOn w:val="DefaultParagraphFont"/>
    <w:link w:val="IntenseQuote"/>
    <w:uiPriority w:val="30"/>
    <w:qFormat/>
    <w:rsid w:val="009b17d2"/>
    <w:rPr>
      <w:i/>
      <w:iCs/>
      <w:color w:themeColor="accent1" w:themeShade="bf" w:val="0F4761"/>
    </w:rPr>
  </w:style>
  <w:style w:type="character" w:styleId="IntenseReference">
    <w:name w:val="Intense Reference"/>
    <w:basedOn w:val="DefaultParagraphFont"/>
    <w:uiPriority w:val="32"/>
    <w:qFormat/>
    <w:rsid w:val="009b17d2"/>
    <w:rPr>
      <w:b/>
      <w:bCs/>
      <w:smallCaps/>
      <w:color w:themeColor="accent1" w:themeShade="bf" w:val="0F4761"/>
      <w:spacing w:val="5"/>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9b17d2"/>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9b17d2"/>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9b17d2"/>
    <w:pPr>
      <w:spacing w:before="160" w:after="160"/>
      <w:jc w:val="center"/>
    </w:pPr>
    <w:rPr>
      <w:i/>
      <w:iCs/>
      <w:color w:themeColor="text1" w:themeTint="bf" w:val="404040"/>
    </w:rPr>
  </w:style>
  <w:style w:type="paragraph" w:styleId="ListParagraph">
    <w:name w:val="List Paragraph"/>
    <w:basedOn w:val="Normal"/>
    <w:uiPriority w:val="34"/>
    <w:qFormat/>
    <w:rsid w:val="009b17d2"/>
    <w:pPr>
      <w:spacing w:before="0" w:after="160"/>
      <w:ind w:left="720"/>
      <w:contextualSpacing/>
    </w:pPr>
    <w:rPr/>
  </w:style>
  <w:style w:type="paragraph" w:styleId="IntenseQuote">
    <w:name w:val="Intense Quote"/>
    <w:basedOn w:val="Normal"/>
    <w:next w:val="Normal"/>
    <w:link w:val="IntenseQuoteChar"/>
    <w:uiPriority w:val="30"/>
    <w:qFormat/>
    <w:rsid w:val="009b17d2"/>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PlainTable3">
    <w:name w:val="Plain Table 3"/>
    <w:basedOn w:val="TableNormal"/>
    <w:uiPriority w:val="43"/>
    <w:rsid w:val="0002570a"/>
    <w:pPr>
      <w:spacing w:after="0" w:line="240" w:lineRule="auto"/>
    </w:pPr>
    <w:rPr>
      <w:lang w:val="it-IT"/>
    </w:rPr>
    <w:tblPr>
      <w:tblStyleRowBandSize w:val="1"/>
      <w:tblStyleColBandSize w:val="1"/>
    </w:tblPr>
    <w:tblStylePr w:type="firstRow">
      <w:rPr>
        <w:b/>
        <w:bCs/>
        <w:caps/>
      </w:rPr>
      <w:tblPr/>
      <w:tcPr>
        <w:tcBorders>
          <w:bottom w:val="single" w:color="7F7F7F" w:themeColor="text1"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284</TotalTime>
  <Application>LibreOffice/24.8.4.2$Windows_X86_64 LibreOffice_project/bb3cfa12c7b1bf994ecc5649a80400d06cd71002</Application>
  <AppVersion>15.0000</AppVersion>
  <Pages>3</Pages>
  <Words>663</Words>
  <Characters>3898</Characters>
  <CharactersWithSpaces>4697</CharactersWithSpaces>
  <Paragraphs>181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2024-06-25T14:35:00Z</dcterms:created>
  <dc:creator>Cécilia Boccalini</dc:creator>
  <dc:description/>
  <dc:language>en-IN</dc:language>
  <cp:lastModifiedBy/>
  <dcterms:modified xsi:type="dcterms:W3CDTF">2025-02-18T11:17:51Z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633caf97-d9aa-45d7-ad21-c41c107fe377</vt:lpwstr>
  </property>
</Properties>
</file>