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CDA" w:rsidRPr="00683B65" w:rsidRDefault="007E4CDA" w:rsidP="007E4CDA">
      <w:pPr>
        <w:spacing w:line="48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US"/>
        </w:rPr>
      </w:pPr>
    </w:p>
    <w:p w:rsidR="007E4CDA" w:rsidRPr="00683B65" w:rsidRDefault="007E4CDA" w:rsidP="007E4CDA">
      <w:pPr>
        <w:spacing w:line="48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US"/>
        </w:rPr>
      </w:pPr>
      <w:r w:rsidRPr="00683B65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US"/>
        </w:rPr>
        <w:t>Supplementary material:</w:t>
      </w:r>
    </w:p>
    <w:p w:rsidR="007E4CDA" w:rsidRPr="00683B65" w:rsidRDefault="007E4CDA" w:rsidP="007E4CDA">
      <w:pPr>
        <w:spacing w:before="240" w:after="240" w:line="480" w:lineRule="auto"/>
        <w:rPr>
          <w:rFonts w:ascii="Arial" w:eastAsia="Arial" w:hAnsi="Arial" w:cs="Arial"/>
          <w:b/>
          <w:color w:val="000000" w:themeColor="text1"/>
          <w:sz w:val="22"/>
          <w:szCs w:val="22"/>
          <w:u w:val="single"/>
          <w:lang w:val="en-US"/>
        </w:rPr>
      </w:pPr>
      <w:r w:rsidRPr="00683B65">
        <w:rPr>
          <w:rFonts w:ascii="Arial" w:eastAsia="Arial" w:hAnsi="Arial" w:cs="Arial"/>
          <w:b/>
          <w:color w:val="000000" w:themeColor="text1"/>
          <w:sz w:val="22"/>
          <w:szCs w:val="22"/>
          <w:u w:val="single"/>
          <w:lang w:val="en-US"/>
        </w:rPr>
        <w:t>ADNI</w:t>
      </w:r>
    </w:p>
    <w:tbl>
      <w:tblPr>
        <w:tblW w:w="10469" w:type="dxa"/>
        <w:tblCellMar>
          <w:left w:w="70" w:type="dxa"/>
          <w:right w:w="70" w:type="dxa"/>
        </w:tblCellMar>
        <w:tblLook w:val="04A0"/>
      </w:tblPr>
      <w:tblGrid>
        <w:gridCol w:w="2410"/>
        <w:gridCol w:w="1985"/>
        <w:gridCol w:w="2409"/>
        <w:gridCol w:w="1843"/>
        <w:gridCol w:w="1822"/>
      </w:tblGrid>
      <w:tr w:rsidR="007E4CDA" w:rsidRPr="00BA1AA9" w:rsidTr="00C342B7">
        <w:trPr>
          <w:trHeight w:val="300"/>
        </w:trPr>
        <w:tc>
          <w:tcPr>
            <w:tcW w:w="86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r w:rsidRPr="00683B6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Supplementary Table 1</w:t>
            </w:r>
          </w:p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683B6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GB"/>
              </w:rPr>
              <w:t>Sociodemographic and biomarker differences in the ADNI cohort</w:t>
            </w:r>
          </w:p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</w:p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7E4CDA" w:rsidRPr="00683B65" w:rsidTr="00C342B7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HC(n=49)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AD(n=43)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p-value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Cohens d</w:t>
            </w:r>
          </w:p>
        </w:tc>
      </w:tr>
      <w:tr w:rsidR="007E4CDA" w:rsidRPr="00683B65" w:rsidTr="00C342B7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rPr>
          <w:trHeight w:val="300"/>
        </w:trPr>
        <w:tc>
          <w:tcPr>
            <w:tcW w:w="24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age(years), SD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69.8 ± 6.8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73.7 ± 7.6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.013*</w:t>
            </w:r>
          </w:p>
        </w:tc>
        <w:tc>
          <w:tcPr>
            <w:tcW w:w="1822" w:type="dxa"/>
            <w:tcBorders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0.54</w:t>
            </w:r>
          </w:p>
        </w:tc>
      </w:tr>
      <w:tr w:rsidR="007E4CDA" w:rsidRPr="00683B65" w:rsidTr="00C342B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sex(M/F)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12/24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17/13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.031*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yearsofeducation, SD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16.6 ± 2.6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15.9 ± 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.367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0.21</w:t>
            </w:r>
          </w:p>
        </w:tc>
      </w:tr>
      <w:tr w:rsidR="007E4CDA" w:rsidRPr="00683B65" w:rsidTr="00C342B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MMSE, SD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29.2 ± 0.9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25.2 ± 4.3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.000*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1.33</w:t>
            </w:r>
          </w:p>
        </w:tc>
      </w:tr>
      <w:tr w:rsidR="007E4CDA" w:rsidRPr="00683B65" w:rsidTr="00C342B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CDR, SD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 ± 0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0.7 ± 0.4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.000*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A</w:t>
            </w:r>
            <w:r w:rsidRPr="00683B65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>β</w:t>
            </w: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42 (pg/ml), SD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1618.7 ± 765.8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923.7 ± 1650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.021*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0.55</w:t>
            </w:r>
          </w:p>
        </w:tc>
      </w:tr>
      <w:tr w:rsidR="007E4CDA" w:rsidRPr="00683B65" w:rsidTr="00C342B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A</w:t>
            </w:r>
            <w:r w:rsidRPr="00683B65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>β</w:t>
            </w: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42_40_ratio, SD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0.09 ± 0.013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0.03 ± 0.007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.000*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5.66</w:t>
            </w:r>
          </w:p>
        </w:tc>
      </w:tr>
      <w:tr w:rsidR="007E4CDA" w:rsidRPr="00683B65" w:rsidTr="00C342B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WMH_number, SD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12.73 ± 7.39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15.55 ± 9.01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.361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8.16</w:t>
            </w:r>
          </w:p>
        </w:tc>
      </w:tr>
      <w:tr w:rsidR="007E4CDA" w:rsidRPr="00683B65" w:rsidTr="00C342B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WMH_volume (ml), SD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6.164 ± 10.631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7.141 ± 7.992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.665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0.58</w:t>
            </w:r>
          </w:p>
        </w:tc>
      </w:tr>
      <w:tr w:rsidR="007E4CDA" w:rsidRPr="00683B65" w:rsidTr="00C342B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ALPS_comb, SD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1.19 ± 0.13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1.08 ± 0.24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.008*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0.58</w:t>
            </w:r>
          </w:p>
        </w:tc>
      </w:tr>
      <w:tr w:rsidR="007E4CDA" w:rsidRPr="00683B65" w:rsidTr="00C342B7">
        <w:trPr>
          <w:trHeight w:val="300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ALPS_R, SD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1.21 ± 0.15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1.09 ± 0.17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.001*</w:t>
            </w: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0.75</w:t>
            </w:r>
          </w:p>
        </w:tc>
      </w:tr>
      <w:tr w:rsidR="007E4CDA" w:rsidRPr="00683B65" w:rsidTr="00C342B7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ALPS_L, SD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1.17 ± 0.15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1.12 ± 0.19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.149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0.29</w:t>
            </w:r>
          </w:p>
        </w:tc>
      </w:tr>
      <w:tr w:rsidR="007E4CDA" w:rsidRPr="00BA1AA9" w:rsidTr="00C342B7">
        <w:trPr>
          <w:trHeight w:val="300"/>
        </w:trPr>
        <w:tc>
          <w:tcPr>
            <w:tcW w:w="1046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83B6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Abbreviations:</w:t>
            </w: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M/F, male/female; HC, healthy controls; AD, Alzheimer's Disease; MMSE. Mini-Mental State Examination; ALPS, along perivascular spaces; comb, Left and Right Index combined, L, left; R, right; WMH, White Matter hyperintensities; missing sex (n=26) * significant difference with P &lt; 0.05, in a two-sided, two sample T-test.</w:t>
            </w:r>
          </w:p>
        </w:tc>
      </w:tr>
    </w:tbl>
    <w:p w:rsidR="007E4CDA" w:rsidRPr="00683B65" w:rsidRDefault="007E4CDA" w:rsidP="007E4CDA">
      <w:pPr>
        <w:spacing w:before="240" w:after="240" w:line="480" w:lineRule="auto"/>
        <w:rPr>
          <w:rFonts w:ascii="Arial" w:eastAsia="Arial" w:hAnsi="Arial" w:cs="Arial"/>
          <w:b/>
          <w:color w:val="000000" w:themeColor="text1"/>
          <w:sz w:val="22"/>
          <w:szCs w:val="22"/>
          <w:u w:val="single"/>
          <w:lang w:val="en-GB"/>
        </w:rPr>
      </w:pPr>
    </w:p>
    <w:p w:rsidR="007E4CDA" w:rsidRPr="00683B65" w:rsidRDefault="007E4CDA" w:rsidP="007E4CDA">
      <w:pPr>
        <w:spacing w:before="240" w:after="240" w:line="480" w:lineRule="auto"/>
        <w:rPr>
          <w:rFonts w:ascii="Arial" w:eastAsia="Arial" w:hAnsi="Arial" w:cs="Arial"/>
          <w:b/>
          <w:color w:val="000000" w:themeColor="text1"/>
          <w:sz w:val="22"/>
          <w:szCs w:val="22"/>
          <w:u w:val="single"/>
          <w:lang w:val="en-US"/>
        </w:rPr>
      </w:pPr>
    </w:p>
    <w:p w:rsidR="007E4CDA" w:rsidRPr="00683B65" w:rsidRDefault="007E4CDA" w:rsidP="007E4CDA">
      <w:pPr>
        <w:spacing w:before="240" w:after="240" w:line="480" w:lineRule="auto"/>
        <w:rPr>
          <w:rFonts w:ascii="Arial" w:eastAsia="Arial" w:hAnsi="Arial" w:cs="Arial"/>
          <w:b/>
          <w:color w:val="000000" w:themeColor="text1"/>
          <w:sz w:val="22"/>
          <w:szCs w:val="22"/>
          <w:u w:val="single"/>
          <w:lang w:val="en-US"/>
        </w:rPr>
      </w:pPr>
    </w:p>
    <w:p w:rsidR="007E4CDA" w:rsidRPr="00683B65" w:rsidRDefault="007E4CDA" w:rsidP="007E4CDA">
      <w:pPr>
        <w:spacing w:before="240" w:after="240" w:line="480" w:lineRule="auto"/>
        <w:rPr>
          <w:rFonts w:ascii="Arial" w:eastAsia="Arial" w:hAnsi="Arial" w:cs="Arial"/>
          <w:b/>
          <w:color w:val="000000" w:themeColor="text1"/>
          <w:sz w:val="22"/>
          <w:szCs w:val="22"/>
          <w:u w:val="single"/>
          <w:lang w:val="en-US"/>
        </w:rPr>
      </w:pPr>
      <w:r w:rsidRPr="00683B65">
        <w:rPr>
          <w:rFonts w:ascii="Arial" w:eastAsia="Arial" w:hAnsi="Arial" w:cs="Arial"/>
          <w:b/>
          <w:color w:val="000000" w:themeColor="text1"/>
          <w:sz w:val="22"/>
          <w:szCs w:val="22"/>
          <w:u w:val="single"/>
          <w:lang w:val="en-US"/>
        </w:rPr>
        <w:t>ActiGliA</w:t>
      </w:r>
    </w:p>
    <w:p w:rsidR="007E4CDA" w:rsidRPr="00683B65" w:rsidRDefault="007E4CDA" w:rsidP="007E4CDA">
      <w:pPr>
        <w:spacing w:before="240" w:after="240" w:line="480" w:lineRule="auto"/>
        <w:rPr>
          <w:rFonts w:ascii="Arial" w:eastAsia="Arial" w:hAnsi="Arial" w:cs="Arial"/>
          <w:b/>
          <w:color w:val="000000" w:themeColor="text1"/>
          <w:sz w:val="22"/>
          <w:szCs w:val="22"/>
          <w:u w:val="single"/>
          <w:lang w:val="en-US"/>
        </w:rPr>
      </w:pPr>
    </w:p>
    <w:tbl>
      <w:tblPr>
        <w:tblW w:w="10469" w:type="dxa"/>
        <w:tblCellMar>
          <w:left w:w="70" w:type="dxa"/>
          <w:right w:w="70" w:type="dxa"/>
        </w:tblCellMar>
        <w:tblLook w:val="04A0"/>
      </w:tblPr>
      <w:tblGrid>
        <w:gridCol w:w="2409"/>
        <w:gridCol w:w="2411"/>
        <w:gridCol w:w="2551"/>
        <w:gridCol w:w="1560"/>
        <w:gridCol w:w="1392"/>
        <w:gridCol w:w="146"/>
      </w:tblGrid>
      <w:tr w:rsidR="007E4CDA" w:rsidRPr="00BA1AA9" w:rsidTr="00C342B7">
        <w:trPr>
          <w:trHeight w:val="300"/>
        </w:trPr>
        <w:tc>
          <w:tcPr>
            <w:tcW w:w="893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683B6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Supplementary Table 2</w:t>
            </w:r>
          </w:p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683B6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GB"/>
              </w:rPr>
              <w:t>Sociodemographic and biomarker differences in the ActiGliA cohort</w:t>
            </w:r>
          </w:p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392" w:type="dxa"/>
            <w:tcBorders>
              <w:top w:val="nil"/>
              <w:left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46" w:type="dxa"/>
            <w:tcBorders>
              <w:top w:val="nil"/>
              <w:left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7E4CDA" w:rsidRPr="00BA1AA9" w:rsidTr="00C342B7">
        <w:trPr>
          <w:trHeight w:val="300"/>
        </w:trPr>
        <w:tc>
          <w:tcPr>
            <w:tcW w:w="89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7E4CDA" w:rsidRPr="00683B65" w:rsidTr="00C342B7">
        <w:trPr>
          <w:trHeight w:val="300"/>
        </w:trPr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HC(n=18)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AD(n=16)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p-value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Cohens d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rPr>
          <w:trHeight w:val="300"/>
        </w:trPr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rPr>
          <w:trHeight w:val="30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age(years), SD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70.94 ± 7.08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70.75 ± 7.47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.938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rPr>
          <w:trHeight w:val="30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sex(M/F)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9/9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10/6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.479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rPr>
          <w:trHeight w:val="30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yearsofeducation, SD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15.19 ± 3.87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15.31 ± 4.87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.938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-0.03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rPr>
          <w:trHeight w:val="30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MMSE, SD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29.56 ± 0.71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24.13 ± 2.99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.000*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2.57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rPr>
          <w:trHeight w:val="30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CDR, SD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 ± 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0.56 ± 0.17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.000*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rPr>
          <w:trHeight w:val="30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A</w:t>
            </w:r>
            <w:r w:rsidRPr="00683B65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>β</w:t>
            </w: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42 (pg/ml), SD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1022.73 ± 480.34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469.26 ± 143.03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.000*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2.08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rPr>
          <w:trHeight w:val="30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A</w:t>
            </w:r>
            <w:r w:rsidRPr="00683B65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>β</w:t>
            </w: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42_40_ratio, SD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7.39 ± 0.96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3.70 ± 0.97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.000*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3.84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rPr>
          <w:trHeight w:val="30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WMH_number, SD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7.41 ± 6.14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18.8 ± 6.73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.147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6.43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rPr>
          <w:trHeight w:val="30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WMH_volume (ml), SD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2.86 ± 3.62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6.38 ± 11.88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.283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0.41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rPr>
          <w:trHeight w:val="300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ALPS_comb, SD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1.36 ± .014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1.22 ± 0.10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.004*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1.14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rPr>
          <w:trHeight w:val="300"/>
        </w:trPr>
        <w:tc>
          <w:tcPr>
            <w:tcW w:w="24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ALPS_R, SD</w:t>
            </w:r>
          </w:p>
        </w:tc>
        <w:tc>
          <w:tcPr>
            <w:tcW w:w="24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1.34 ± 0.16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1.22 ±0.18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.055</w:t>
            </w:r>
          </w:p>
        </w:tc>
        <w:tc>
          <w:tcPr>
            <w:tcW w:w="1392" w:type="dxa"/>
            <w:tcBorders>
              <w:top w:val="nil"/>
              <w:left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0.71</w:t>
            </w:r>
          </w:p>
        </w:tc>
        <w:tc>
          <w:tcPr>
            <w:tcW w:w="146" w:type="dxa"/>
            <w:tcBorders>
              <w:top w:val="nil"/>
              <w:left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rPr>
          <w:trHeight w:val="300"/>
        </w:trPr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ALPS_L, SD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1.38 ± 0.15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1.22 ± 0.1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.001*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1.23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BA1AA9" w:rsidTr="00C342B7">
        <w:trPr>
          <w:trHeight w:val="300"/>
        </w:trPr>
        <w:tc>
          <w:tcPr>
            <w:tcW w:w="1032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83B6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Abbreviations:</w:t>
            </w: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M/F, male/female; HC, healthy controls; AD, Alzheimer's Disease; MMSE. Mini-Mental State Examination; ALPS, along perivascular spaces; comb, Left and Right Index combined, L, left; R, right; WML, White Matter lesions; * significant difference with P &lt; 0.05, in a two-sided, two sample T-test.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:rsidR="007E4CDA" w:rsidRPr="00683B65" w:rsidRDefault="007E4CDA" w:rsidP="007E4CDA">
      <w:pPr>
        <w:spacing w:line="480" w:lineRule="auto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</w:p>
    <w:p w:rsidR="007E4CDA" w:rsidRPr="00683B65" w:rsidRDefault="007E4CDA" w:rsidP="007E4CDA">
      <w:pPr>
        <w:spacing w:before="240" w:after="240" w:line="48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  <w:r w:rsidRPr="00683B65">
        <w:rPr>
          <w:rFonts w:ascii="Arial" w:eastAsia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DELCODE</w:t>
      </w:r>
    </w:p>
    <w:p w:rsidR="007E4CDA" w:rsidRPr="00683B65" w:rsidRDefault="007E4CDA" w:rsidP="007E4CDA">
      <w:pPr>
        <w:spacing w:before="240" w:after="240" w:line="48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</w:p>
    <w:p w:rsidR="007E4CDA" w:rsidRPr="00683B65" w:rsidRDefault="007E4CDA" w:rsidP="007E4CDA">
      <w:pPr>
        <w:spacing w:before="240" w:after="240" w:line="48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</w:p>
    <w:tbl>
      <w:tblPr>
        <w:tblW w:w="116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2552"/>
        <w:gridCol w:w="2268"/>
        <w:gridCol w:w="2410"/>
        <w:gridCol w:w="1559"/>
        <w:gridCol w:w="236"/>
        <w:gridCol w:w="1127"/>
        <w:gridCol w:w="381"/>
        <w:gridCol w:w="746"/>
        <w:gridCol w:w="381"/>
      </w:tblGrid>
      <w:tr w:rsidR="007E4CDA" w:rsidRPr="00BA1AA9" w:rsidTr="00C342B7">
        <w:trPr>
          <w:gridAfter w:val="1"/>
          <w:wAfter w:w="381" w:type="dxa"/>
          <w:trHeight w:val="467"/>
        </w:trPr>
        <w:tc>
          <w:tcPr>
            <w:tcW w:w="9025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7E4CDA" w:rsidRPr="00683B65" w:rsidRDefault="007E4CDA" w:rsidP="00C34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  <w:lang w:val="en-US"/>
              </w:rPr>
            </w:pPr>
            <w:r w:rsidRPr="00683B65"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  <w:lang w:val="en-US"/>
              </w:rPr>
              <w:t>Supplementary Table 3</w:t>
            </w:r>
          </w:p>
          <w:p w:rsidR="007E4CDA" w:rsidRPr="00683B65" w:rsidRDefault="007E4CDA" w:rsidP="00C34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683B65"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22"/>
                <w:szCs w:val="22"/>
                <w:lang w:val="en-US"/>
              </w:rPr>
              <w:t>Sociodemographic and biomarker differences in the Delcode cohort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E4CDA" w:rsidRPr="00683B65" w:rsidRDefault="007E4CDA" w:rsidP="00C34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E4CDA" w:rsidRPr="00683B65" w:rsidRDefault="007E4CDA" w:rsidP="00C34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E4CDA" w:rsidRPr="00683B65" w:rsidTr="00C342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HC(n=67)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AD(n=54)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p-value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Cohens d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age(years), SD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69.4 ±6.1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73.4 ± 6.5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.001*</w:t>
            </w:r>
          </w:p>
        </w:tc>
        <w:tc>
          <w:tcPr>
            <w:tcW w:w="17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0.64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sex(M/F)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34/33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27/27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.936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yearsofeducation, SD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14.5 ± 2.7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13.8 ± 2.9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.199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0.25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MMSE, SD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29.4 ± 0.9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26 ± 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.000*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1.57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CDR, SD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 ± 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0.58 ± 0.19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.000*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A</w:t>
            </w:r>
            <w:r w:rsidRPr="00683B65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>β</w:t>
            </w: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42 (pg/ml), SD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994.22 ± 248.89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383.39 ± 110.2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.000*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3.07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A</w:t>
            </w:r>
            <w:r w:rsidRPr="00683B65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>β</w:t>
            </w: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42_40_ratio, SD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0.108 ± 0.013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0.047 ± 0.01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.000*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5.08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WMH_number, SD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6.67 ± 4.55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13.07 ± 9.32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.001*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0.9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WMH_volume (ml), SD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2.31 ± 6.25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5.31 ± 8.03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.093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0.42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ALPS_comb, SD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1.34 ± 0.197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1.26 ± 0.18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.035*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0.42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ALPS_R, SD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1.33 ± 0.254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1.25 ± 0.185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.048*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0.35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683B65" w:rsidTr="00C342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ALPS_L, SD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1.34 ± 0.199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1.28 ± 0.185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.081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</w:rPr>
              <w:t>0.31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E4CDA" w:rsidRPr="00BA1AA9" w:rsidTr="00C342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0533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683B6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Abbreviations:</w:t>
            </w:r>
            <w:r w:rsidRPr="00683B6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M/F, male/female; HC, healthy controls; AD, Alzheimer's Disease; MMSE. Mini-Mental State Examination; ALPS, along perivascular spaces; comb, Left and Right Index combined, L, left; R, right; WML, White Matter lesions; * significant difference with P &lt; 0.05, in a two-sided, two sample T-test.</w:t>
            </w:r>
          </w:p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CDA" w:rsidRPr="00683B65" w:rsidRDefault="007E4CDA" w:rsidP="00C342B7">
            <w:pPr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:rsidR="00EB7F40" w:rsidRPr="007E4CDA" w:rsidRDefault="00EB7F40" w:rsidP="007E4CDA"/>
    <w:sectPr w:rsidR="00EB7F40" w:rsidRPr="007E4CDA" w:rsidSect="007E4CDA">
      <w:footerReference w:type="default" r:id="rId7"/>
      <w:pgSz w:w="11909" w:h="16834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70A8" w:rsidRDefault="00F770A8" w:rsidP="00050F4F">
      <w:r>
        <w:separator/>
      </w:r>
    </w:p>
  </w:endnote>
  <w:endnote w:type="continuationSeparator" w:id="1">
    <w:p w:rsidR="00F770A8" w:rsidRDefault="00F770A8" w:rsidP="00050F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29478476"/>
      <w:docPartObj>
        <w:docPartGallery w:val="Page Numbers (Bottom of Page)"/>
        <w:docPartUnique/>
      </w:docPartObj>
    </w:sdtPr>
    <w:sdtContent>
      <w:p w:rsidR="00050F4F" w:rsidRDefault="00D921FA">
        <w:pPr>
          <w:pStyle w:val="Footer"/>
          <w:jc w:val="center"/>
        </w:pPr>
        <w:r>
          <w:fldChar w:fldCharType="begin"/>
        </w:r>
        <w:r w:rsidR="00050F4F">
          <w:instrText>PAGE   \* MERGEFORMAT</w:instrText>
        </w:r>
        <w:r>
          <w:fldChar w:fldCharType="separate"/>
        </w:r>
        <w:r w:rsidR="007E4CDA">
          <w:rPr>
            <w:noProof/>
          </w:rPr>
          <w:t>1</w:t>
        </w:r>
        <w:r>
          <w:fldChar w:fldCharType="end"/>
        </w:r>
      </w:p>
    </w:sdtContent>
  </w:sdt>
  <w:p w:rsidR="00050F4F" w:rsidRDefault="00050F4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70A8" w:rsidRDefault="00F770A8" w:rsidP="00050F4F">
      <w:r>
        <w:separator/>
      </w:r>
    </w:p>
  </w:footnote>
  <w:footnote w:type="continuationSeparator" w:id="1">
    <w:p w:rsidR="00F770A8" w:rsidRDefault="00F770A8" w:rsidP="00050F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232EE"/>
    <w:multiLevelType w:val="multilevel"/>
    <w:tmpl w:val="2FF8AE8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>
    <w:nsid w:val="21E5794C"/>
    <w:multiLevelType w:val="multilevel"/>
    <w:tmpl w:val="523677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351E7885"/>
    <w:multiLevelType w:val="multilevel"/>
    <w:tmpl w:val="D678598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nsid w:val="395E1322"/>
    <w:multiLevelType w:val="multilevel"/>
    <w:tmpl w:val="830867E0"/>
    <w:lvl w:ilvl="0">
      <w:start w:val="7"/>
      <w:numFmt w:val="bullet"/>
      <w:lvlText w:val="-"/>
      <w:lvlJc w:val="left"/>
      <w:pPr>
        <w:ind w:left="4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66145C8"/>
    <w:multiLevelType w:val="multilevel"/>
    <w:tmpl w:val="B83A22E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nsid w:val="68DB66C5"/>
    <w:multiLevelType w:val="multilevel"/>
    <w:tmpl w:val="B2B09A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760E4B87"/>
    <w:multiLevelType w:val="multilevel"/>
    <w:tmpl w:val="7E2E12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nsid w:val="798652F1"/>
    <w:multiLevelType w:val="multilevel"/>
    <w:tmpl w:val="53A0BCD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B7F40"/>
    <w:rsid w:val="000051FB"/>
    <w:rsid w:val="00026C8A"/>
    <w:rsid w:val="00037AFF"/>
    <w:rsid w:val="00050F4F"/>
    <w:rsid w:val="00082C50"/>
    <w:rsid w:val="00136AA6"/>
    <w:rsid w:val="00137793"/>
    <w:rsid w:val="00154C90"/>
    <w:rsid w:val="00173473"/>
    <w:rsid w:val="00181C84"/>
    <w:rsid w:val="001956BF"/>
    <w:rsid w:val="001B73EF"/>
    <w:rsid w:val="001D4D62"/>
    <w:rsid w:val="001E35CE"/>
    <w:rsid w:val="001E50C4"/>
    <w:rsid w:val="002067E6"/>
    <w:rsid w:val="00220723"/>
    <w:rsid w:val="00234F52"/>
    <w:rsid w:val="0029001B"/>
    <w:rsid w:val="002B0049"/>
    <w:rsid w:val="002F369B"/>
    <w:rsid w:val="00307A0F"/>
    <w:rsid w:val="00355673"/>
    <w:rsid w:val="00356343"/>
    <w:rsid w:val="0035774A"/>
    <w:rsid w:val="00365FDE"/>
    <w:rsid w:val="00370A59"/>
    <w:rsid w:val="00375E79"/>
    <w:rsid w:val="00393603"/>
    <w:rsid w:val="003B0938"/>
    <w:rsid w:val="003B0FED"/>
    <w:rsid w:val="003D50EB"/>
    <w:rsid w:val="00433A86"/>
    <w:rsid w:val="00450350"/>
    <w:rsid w:val="004577A1"/>
    <w:rsid w:val="00465ABB"/>
    <w:rsid w:val="004A10E2"/>
    <w:rsid w:val="004E1169"/>
    <w:rsid w:val="0050316A"/>
    <w:rsid w:val="00530751"/>
    <w:rsid w:val="005A392A"/>
    <w:rsid w:val="005A7557"/>
    <w:rsid w:val="00625CDA"/>
    <w:rsid w:val="00632F85"/>
    <w:rsid w:val="00636285"/>
    <w:rsid w:val="006809DA"/>
    <w:rsid w:val="006826F0"/>
    <w:rsid w:val="00683B65"/>
    <w:rsid w:val="0069426E"/>
    <w:rsid w:val="006B705F"/>
    <w:rsid w:val="006D2F0D"/>
    <w:rsid w:val="006F0C10"/>
    <w:rsid w:val="007116D2"/>
    <w:rsid w:val="00711F61"/>
    <w:rsid w:val="00732C70"/>
    <w:rsid w:val="0074599F"/>
    <w:rsid w:val="007710FB"/>
    <w:rsid w:val="007952DF"/>
    <w:rsid w:val="007D26CE"/>
    <w:rsid w:val="007E4CDA"/>
    <w:rsid w:val="00802A28"/>
    <w:rsid w:val="00840892"/>
    <w:rsid w:val="008A55AC"/>
    <w:rsid w:val="008F641E"/>
    <w:rsid w:val="00905966"/>
    <w:rsid w:val="00962825"/>
    <w:rsid w:val="009720E8"/>
    <w:rsid w:val="00975167"/>
    <w:rsid w:val="009A40E7"/>
    <w:rsid w:val="00A21916"/>
    <w:rsid w:val="00A33880"/>
    <w:rsid w:val="00A44027"/>
    <w:rsid w:val="00AA4C2B"/>
    <w:rsid w:val="00AD02CF"/>
    <w:rsid w:val="00AD1DE2"/>
    <w:rsid w:val="00AD2E1E"/>
    <w:rsid w:val="00AF013D"/>
    <w:rsid w:val="00AF4FA9"/>
    <w:rsid w:val="00AF724A"/>
    <w:rsid w:val="00B04A22"/>
    <w:rsid w:val="00B207E9"/>
    <w:rsid w:val="00B34B57"/>
    <w:rsid w:val="00B55881"/>
    <w:rsid w:val="00BA1AA9"/>
    <w:rsid w:val="00BB327B"/>
    <w:rsid w:val="00BB3D62"/>
    <w:rsid w:val="00BC1E67"/>
    <w:rsid w:val="00BD2E37"/>
    <w:rsid w:val="00BD4D50"/>
    <w:rsid w:val="00C1021D"/>
    <w:rsid w:val="00C3754A"/>
    <w:rsid w:val="00C675EE"/>
    <w:rsid w:val="00CB324F"/>
    <w:rsid w:val="00CC1A27"/>
    <w:rsid w:val="00D210A2"/>
    <w:rsid w:val="00D27CC5"/>
    <w:rsid w:val="00D61257"/>
    <w:rsid w:val="00D70B1F"/>
    <w:rsid w:val="00D921FA"/>
    <w:rsid w:val="00DA44B1"/>
    <w:rsid w:val="00E15581"/>
    <w:rsid w:val="00E17B14"/>
    <w:rsid w:val="00E3388A"/>
    <w:rsid w:val="00E74E0E"/>
    <w:rsid w:val="00E752BE"/>
    <w:rsid w:val="00E767E9"/>
    <w:rsid w:val="00E86EE6"/>
    <w:rsid w:val="00EB7F40"/>
    <w:rsid w:val="00EC31A3"/>
    <w:rsid w:val="00F01875"/>
    <w:rsid w:val="00F06067"/>
    <w:rsid w:val="00F1352A"/>
    <w:rsid w:val="00F1390E"/>
    <w:rsid w:val="00F770A8"/>
    <w:rsid w:val="00FA7BEF"/>
    <w:rsid w:val="00FE16D9"/>
    <w:rsid w:val="00FE70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F40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7F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F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F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F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F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F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F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F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F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F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F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F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F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F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F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F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F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F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7F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7F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F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7F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F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F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F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7F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F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F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F40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rsid w:val="00EB7F40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EB7F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7F40"/>
    <w:rPr>
      <w:rFonts w:ascii="Times New Roman" w:eastAsia="Times New Roman" w:hAnsi="Times New Roman" w:cs="Times New Roman"/>
      <w:kern w:val="0"/>
      <w:sz w:val="20"/>
      <w:szCs w:val="20"/>
      <w:lang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EB7F40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EB7F40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EB7F40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B7F40"/>
    <w:rPr>
      <w:color w:val="605E5C"/>
      <w:shd w:val="clear" w:color="auto" w:fill="E1DFDD"/>
    </w:rPr>
  </w:style>
  <w:style w:type="character" w:customStyle="1" w:styleId="apple-tab-span">
    <w:name w:val="apple-tab-span"/>
    <w:basedOn w:val="DefaultParagraphFont"/>
    <w:rsid w:val="00EB7F40"/>
  </w:style>
  <w:style w:type="character" w:customStyle="1" w:styleId="id-label">
    <w:name w:val="id-label"/>
    <w:basedOn w:val="DefaultParagraphFont"/>
    <w:rsid w:val="00EB7F40"/>
  </w:style>
  <w:style w:type="character" w:styleId="Strong">
    <w:name w:val="Strong"/>
    <w:basedOn w:val="DefaultParagraphFont"/>
    <w:uiPriority w:val="22"/>
    <w:qFormat/>
    <w:rsid w:val="00EB7F40"/>
    <w:rPr>
      <w:b/>
      <w:bCs/>
    </w:rPr>
  </w:style>
  <w:style w:type="paragraph" w:customStyle="1" w:styleId="Body">
    <w:name w:val="Body"/>
    <w:rsid w:val="00EB7F40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EB7F4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F40"/>
    <w:rPr>
      <w:rFonts w:ascii="Times New Roman" w:eastAsia="Times New Roman" w:hAnsi="Times New Roman" w:cs="Times New Roman"/>
      <w:kern w:val="0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EB7F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7F40"/>
    <w:rPr>
      <w:rFonts w:ascii="Times New Roman" w:eastAsia="Times New Roman" w:hAnsi="Times New Roman" w:cs="Times New Roman"/>
      <w:kern w:val="0"/>
      <w:lang w:eastAsia="de-DE"/>
    </w:rPr>
  </w:style>
  <w:style w:type="character" w:customStyle="1" w:styleId="None">
    <w:name w:val="None"/>
    <w:rsid w:val="00EB7F40"/>
  </w:style>
  <w:style w:type="character" w:customStyle="1" w:styleId="Hyperlink0">
    <w:name w:val="Hyperlink.0"/>
    <w:basedOn w:val="None"/>
    <w:rsid w:val="00EB7F40"/>
    <w:rPr>
      <w:sz w:val="24"/>
      <w:szCs w:val="24"/>
      <w:vertAlign w:val="superscript"/>
    </w:rPr>
  </w:style>
  <w:style w:type="character" w:customStyle="1" w:styleId="Hyperlink1">
    <w:name w:val="Hyperlink.1"/>
    <w:basedOn w:val="None"/>
    <w:rsid w:val="00EB7F40"/>
    <w:rPr>
      <w:color w:val="1155CC"/>
      <w:sz w:val="24"/>
      <w:szCs w:val="24"/>
      <w:u w:val="single" w:color="1155CC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F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F40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</w:rPr>
  </w:style>
  <w:style w:type="table" w:styleId="TableGrid">
    <w:name w:val="Table Grid"/>
    <w:basedOn w:val="TableNormal"/>
    <w:uiPriority w:val="39"/>
    <w:rsid w:val="00EB7F40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eNormal"/>
    <w:uiPriority w:val="41"/>
    <w:rsid w:val="00EB7F40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de-DE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EB7F40"/>
    <w:pPr>
      <w:spacing w:after="200"/>
    </w:pPr>
    <w:rPr>
      <w:i/>
      <w:iCs/>
      <w:color w:val="0E2841" w:themeColor="text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EB7F40"/>
    <w:pPr>
      <w:tabs>
        <w:tab w:val="left" w:pos="504"/>
      </w:tabs>
      <w:spacing w:after="240"/>
      <w:ind w:left="504" w:hanging="504"/>
    </w:pPr>
  </w:style>
  <w:style w:type="paragraph" w:styleId="Revision">
    <w:name w:val="Revision"/>
    <w:hidden/>
    <w:uiPriority w:val="99"/>
    <w:semiHidden/>
    <w:rsid w:val="00EB7F40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050F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23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96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404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3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5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80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44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88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245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3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472</Words>
  <Characters>2696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Philine Marie Schirge</dc:creator>
  <cp:lastModifiedBy>Admin</cp:lastModifiedBy>
  <cp:revision>2</cp:revision>
  <dcterms:created xsi:type="dcterms:W3CDTF">2025-02-28T16:36:00Z</dcterms:created>
  <dcterms:modified xsi:type="dcterms:W3CDTF">2025-02-28T16:36:00Z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id="nC98g0Ro"/&gt;&lt;style id="http://www.zotero.org/styles/vancouver-brackets" locale="en-US" hasBibliography="1" bibliographyStyleHasBeenSet="1"/&gt;&lt;prefs&gt;&lt;pref name="fieldType" value="Field"/&gt;&lt;pref name=</vt:lpwstr>
  </property>
  <property fmtid="{D5CDD505-2E9C-101B-9397-08002B2CF9AE}" pid="3" name="ZOTERO_PREF_2">
    <vt:lpwstr>"automaticJournalAbbreviations" value="true"/&gt;&lt;/prefs&gt;&lt;/data&gt;</vt:lpwstr>
  </property>
</Properties>
</file>