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C4791C" w14:textId="77777777" w:rsidR="006046BC" w:rsidRPr="00CF1CF9" w:rsidRDefault="006046BC" w:rsidP="006046BC">
      <w:pPr>
        <w:pStyle w:val="Default"/>
        <w:spacing w:line="360" w:lineRule="auto"/>
        <w:jc w:val="both"/>
        <w:rPr>
          <w:rFonts w:ascii="Times New Roman" w:hAnsi="Times New Roman" w:cs="Times New Roman"/>
          <w:b/>
          <w:color w:val="000000" w:themeColor="text1"/>
          <w:lang w:eastAsia="it-IT"/>
        </w:rPr>
      </w:pPr>
      <w:r w:rsidRPr="00CF1CF9">
        <w:rPr>
          <w:rFonts w:ascii="Times New Roman" w:hAnsi="Times New Roman" w:cs="Times New Roman"/>
          <w:b/>
          <w:color w:val="000000" w:themeColor="text1"/>
          <w:lang w:eastAsia="it-IT"/>
        </w:rPr>
        <w:t>SUPPLEMENTARY MATERIAL FOR</w:t>
      </w:r>
    </w:p>
    <w:p w14:paraId="5B3D44AF" w14:textId="77777777" w:rsidR="0034437C" w:rsidRPr="00CF1CF9" w:rsidRDefault="0034437C" w:rsidP="006046BC">
      <w:pPr>
        <w:pStyle w:val="Default"/>
        <w:spacing w:line="360" w:lineRule="auto"/>
        <w:jc w:val="both"/>
        <w:rPr>
          <w:rFonts w:ascii="Times New Roman" w:hAnsi="Times New Roman" w:cs="Times New Roman"/>
          <w:b/>
          <w:color w:val="000000" w:themeColor="text1"/>
          <w:lang w:eastAsia="it-IT"/>
        </w:rPr>
      </w:pPr>
    </w:p>
    <w:p w14:paraId="4F9A74BB" w14:textId="6BD86593" w:rsidR="00BF6899" w:rsidRPr="00CF1CF9" w:rsidRDefault="00647808" w:rsidP="00647808">
      <w:pPr>
        <w:spacing w:line="360" w:lineRule="auto"/>
        <w:rPr>
          <w:rFonts w:asciiTheme="majorBidi" w:eastAsia="Cambria" w:hAnsiTheme="majorBidi" w:cstheme="majorBidi"/>
          <w:b/>
          <w:color w:val="000000" w:themeColor="text1"/>
          <w:sz w:val="32"/>
          <w:szCs w:val="32"/>
          <w:lang w:val="en-GB"/>
        </w:rPr>
      </w:pPr>
      <w:r w:rsidRPr="00CF1CF9">
        <w:rPr>
          <w:rFonts w:asciiTheme="majorBidi" w:eastAsia="Cambria" w:hAnsiTheme="majorBidi" w:cstheme="majorBidi"/>
          <w:b/>
          <w:color w:val="000000" w:themeColor="text1"/>
          <w:sz w:val="32"/>
          <w:szCs w:val="32"/>
          <w:lang w:val="en-GB"/>
        </w:rPr>
        <w:t xml:space="preserve">Effects of </w:t>
      </w:r>
      <w:r w:rsidR="00BF6899" w:rsidRPr="00CF1CF9">
        <w:rPr>
          <w:rFonts w:asciiTheme="majorBidi" w:eastAsia="Cambria" w:hAnsiTheme="majorBidi" w:cstheme="majorBidi"/>
          <w:b/>
          <w:color w:val="000000" w:themeColor="text1"/>
          <w:sz w:val="32"/>
          <w:szCs w:val="32"/>
          <w:lang w:val="en-GB"/>
        </w:rPr>
        <w:t xml:space="preserve">52 weeks of </w:t>
      </w:r>
      <w:r w:rsidRPr="00CF1CF9">
        <w:rPr>
          <w:rFonts w:asciiTheme="majorBidi" w:eastAsia="Cambria" w:hAnsiTheme="majorBidi" w:cstheme="majorBidi"/>
          <w:b/>
          <w:color w:val="000000" w:themeColor="text1"/>
          <w:sz w:val="32"/>
          <w:szCs w:val="32"/>
          <w:lang w:val="en-GB"/>
        </w:rPr>
        <w:t xml:space="preserve">precuneus </w:t>
      </w:r>
      <w:r w:rsidR="00BF6899" w:rsidRPr="00CF1CF9">
        <w:rPr>
          <w:rFonts w:asciiTheme="majorBidi" w:eastAsia="Cambria" w:hAnsiTheme="majorBidi" w:cstheme="majorBidi"/>
          <w:b/>
          <w:color w:val="000000" w:themeColor="text1"/>
          <w:sz w:val="32"/>
          <w:szCs w:val="32"/>
          <w:lang w:val="en-GB"/>
        </w:rPr>
        <w:t>rTMS in Alzheimer’s disease patients:</w:t>
      </w:r>
      <w:r w:rsidRPr="00CF1CF9">
        <w:rPr>
          <w:rFonts w:asciiTheme="majorBidi" w:eastAsia="Cambria" w:hAnsiTheme="majorBidi" w:cstheme="majorBidi"/>
          <w:b/>
          <w:color w:val="000000" w:themeColor="text1"/>
          <w:sz w:val="32"/>
          <w:szCs w:val="32"/>
          <w:lang w:val="en-GB"/>
        </w:rPr>
        <w:t xml:space="preserve"> </w:t>
      </w:r>
      <w:r w:rsidR="00BF6899" w:rsidRPr="00CF1CF9">
        <w:rPr>
          <w:rFonts w:asciiTheme="majorBidi" w:eastAsia="Cambria" w:hAnsiTheme="majorBidi" w:cstheme="majorBidi"/>
          <w:b/>
          <w:color w:val="000000" w:themeColor="text1"/>
          <w:sz w:val="32"/>
          <w:szCs w:val="32"/>
          <w:lang w:val="en-US"/>
        </w:rPr>
        <w:t xml:space="preserve">A randomized trial </w:t>
      </w:r>
    </w:p>
    <w:p w14:paraId="737D16BA" w14:textId="77777777" w:rsidR="00BF6899" w:rsidRPr="00CF1CF9" w:rsidRDefault="00BF6899" w:rsidP="00BF6899">
      <w:pPr>
        <w:spacing w:line="360" w:lineRule="auto"/>
        <w:rPr>
          <w:rFonts w:asciiTheme="majorBidi" w:eastAsia="Cambria" w:hAnsiTheme="majorBidi" w:cstheme="majorBidi"/>
          <w:b/>
          <w:color w:val="000000" w:themeColor="text1"/>
          <w:sz w:val="18"/>
          <w:szCs w:val="18"/>
          <w:lang w:val="en-US"/>
        </w:rPr>
      </w:pPr>
    </w:p>
    <w:p w14:paraId="20DDD3E2" w14:textId="566298F1" w:rsidR="00BF6899" w:rsidRPr="00CF1CF9" w:rsidRDefault="00BF6899" w:rsidP="00BF6899">
      <w:pPr>
        <w:spacing w:line="480" w:lineRule="auto"/>
        <w:rPr>
          <w:rFonts w:asciiTheme="majorBidi" w:eastAsia="Arial Unicode MS" w:hAnsiTheme="majorBidi" w:cstheme="majorBidi"/>
          <w:color w:val="000000" w:themeColor="text1"/>
          <w:sz w:val="22"/>
          <w:szCs w:val="22"/>
          <w:bdr w:val="none" w:sz="0" w:space="0" w:color="auto" w:frame="1"/>
        </w:rPr>
      </w:pPr>
      <w:r w:rsidRPr="00CF1CF9">
        <w:rPr>
          <w:rFonts w:asciiTheme="majorBidi" w:eastAsia="Arial Unicode MS" w:hAnsiTheme="majorBidi" w:cstheme="majorBidi"/>
          <w:color w:val="000000" w:themeColor="text1"/>
          <w:bdr w:val="none" w:sz="0" w:space="0" w:color="auto" w:frame="1"/>
        </w:rPr>
        <w:t>Giacomo Koch MD, PhD</w:t>
      </w:r>
      <w:r w:rsidRPr="00CF1CF9">
        <w:rPr>
          <w:rFonts w:asciiTheme="majorBidi" w:eastAsia="Arial Unicode MS" w:hAnsiTheme="majorBidi" w:cstheme="majorBidi"/>
          <w:color w:val="000000" w:themeColor="text1"/>
          <w:bdr w:val="none" w:sz="0" w:space="0" w:color="auto" w:frame="1"/>
          <w:vertAlign w:val="superscript"/>
        </w:rPr>
        <w:t xml:space="preserve">1,2* </w:t>
      </w:r>
      <w:r w:rsidRPr="00CF1CF9">
        <w:rPr>
          <w:rFonts w:asciiTheme="majorBidi" w:eastAsia="Arial Unicode MS" w:hAnsiTheme="majorBidi" w:cstheme="majorBidi"/>
          <w:color w:val="000000" w:themeColor="text1"/>
          <w:bdr w:val="none" w:sz="0" w:space="0" w:color="auto" w:frame="1"/>
        </w:rPr>
        <w:t>Elias Paolo Casula PhD</w:t>
      </w:r>
      <w:r w:rsidRPr="00CF1CF9">
        <w:rPr>
          <w:rFonts w:asciiTheme="majorBidi" w:eastAsia="Arial Unicode MS" w:hAnsiTheme="majorBidi" w:cstheme="majorBidi"/>
          <w:color w:val="000000" w:themeColor="text1"/>
          <w:bdr w:val="none" w:sz="0" w:space="0" w:color="auto" w:frame="1"/>
          <w:vertAlign w:val="superscript"/>
        </w:rPr>
        <w:t>1,3</w:t>
      </w:r>
      <w:r w:rsidRPr="00CF1CF9">
        <w:rPr>
          <w:rFonts w:asciiTheme="majorBidi" w:eastAsia="Arial Unicode MS" w:hAnsiTheme="majorBidi" w:cstheme="majorBidi"/>
          <w:color w:val="000000" w:themeColor="text1"/>
          <w:bdr w:val="none" w:sz="0" w:space="0" w:color="auto" w:frame="1"/>
        </w:rPr>
        <w:t xml:space="preserve">, Sonia </w:t>
      </w:r>
      <w:proofErr w:type="spellStart"/>
      <w:r w:rsidRPr="00CF1CF9">
        <w:rPr>
          <w:rFonts w:asciiTheme="majorBidi" w:eastAsia="Arial Unicode MS" w:hAnsiTheme="majorBidi" w:cstheme="majorBidi"/>
          <w:color w:val="000000" w:themeColor="text1"/>
          <w:bdr w:val="none" w:sz="0" w:space="0" w:color="auto" w:frame="1"/>
        </w:rPr>
        <w:t>Bonnì</w:t>
      </w:r>
      <w:proofErr w:type="spellEnd"/>
      <w:r w:rsidRPr="00CF1CF9">
        <w:rPr>
          <w:rFonts w:asciiTheme="majorBidi" w:eastAsia="Arial Unicode MS" w:hAnsiTheme="majorBidi" w:cstheme="majorBidi"/>
          <w:color w:val="000000" w:themeColor="text1"/>
          <w:bdr w:val="none" w:sz="0" w:space="0" w:color="auto" w:frame="1"/>
        </w:rPr>
        <w:t xml:space="preserve"> PhD</w:t>
      </w:r>
      <w:r w:rsidRPr="00CF1CF9">
        <w:rPr>
          <w:rFonts w:asciiTheme="majorBidi" w:eastAsia="Arial Unicode MS" w:hAnsiTheme="majorBidi" w:cstheme="majorBidi"/>
          <w:color w:val="000000" w:themeColor="text1"/>
          <w:bdr w:val="none" w:sz="0" w:space="0" w:color="auto" w:frame="1"/>
          <w:vertAlign w:val="superscript"/>
        </w:rPr>
        <w:t>1</w:t>
      </w:r>
      <w:r w:rsidRPr="00CF1CF9">
        <w:rPr>
          <w:rFonts w:asciiTheme="majorBidi" w:eastAsia="Arial Unicode MS" w:hAnsiTheme="majorBidi" w:cstheme="majorBidi"/>
          <w:color w:val="000000" w:themeColor="text1"/>
          <w:bdr w:val="none" w:sz="0" w:space="0" w:color="auto" w:frame="1"/>
        </w:rPr>
        <w:t>, Ilaria Borghi PhD</w:t>
      </w:r>
      <w:r w:rsidRPr="00CF1CF9">
        <w:rPr>
          <w:rFonts w:asciiTheme="majorBidi" w:eastAsia="Arial Unicode MS" w:hAnsiTheme="majorBidi" w:cstheme="majorBidi"/>
          <w:color w:val="000000" w:themeColor="text1"/>
          <w:bdr w:val="none" w:sz="0" w:space="0" w:color="auto" w:frame="1"/>
          <w:vertAlign w:val="superscript"/>
        </w:rPr>
        <w:t>1</w:t>
      </w:r>
      <w:r w:rsidRPr="00CF1CF9">
        <w:rPr>
          <w:rFonts w:asciiTheme="majorBidi" w:eastAsia="Arial Unicode MS" w:hAnsiTheme="majorBidi" w:cstheme="majorBidi"/>
          <w:color w:val="000000" w:themeColor="text1"/>
          <w:bdr w:val="none" w:sz="0" w:space="0" w:color="auto" w:frame="1"/>
        </w:rPr>
        <w:t>, Martina Assogna MD</w:t>
      </w:r>
      <w:r w:rsidRPr="00CF1CF9">
        <w:rPr>
          <w:rFonts w:asciiTheme="majorBidi" w:eastAsia="Arial Unicode MS" w:hAnsiTheme="majorBidi" w:cstheme="majorBidi"/>
          <w:color w:val="000000" w:themeColor="text1"/>
          <w:bdr w:val="none" w:sz="0" w:space="0" w:color="auto" w:frame="1"/>
          <w:vertAlign w:val="superscript"/>
        </w:rPr>
        <w:t>1,3</w:t>
      </w:r>
      <w:r w:rsidRPr="00CF1CF9">
        <w:rPr>
          <w:rFonts w:asciiTheme="majorBidi" w:eastAsia="Arial Unicode MS" w:hAnsiTheme="majorBidi" w:cstheme="majorBidi"/>
          <w:color w:val="000000" w:themeColor="text1"/>
          <w:bdr w:val="none" w:sz="0" w:space="0" w:color="auto" w:frame="1"/>
        </w:rPr>
        <w:t>, Francesco Di Lorenzo MD, PhD</w:t>
      </w:r>
      <w:r w:rsidRPr="00CF1CF9">
        <w:rPr>
          <w:rFonts w:asciiTheme="majorBidi" w:eastAsia="Arial Unicode MS" w:hAnsiTheme="majorBidi" w:cstheme="majorBidi"/>
          <w:color w:val="000000" w:themeColor="text1"/>
          <w:bdr w:val="none" w:sz="0" w:space="0" w:color="auto" w:frame="1"/>
          <w:vertAlign w:val="superscript"/>
        </w:rPr>
        <w:t>1</w:t>
      </w:r>
      <w:r w:rsidRPr="00CF1CF9">
        <w:rPr>
          <w:rFonts w:asciiTheme="majorBidi" w:eastAsia="Arial Unicode MS" w:hAnsiTheme="majorBidi" w:cstheme="majorBidi"/>
          <w:color w:val="000000" w:themeColor="text1"/>
          <w:bdr w:val="none" w:sz="0" w:space="0" w:color="auto" w:frame="1"/>
        </w:rPr>
        <w:t xml:space="preserve">, </w:t>
      </w:r>
      <w:r w:rsidR="00141F33" w:rsidRPr="00CF1CF9">
        <w:rPr>
          <w:rFonts w:asciiTheme="majorBidi" w:eastAsia="Arial Unicode MS" w:hAnsiTheme="majorBidi" w:cstheme="majorBidi"/>
          <w:color w:val="000000" w:themeColor="text1"/>
          <w:bdr w:val="nil"/>
        </w:rPr>
        <w:t>Romina Esposito MSc</w:t>
      </w:r>
      <w:r w:rsidR="00141F33" w:rsidRPr="00CF1CF9">
        <w:rPr>
          <w:rFonts w:asciiTheme="majorBidi" w:eastAsia="Arial Unicode MS" w:hAnsiTheme="majorBidi" w:cstheme="majorBidi"/>
          <w:color w:val="000000" w:themeColor="text1"/>
          <w:bdr w:val="nil"/>
          <w:vertAlign w:val="superscript"/>
        </w:rPr>
        <w:t>1,2</w:t>
      </w:r>
      <w:r w:rsidRPr="00CF1CF9">
        <w:rPr>
          <w:rFonts w:asciiTheme="majorBidi" w:eastAsia="Arial Unicode MS" w:hAnsiTheme="majorBidi" w:cstheme="majorBidi"/>
          <w:color w:val="000000" w:themeColor="text1"/>
          <w:bdr w:val="none" w:sz="0" w:space="0" w:color="auto" w:frame="1"/>
        </w:rPr>
        <w:t xml:space="preserve">, Michele Maiella PhD, </w:t>
      </w:r>
      <w:proofErr w:type="spellStart"/>
      <w:r w:rsidRPr="00CF1CF9">
        <w:rPr>
          <w:rFonts w:asciiTheme="majorBidi" w:eastAsia="Arial Unicode MS" w:hAnsiTheme="majorBidi" w:cstheme="majorBidi"/>
          <w:color w:val="000000" w:themeColor="text1"/>
          <w:bdr w:val="none" w:sz="0" w:space="0" w:color="auto" w:frame="1"/>
        </w:rPr>
        <w:t>PsyD</w:t>
      </w:r>
      <w:proofErr w:type="spellEnd"/>
      <w:r w:rsidRPr="00CF1CF9">
        <w:rPr>
          <w:rFonts w:asciiTheme="majorBidi" w:eastAsia="Arial Unicode MS" w:hAnsiTheme="majorBidi" w:cstheme="majorBidi"/>
          <w:color w:val="000000" w:themeColor="text1"/>
          <w:bdr w:val="none" w:sz="0" w:space="0" w:color="auto" w:frame="1"/>
          <w:vertAlign w:val="superscript"/>
        </w:rPr>
        <w:t xml:space="preserve"> 1</w:t>
      </w:r>
      <w:r w:rsidRPr="00CF1CF9">
        <w:rPr>
          <w:rFonts w:asciiTheme="majorBidi" w:eastAsia="Arial Unicode MS" w:hAnsiTheme="majorBidi" w:cstheme="majorBidi"/>
          <w:color w:val="000000" w:themeColor="text1"/>
          <w:bdr w:val="none" w:sz="0" w:space="0" w:color="auto" w:frame="1"/>
        </w:rPr>
        <w:t>, Alessia D’Acunto BSc</w:t>
      </w:r>
      <w:r w:rsidRPr="00CF1CF9">
        <w:rPr>
          <w:rFonts w:asciiTheme="majorBidi" w:eastAsia="Arial Unicode MS" w:hAnsiTheme="majorBidi" w:cstheme="majorBidi"/>
          <w:color w:val="000000" w:themeColor="text1"/>
          <w:bdr w:val="none" w:sz="0" w:space="0" w:color="auto" w:frame="1"/>
          <w:vertAlign w:val="superscript"/>
        </w:rPr>
        <w:t>1,3</w:t>
      </w:r>
      <w:r w:rsidRPr="00CF1CF9">
        <w:rPr>
          <w:rFonts w:asciiTheme="majorBidi" w:eastAsia="Arial Unicode MS" w:hAnsiTheme="majorBidi" w:cstheme="majorBidi"/>
          <w:color w:val="000000" w:themeColor="text1"/>
          <w:bdr w:val="none" w:sz="0" w:space="0" w:color="auto" w:frame="1"/>
        </w:rPr>
        <w:t>, Matteo Ferraresi BSc</w:t>
      </w:r>
      <w:r w:rsidRPr="00CF1CF9">
        <w:rPr>
          <w:rFonts w:asciiTheme="majorBidi" w:eastAsia="Arial Unicode MS" w:hAnsiTheme="majorBidi" w:cstheme="majorBidi"/>
          <w:color w:val="000000" w:themeColor="text1"/>
          <w:bdr w:val="none" w:sz="0" w:space="0" w:color="auto" w:frame="1"/>
          <w:vertAlign w:val="superscript"/>
        </w:rPr>
        <w:t>1</w:t>
      </w:r>
      <w:r w:rsidRPr="00CF1CF9">
        <w:rPr>
          <w:rFonts w:asciiTheme="majorBidi" w:eastAsia="Arial Unicode MS" w:hAnsiTheme="majorBidi" w:cstheme="majorBidi"/>
          <w:color w:val="000000" w:themeColor="text1"/>
          <w:bdr w:val="none" w:sz="0" w:space="0" w:color="auto" w:frame="1"/>
        </w:rPr>
        <w:t>, Lucia Mencarelli PhD</w:t>
      </w:r>
      <w:r w:rsidRPr="00CF1CF9">
        <w:rPr>
          <w:rFonts w:asciiTheme="majorBidi" w:eastAsia="Arial Unicode MS" w:hAnsiTheme="majorBidi" w:cstheme="majorBidi"/>
          <w:color w:val="000000" w:themeColor="text1"/>
          <w:bdr w:val="none" w:sz="0" w:space="0" w:color="auto" w:frame="1"/>
          <w:vertAlign w:val="superscript"/>
        </w:rPr>
        <w:t>1</w:t>
      </w:r>
      <w:r w:rsidRPr="00CF1CF9">
        <w:rPr>
          <w:rFonts w:asciiTheme="majorBidi" w:eastAsia="Arial Unicode MS" w:hAnsiTheme="majorBidi" w:cstheme="majorBidi"/>
          <w:color w:val="000000" w:themeColor="text1"/>
          <w:bdr w:val="none" w:sz="0" w:space="0" w:color="auto" w:frame="1"/>
        </w:rPr>
        <w:t>, Valentina Pezzopane MSc</w:t>
      </w:r>
      <w:r w:rsidRPr="00CF1CF9">
        <w:rPr>
          <w:rFonts w:asciiTheme="majorBidi" w:eastAsia="Arial Unicode MS" w:hAnsiTheme="majorBidi" w:cstheme="majorBidi"/>
          <w:color w:val="000000" w:themeColor="text1"/>
          <w:bdr w:val="none" w:sz="0" w:space="0" w:color="auto" w:frame="1"/>
          <w:vertAlign w:val="superscript"/>
        </w:rPr>
        <w:t>1,2</w:t>
      </w:r>
      <w:r w:rsidRPr="00CF1CF9">
        <w:rPr>
          <w:rFonts w:asciiTheme="majorBidi" w:eastAsia="Arial Unicode MS" w:hAnsiTheme="majorBidi" w:cstheme="majorBidi"/>
          <w:color w:val="000000" w:themeColor="text1"/>
          <w:bdr w:val="none" w:sz="0" w:space="0" w:color="auto" w:frame="1"/>
        </w:rPr>
        <w:t>, Caterina Motta</w:t>
      </w:r>
      <w:r w:rsidR="005A3026" w:rsidRPr="00CF1CF9">
        <w:rPr>
          <w:rFonts w:asciiTheme="majorBidi" w:eastAsia="Arial Unicode MS" w:hAnsiTheme="majorBidi" w:cstheme="majorBidi"/>
          <w:color w:val="000000" w:themeColor="text1"/>
          <w:bdr w:val="none" w:sz="0" w:space="0" w:color="auto" w:frame="1"/>
        </w:rPr>
        <w:t xml:space="preserve"> MD, PhD</w:t>
      </w:r>
      <w:r w:rsidRPr="00CF1CF9">
        <w:rPr>
          <w:rFonts w:asciiTheme="majorBidi" w:eastAsia="Arial Unicode MS" w:hAnsiTheme="majorBidi" w:cstheme="majorBidi"/>
          <w:color w:val="000000" w:themeColor="text1"/>
          <w:bdr w:val="none" w:sz="0" w:space="0" w:color="auto" w:frame="1"/>
          <w:vertAlign w:val="superscript"/>
        </w:rPr>
        <w:t>3</w:t>
      </w:r>
      <w:r w:rsidRPr="00CF1CF9">
        <w:rPr>
          <w:rFonts w:asciiTheme="majorBidi" w:eastAsia="Arial Unicode MS" w:hAnsiTheme="majorBidi" w:cstheme="majorBidi"/>
          <w:color w:val="000000" w:themeColor="text1"/>
          <w:bdr w:val="none" w:sz="0" w:space="0" w:color="auto" w:frame="1"/>
        </w:rPr>
        <w:t xml:space="preserve">, Emiliano </w:t>
      </w:r>
      <w:proofErr w:type="spellStart"/>
      <w:r w:rsidRPr="00CF1CF9">
        <w:rPr>
          <w:rFonts w:asciiTheme="majorBidi" w:eastAsia="Arial Unicode MS" w:hAnsiTheme="majorBidi" w:cstheme="majorBidi"/>
          <w:color w:val="000000" w:themeColor="text1"/>
          <w:bdr w:val="none" w:sz="0" w:space="0" w:color="auto" w:frame="1"/>
        </w:rPr>
        <w:t>Santarnecchi</w:t>
      </w:r>
      <w:proofErr w:type="spellEnd"/>
      <w:r w:rsidRPr="00CF1CF9">
        <w:rPr>
          <w:rFonts w:asciiTheme="majorBidi" w:eastAsia="Arial Unicode MS" w:hAnsiTheme="majorBidi" w:cstheme="majorBidi"/>
          <w:color w:val="000000" w:themeColor="text1"/>
          <w:bdr w:val="none" w:sz="0" w:space="0" w:color="auto" w:frame="1"/>
        </w:rPr>
        <w:t xml:space="preserve"> PhD, PsyD</w:t>
      </w:r>
      <w:r w:rsidRPr="00CF1CF9">
        <w:rPr>
          <w:rFonts w:asciiTheme="majorBidi" w:eastAsia="Arial Unicode MS" w:hAnsiTheme="majorBidi" w:cstheme="majorBidi"/>
          <w:color w:val="000000" w:themeColor="text1"/>
          <w:bdr w:val="none" w:sz="0" w:space="0" w:color="auto" w:frame="1"/>
          <w:vertAlign w:val="superscript"/>
        </w:rPr>
        <w:t>4</w:t>
      </w:r>
      <w:r w:rsidRPr="00CF1CF9">
        <w:rPr>
          <w:rFonts w:asciiTheme="majorBidi" w:eastAsia="Arial Unicode MS" w:hAnsiTheme="majorBidi" w:cstheme="majorBidi"/>
          <w:color w:val="000000" w:themeColor="text1"/>
          <w:bdr w:val="none" w:sz="0" w:space="0" w:color="auto" w:frame="1"/>
        </w:rPr>
        <w:t xml:space="preserve">, Marco Bozzali MD, PhD </w:t>
      </w:r>
      <w:r w:rsidRPr="00CF1CF9">
        <w:rPr>
          <w:rFonts w:asciiTheme="majorBidi" w:eastAsia="Arial Unicode MS" w:hAnsiTheme="majorBidi" w:cstheme="majorBidi"/>
          <w:color w:val="000000" w:themeColor="text1"/>
          <w:bdr w:val="none" w:sz="0" w:space="0" w:color="auto" w:frame="1"/>
          <w:vertAlign w:val="superscript"/>
        </w:rPr>
        <w:t>5,6</w:t>
      </w:r>
      <w:r w:rsidRPr="00CF1CF9">
        <w:rPr>
          <w:rFonts w:asciiTheme="majorBidi" w:eastAsia="Arial Unicode MS" w:hAnsiTheme="majorBidi" w:cstheme="majorBidi"/>
          <w:color w:val="000000" w:themeColor="text1"/>
          <w:bdr w:val="none" w:sz="0" w:space="0" w:color="auto" w:frame="1"/>
        </w:rPr>
        <w:t xml:space="preserve"> and Alessandro Martorana MD, PhD</w:t>
      </w:r>
      <w:r w:rsidRPr="00CF1CF9">
        <w:rPr>
          <w:rFonts w:asciiTheme="majorBidi" w:eastAsia="Arial Unicode MS" w:hAnsiTheme="majorBidi" w:cstheme="majorBidi"/>
          <w:color w:val="000000" w:themeColor="text1"/>
          <w:bdr w:val="none" w:sz="0" w:space="0" w:color="auto" w:frame="1"/>
          <w:vertAlign w:val="superscript"/>
        </w:rPr>
        <w:t>1,3</w:t>
      </w:r>
      <w:r w:rsidRPr="00CF1CF9">
        <w:rPr>
          <w:rFonts w:asciiTheme="majorBidi" w:eastAsia="Arial Unicode MS" w:hAnsiTheme="majorBidi" w:cstheme="majorBidi"/>
          <w:color w:val="000000" w:themeColor="text1"/>
          <w:bdr w:val="none" w:sz="0" w:space="0" w:color="auto" w:frame="1"/>
        </w:rPr>
        <w:t xml:space="preserve"> </w:t>
      </w:r>
    </w:p>
    <w:p w14:paraId="791657BF" w14:textId="77777777" w:rsidR="00BF6899" w:rsidRPr="00CF1CF9" w:rsidRDefault="00BF6899" w:rsidP="00BF6899">
      <w:pPr>
        <w:spacing w:line="360" w:lineRule="auto"/>
        <w:rPr>
          <w:rFonts w:asciiTheme="majorBidi" w:eastAsia="Arial Unicode MS" w:hAnsiTheme="majorBidi" w:cstheme="majorBidi"/>
          <w:color w:val="000000" w:themeColor="text1"/>
          <w:bdr w:val="none" w:sz="0" w:space="0" w:color="auto" w:frame="1"/>
          <w:lang w:val="en-GB"/>
        </w:rPr>
      </w:pPr>
      <w:r w:rsidRPr="00CF1CF9">
        <w:rPr>
          <w:rFonts w:asciiTheme="majorBidi" w:eastAsia="Arial Unicode MS" w:hAnsiTheme="majorBidi" w:cstheme="majorBidi"/>
          <w:color w:val="000000" w:themeColor="text1"/>
          <w:bdr w:val="none" w:sz="0" w:space="0" w:color="auto" w:frame="1"/>
          <w:lang w:val="en-GB"/>
        </w:rPr>
        <w:t xml:space="preserve">1. Department of </w:t>
      </w:r>
      <w:proofErr w:type="spellStart"/>
      <w:r w:rsidRPr="00CF1CF9">
        <w:rPr>
          <w:rFonts w:asciiTheme="majorBidi" w:eastAsia="Arial Unicode MS" w:hAnsiTheme="majorBidi" w:cstheme="majorBidi"/>
          <w:color w:val="000000" w:themeColor="text1"/>
          <w:bdr w:val="none" w:sz="0" w:space="0" w:color="auto" w:frame="1"/>
          <w:lang w:val="en-GB"/>
        </w:rPr>
        <w:t>Behavioral</w:t>
      </w:r>
      <w:proofErr w:type="spellEnd"/>
      <w:r w:rsidRPr="00CF1CF9">
        <w:rPr>
          <w:rFonts w:asciiTheme="majorBidi" w:eastAsia="Arial Unicode MS" w:hAnsiTheme="majorBidi" w:cstheme="majorBidi"/>
          <w:color w:val="000000" w:themeColor="text1"/>
          <w:bdr w:val="none" w:sz="0" w:space="0" w:color="auto" w:frame="1"/>
          <w:lang w:val="en-GB"/>
        </w:rPr>
        <w:t xml:space="preserve"> and Clinical Neurology, Santa Lucia Foundation IRCCS, Rome, Italy</w:t>
      </w:r>
    </w:p>
    <w:p w14:paraId="693121A3" w14:textId="77777777" w:rsidR="00BF6899" w:rsidRPr="00CF1CF9" w:rsidRDefault="00BF6899" w:rsidP="00BF6899">
      <w:pPr>
        <w:spacing w:line="360" w:lineRule="auto"/>
        <w:rPr>
          <w:rFonts w:asciiTheme="majorBidi" w:eastAsia="Arial Unicode MS" w:hAnsiTheme="majorBidi" w:cstheme="majorBidi"/>
          <w:color w:val="000000" w:themeColor="text1"/>
          <w:bdr w:val="none" w:sz="0" w:space="0" w:color="auto" w:frame="1"/>
          <w:lang w:val="en-GB"/>
        </w:rPr>
      </w:pPr>
      <w:r w:rsidRPr="00CF1CF9">
        <w:rPr>
          <w:rFonts w:asciiTheme="majorBidi" w:eastAsia="Arial Unicode MS" w:hAnsiTheme="majorBidi" w:cstheme="majorBidi"/>
          <w:color w:val="000000" w:themeColor="text1"/>
          <w:bdr w:val="none" w:sz="0" w:space="0" w:color="auto" w:frame="1"/>
          <w:lang w:val="en-GB"/>
        </w:rPr>
        <w:t>2. Department of Neuroscience and Rehabilitation, University of Ferrara, Italy</w:t>
      </w:r>
    </w:p>
    <w:p w14:paraId="1CE44FBF" w14:textId="77777777" w:rsidR="00BF6899" w:rsidRPr="00CF1CF9" w:rsidRDefault="00BF6899" w:rsidP="00BF6899">
      <w:pPr>
        <w:spacing w:line="360" w:lineRule="auto"/>
        <w:rPr>
          <w:rFonts w:asciiTheme="majorBidi" w:eastAsia="Arial Unicode MS" w:hAnsiTheme="majorBidi" w:cstheme="majorBidi"/>
          <w:color w:val="000000" w:themeColor="text1"/>
          <w:bdr w:val="none" w:sz="0" w:space="0" w:color="auto" w:frame="1"/>
          <w:lang w:val="en-GB"/>
        </w:rPr>
      </w:pPr>
      <w:r w:rsidRPr="00CF1CF9">
        <w:rPr>
          <w:rFonts w:asciiTheme="majorBidi" w:eastAsia="Arial Unicode MS" w:hAnsiTheme="majorBidi" w:cstheme="majorBidi"/>
          <w:color w:val="000000" w:themeColor="text1"/>
          <w:bdr w:val="none" w:sz="0" w:space="0" w:color="auto" w:frame="1"/>
          <w:lang w:val="en-GB"/>
        </w:rPr>
        <w:t xml:space="preserve">3. Department of Systems Medicine, University of Tor </w:t>
      </w:r>
      <w:proofErr w:type="spellStart"/>
      <w:r w:rsidRPr="00CF1CF9">
        <w:rPr>
          <w:rFonts w:asciiTheme="majorBidi" w:eastAsia="Arial Unicode MS" w:hAnsiTheme="majorBidi" w:cstheme="majorBidi"/>
          <w:color w:val="000000" w:themeColor="text1"/>
          <w:bdr w:val="none" w:sz="0" w:space="0" w:color="auto" w:frame="1"/>
          <w:lang w:val="en-GB"/>
        </w:rPr>
        <w:t>Vergata</w:t>
      </w:r>
      <w:proofErr w:type="spellEnd"/>
      <w:r w:rsidRPr="00CF1CF9">
        <w:rPr>
          <w:rFonts w:asciiTheme="majorBidi" w:eastAsia="Arial Unicode MS" w:hAnsiTheme="majorBidi" w:cstheme="majorBidi"/>
          <w:color w:val="000000" w:themeColor="text1"/>
          <w:bdr w:val="none" w:sz="0" w:space="0" w:color="auto" w:frame="1"/>
          <w:lang w:val="en-GB"/>
        </w:rPr>
        <w:t>, Rome, Italy</w:t>
      </w:r>
    </w:p>
    <w:p w14:paraId="7DD40A94" w14:textId="77777777" w:rsidR="00BF6899" w:rsidRPr="00CF1CF9" w:rsidRDefault="00BF6899" w:rsidP="00BF6899">
      <w:pPr>
        <w:spacing w:line="360" w:lineRule="auto"/>
        <w:rPr>
          <w:rFonts w:asciiTheme="majorBidi" w:eastAsia="Arial Unicode MS" w:hAnsiTheme="majorBidi" w:cstheme="majorBidi"/>
          <w:color w:val="000000" w:themeColor="text1"/>
          <w:bdr w:val="none" w:sz="0" w:space="0" w:color="auto" w:frame="1"/>
          <w:lang w:val="en-GB"/>
        </w:rPr>
      </w:pPr>
      <w:r w:rsidRPr="00CF1CF9">
        <w:rPr>
          <w:rFonts w:asciiTheme="majorBidi" w:eastAsia="Arial Unicode MS" w:hAnsiTheme="majorBidi" w:cstheme="majorBidi"/>
          <w:color w:val="000000" w:themeColor="text1"/>
          <w:bdr w:val="none" w:sz="0" w:space="0" w:color="auto" w:frame="1"/>
          <w:lang w:val="en-GB"/>
        </w:rPr>
        <w:t xml:space="preserve">4. Berenson-Allen </w:t>
      </w:r>
      <w:proofErr w:type="spellStart"/>
      <w:r w:rsidRPr="00CF1CF9">
        <w:rPr>
          <w:rFonts w:asciiTheme="majorBidi" w:eastAsia="Arial Unicode MS" w:hAnsiTheme="majorBidi" w:cstheme="majorBidi"/>
          <w:color w:val="000000" w:themeColor="text1"/>
          <w:bdr w:val="none" w:sz="0" w:space="0" w:color="auto" w:frame="1"/>
          <w:lang w:val="en-GB"/>
        </w:rPr>
        <w:t>Center</w:t>
      </w:r>
      <w:proofErr w:type="spellEnd"/>
      <w:r w:rsidRPr="00CF1CF9">
        <w:rPr>
          <w:rFonts w:asciiTheme="majorBidi" w:eastAsia="Arial Unicode MS" w:hAnsiTheme="majorBidi" w:cstheme="majorBidi"/>
          <w:color w:val="000000" w:themeColor="text1"/>
          <w:bdr w:val="none" w:sz="0" w:space="0" w:color="auto" w:frame="1"/>
          <w:lang w:val="en-GB"/>
        </w:rPr>
        <w:t xml:space="preserve"> for </w:t>
      </w:r>
      <w:proofErr w:type="spellStart"/>
      <w:r w:rsidRPr="00CF1CF9">
        <w:rPr>
          <w:rFonts w:asciiTheme="majorBidi" w:eastAsia="Arial Unicode MS" w:hAnsiTheme="majorBidi" w:cstheme="majorBidi"/>
          <w:color w:val="000000" w:themeColor="text1"/>
          <w:bdr w:val="none" w:sz="0" w:space="0" w:color="auto" w:frame="1"/>
          <w:lang w:val="en-GB"/>
        </w:rPr>
        <w:t>Noninvasive</w:t>
      </w:r>
      <w:proofErr w:type="spellEnd"/>
      <w:r w:rsidRPr="00CF1CF9">
        <w:rPr>
          <w:rFonts w:asciiTheme="majorBidi" w:eastAsia="Arial Unicode MS" w:hAnsiTheme="majorBidi" w:cstheme="majorBidi"/>
          <w:color w:val="000000" w:themeColor="text1"/>
          <w:bdr w:val="none" w:sz="0" w:space="0" w:color="auto" w:frame="1"/>
          <w:lang w:val="en-GB"/>
        </w:rPr>
        <w:t xml:space="preserve"> Brain Stimulation, Beth Israel Deaconess Medical </w:t>
      </w:r>
      <w:proofErr w:type="spellStart"/>
      <w:r w:rsidRPr="00CF1CF9">
        <w:rPr>
          <w:rFonts w:asciiTheme="majorBidi" w:eastAsia="Arial Unicode MS" w:hAnsiTheme="majorBidi" w:cstheme="majorBidi"/>
          <w:color w:val="000000" w:themeColor="text1"/>
          <w:bdr w:val="none" w:sz="0" w:space="0" w:color="auto" w:frame="1"/>
          <w:lang w:val="en-GB"/>
        </w:rPr>
        <w:t>Center</w:t>
      </w:r>
      <w:proofErr w:type="spellEnd"/>
      <w:r w:rsidRPr="00CF1CF9">
        <w:rPr>
          <w:rFonts w:asciiTheme="majorBidi" w:eastAsia="Arial Unicode MS" w:hAnsiTheme="majorBidi" w:cstheme="majorBidi"/>
          <w:color w:val="000000" w:themeColor="text1"/>
          <w:bdr w:val="none" w:sz="0" w:space="0" w:color="auto" w:frame="1"/>
          <w:lang w:val="en-GB"/>
        </w:rPr>
        <w:t>, Harvard Medical School, Boston, MA, USA.</w:t>
      </w:r>
    </w:p>
    <w:p w14:paraId="4AA6D8CF" w14:textId="77777777" w:rsidR="00BF6899" w:rsidRPr="00CF1CF9" w:rsidRDefault="00BF6899" w:rsidP="00BF6899">
      <w:pPr>
        <w:spacing w:line="360" w:lineRule="auto"/>
        <w:rPr>
          <w:rFonts w:asciiTheme="majorBidi" w:eastAsia="Arial Unicode MS" w:hAnsiTheme="majorBidi" w:cstheme="majorBidi"/>
          <w:color w:val="000000" w:themeColor="text1"/>
          <w:bdr w:val="none" w:sz="0" w:space="0" w:color="auto" w:frame="1"/>
          <w:lang w:val="en-GB"/>
        </w:rPr>
      </w:pPr>
      <w:r w:rsidRPr="00CF1CF9">
        <w:rPr>
          <w:rFonts w:asciiTheme="majorBidi" w:eastAsia="Arial Unicode MS" w:hAnsiTheme="majorBidi" w:cstheme="majorBidi"/>
          <w:color w:val="000000" w:themeColor="text1"/>
          <w:bdr w:val="none" w:sz="0" w:space="0" w:color="auto" w:frame="1"/>
          <w:lang w:val="en-GB"/>
        </w:rPr>
        <w:t>5. "Rita Levi Montalcini”, Department of Neuroscience, University of Torino, Turin, Italy.</w:t>
      </w:r>
    </w:p>
    <w:p w14:paraId="7DD85F94" w14:textId="77777777" w:rsidR="00BF6899" w:rsidRPr="00CF1CF9" w:rsidRDefault="00BF6899" w:rsidP="00BF6899">
      <w:pPr>
        <w:spacing w:line="360" w:lineRule="auto"/>
        <w:rPr>
          <w:rFonts w:asciiTheme="majorBidi" w:eastAsia="MS Mincho" w:hAnsiTheme="majorBidi" w:cstheme="majorBidi"/>
          <w:b/>
          <w:color w:val="000000" w:themeColor="text1"/>
          <w:lang w:val="en-GB"/>
        </w:rPr>
      </w:pPr>
      <w:r w:rsidRPr="00CF1CF9">
        <w:rPr>
          <w:rFonts w:asciiTheme="majorBidi" w:eastAsia="Arial Unicode MS" w:hAnsiTheme="majorBidi" w:cstheme="majorBidi"/>
          <w:color w:val="000000" w:themeColor="text1"/>
          <w:bdr w:val="none" w:sz="0" w:space="0" w:color="auto" w:frame="1"/>
          <w:lang w:val="en-GB"/>
        </w:rPr>
        <w:t>6. Department of Neuroscience, Brighton and Sussex Medical School, University of Sussex, Brighton, United Kingdom.</w:t>
      </w:r>
    </w:p>
    <w:p w14:paraId="7F8492DB" w14:textId="70D79D8F" w:rsidR="006046BC" w:rsidRPr="00CF1CF9" w:rsidRDefault="00BF6899" w:rsidP="00BF6899">
      <w:pPr>
        <w:spacing w:after="160" w:line="278" w:lineRule="auto"/>
        <w:rPr>
          <w:rFonts w:eastAsia="Arial Unicode MS"/>
          <w:b/>
          <w:color w:val="000000" w:themeColor="text1"/>
          <w:sz w:val="20"/>
          <w:szCs w:val="20"/>
          <w:bdr w:val="nil"/>
          <w:lang w:val="en-GB"/>
        </w:rPr>
      </w:pPr>
      <w:r w:rsidRPr="00CF1CF9">
        <w:rPr>
          <w:rFonts w:eastAsia="Arial Unicode MS"/>
          <w:b/>
          <w:color w:val="000000" w:themeColor="text1"/>
          <w:sz w:val="20"/>
          <w:szCs w:val="20"/>
          <w:bdr w:val="nil"/>
          <w:lang w:val="en-GB"/>
        </w:rPr>
        <w:t xml:space="preserve"> </w:t>
      </w:r>
      <w:r w:rsidR="006046BC" w:rsidRPr="00CF1CF9">
        <w:rPr>
          <w:rFonts w:eastAsia="Arial Unicode MS"/>
          <w:b/>
          <w:color w:val="000000" w:themeColor="text1"/>
          <w:sz w:val="20"/>
          <w:szCs w:val="20"/>
          <w:bdr w:val="nil"/>
          <w:lang w:val="en-GB"/>
        </w:rPr>
        <w:br w:type="page"/>
      </w:r>
    </w:p>
    <w:p w14:paraId="02DA1EA6" w14:textId="717DBB3A" w:rsidR="006046BC" w:rsidRPr="00CF1CF9" w:rsidRDefault="006046BC" w:rsidP="00302D9E">
      <w:pPr>
        <w:pStyle w:val="Default"/>
        <w:spacing w:line="480" w:lineRule="auto"/>
        <w:contextualSpacing/>
        <w:jc w:val="both"/>
        <w:rPr>
          <w:rFonts w:ascii="Times New Roman" w:hAnsi="Times New Roman" w:cs="Times New Roman"/>
          <w:b/>
          <w:color w:val="000000" w:themeColor="text1"/>
          <w:lang w:eastAsia="it-IT"/>
        </w:rPr>
      </w:pPr>
      <w:r w:rsidRPr="00CF1CF9">
        <w:rPr>
          <w:rFonts w:ascii="Times New Roman" w:hAnsi="Times New Roman" w:cs="Times New Roman"/>
          <w:b/>
          <w:color w:val="000000" w:themeColor="text1"/>
          <w:lang w:eastAsia="it-IT"/>
        </w:rPr>
        <w:lastRenderedPageBreak/>
        <w:t>Patients</w:t>
      </w:r>
    </w:p>
    <w:p w14:paraId="04D66BD9" w14:textId="33B9DD36" w:rsidR="006046BC" w:rsidRPr="00CF1CF9" w:rsidRDefault="006046BC" w:rsidP="00302D9E">
      <w:pPr>
        <w:pStyle w:val="Default"/>
        <w:spacing w:line="480" w:lineRule="auto"/>
        <w:contextualSpacing/>
        <w:jc w:val="both"/>
        <w:rPr>
          <w:rFonts w:ascii="Times New Roman" w:hAnsi="Times New Roman" w:cs="Times New Roman"/>
          <w:color w:val="000000" w:themeColor="text1"/>
          <w:lang w:eastAsia="it-IT"/>
        </w:rPr>
      </w:pPr>
      <w:r w:rsidRPr="00CF1CF9">
        <w:rPr>
          <w:rFonts w:ascii="Times New Roman" w:hAnsi="Times New Roman" w:cs="Times New Roman"/>
          <w:color w:val="000000" w:themeColor="text1"/>
          <w:lang w:eastAsia="it-IT"/>
        </w:rPr>
        <w:t xml:space="preserve">Patients were eligible if they had an established diagnosis of probable mild-to-moderate Alzheimer’s disease (AD) according to National Institute of Neurological and Communicative Disorders and Stroke and the Alzheimer's Disease and Related Disorders Association criteria; aged &gt;50 ≤ 85 years; had  a Clinical Dementia Rating Scale </w:t>
      </w:r>
      <w:r w:rsidRPr="00CF1CF9">
        <w:rPr>
          <w:rFonts w:ascii="Times New Roman" w:hAnsi="Times New Roman" w:cs="Times New Roman"/>
          <w:color w:val="000000" w:themeColor="text1"/>
          <w:lang w:val="en-GB" w:eastAsia="it-IT"/>
        </w:rPr>
        <w:t xml:space="preserve">Sum of Boxes </w:t>
      </w:r>
      <w:r w:rsidRPr="00CF1CF9">
        <w:rPr>
          <w:rFonts w:ascii="Times New Roman" w:hAnsi="Times New Roman" w:cs="Times New Roman"/>
          <w:color w:val="000000" w:themeColor="text1"/>
          <w:lang w:eastAsia="it-IT"/>
        </w:rPr>
        <w:t xml:space="preserve">(CDR-SB) </w:t>
      </w:r>
      <w:r w:rsidRPr="00CF1CF9">
        <w:rPr>
          <w:rFonts w:ascii="Times New Roman" w:hAnsi="Times New Roman" w:cs="Times New Roman"/>
          <w:color w:val="000000" w:themeColor="text1"/>
          <w:lang w:eastAsia="it-IT"/>
        </w:rPr>
        <w:fldChar w:fldCharType="begin"/>
      </w:r>
      <w:r w:rsidR="000F2CFE" w:rsidRPr="00CF1CF9">
        <w:rPr>
          <w:rFonts w:ascii="Times New Roman" w:hAnsi="Times New Roman" w:cs="Times New Roman"/>
          <w:color w:val="000000" w:themeColor="text1"/>
          <w:lang w:eastAsia="it-IT"/>
        </w:rPr>
        <w:instrText xml:space="preserve"> ADDIN ZOTERO_ITEM CSL_CITATION {"citationID":"FmNMcDO3","properties":{"formattedCitation":"(1)","plainCitation":"(1)","noteIndex":0},"citationItems":[{"id":"4O7qyJk2/ocz1JH9s","uris":["http://zotero.org/users/3798786/items/WJ29PMI7",["http://zotero.org/users/3798786/items/WJ29PMI7"]],"itemData":{"id":2719,"type":"article-journal","container-title":"Neurology","issue":"0028-3878 (Print)","journalAbbreviation":"Neurology","language":"eng","note":"PMID: 8232972","page":"2412-2414","title":"The Clinical Dementia Rating (CDR): current version and scoring rules","volume":"43","author":[{"family":"Morris","given":"J.C."}],"issued":{"date-parts":[["1993",11]]}}}],"schema":"https://github.com/citation-style-language/schema/raw/master/csl-citation.json"} </w:instrText>
      </w:r>
      <w:r w:rsidRPr="00CF1CF9">
        <w:rPr>
          <w:rFonts w:ascii="Times New Roman" w:hAnsi="Times New Roman" w:cs="Times New Roman"/>
          <w:color w:val="000000" w:themeColor="text1"/>
          <w:lang w:eastAsia="it-IT"/>
        </w:rPr>
        <w:fldChar w:fldCharType="separate"/>
      </w:r>
      <w:r w:rsidR="000F2CFE" w:rsidRPr="00CF1CF9">
        <w:rPr>
          <w:rFonts w:ascii="Times New Roman" w:hAnsi="Times New Roman" w:cs="Times New Roman"/>
          <w:color w:val="000000" w:themeColor="text1"/>
        </w:rPr>
        <w:t>(1)</w:t>
      </w:r>
      <w:r w:rsidRPr="00CF1CF9">
        <w:rPr>
          <w:rFonts w:ascii="Times New Roman" w:hAnsi="Times New Roman" w:cs="Times New Roman"/>
          <w:color w:val="000000" w:themeColor="text1"/>
          <w:lang w:eastAsia="it-IT"/>
        </w:rPr>
        <w:fldChar w:fldCharType="end"/>
      </w:r>
      <w:r w:rsidRPr="00CF1CF9">
        <w:rPr>
          <w:rFonts w:ascii="Times New Roman" w:hAnsi="Times New Roman" w:cs="Times New Roman"/>
          <w:color w:val="000000" w:themeColor="text1"/>
          <w:lang w:eastAsia="it-IT"/>
        </w:rPr>
        <w:t xml:space="preserve"> score of 0.5-1 and Mini Mental State Examination (MMSE) </w:t>
      </w:r>
      <w:r w:rsidRPr="00CF1CF9">
        <w:rPr>
          <w:rFonts w:ascii="Times New Roman" w:hAnsi="Times New Roman" w:cs="Times New Roman"/>
          <w:color w:val="000000" w:themeColor="text1"/>
          <w:lang w:eastAsia="it-IT"/>
        </w:rPr>
        <w:fldChar w:fldCharType="begin"/>
      </w:r>
      <w:r w:rsidR="000F2CFE" w:rsidRPr="00CF1CF9">
        <w:rPr>
          <w:rFonts w:ascii="Times New Roman" w:hAnsi="Times New Roman" w:cs="Times New Roman"/>
          <w:color w:val="000000" w:themeColor="text1"/>
          <w:lang w:eastAsia="it-IT"/>
        </w:rPr>
        <w:instrText xml:space="preserve"> ADDIN ZOTERO_ITEM CSL_CITATION {"citationID":"E6Ch9Ldc","properties":{"formattedCitation":"(2)","plainCitation":"(2)","noteIndex":0},"citationItems":[{"id":"4O7qyJk2/vmUdJ2cE","uris":["http://zotero.org/users/3798786/items/EZEYFXAZ",["http://zotero.org/users/3798786/items/EZEYFXAZ"]],"itemData":{"id":8463,"type":"article-journal","abstract":"The Mini-Mental State Examination (MMSE), a brief test to assess cognitive status, is heavily influenced by age and education. It was administered to 1019 elderly subjects (aged 65-89 years) living in three different Italian cities. A statistical non-linear regression model was built up in order to obtain adjustment coefficients to reduce the influence of demographic variables on the MMSE raw scores. Age and educational level were significantly and independently associated with the MMSE score. Results of a multiple linear regression with transformation of age and education provided adjustment coefficients of the MMSE raw scores. Data from this study will ameliorate the overall reliability of MMSE as a screening test for cognitive impairment in elderly people.","container-title":"European Journal of Neurology","DOI":"10.1111/j.1468-1331.1996.tb00423.x","ISSN":"1351-5101","issue":"3","journalAbbreviation":"Eur J Neurol","language":"eng","note":"PMID: 21284770","page":"198-202","source":"PubMed","title":"Mini-Mental State Examination: a normative study in Italian elderly population","title-short":"Mini-Mental State Examination","volume":"3","author":[{"family":"Magni","given":"E."},{"family":"Binetti","given":"G."},{"family":"Bianchetti","given":"A."},{"family":"Rozzini","given":"R."},{"family":"Trabucchi","given":"M."}],"issued":{"date-parts":[["1996",5]]}}}],"schema":"https://github.com/citation-style-language/schema/raw/master/csl-citation.json"} </w:instrText>
      </w:r>
      <w:r w:rsidRPr="00CF1CF9">
        <w:rPr>
          <w:rFonts w:ascii="Times New Roman" w:hAnsi="Times New Roman" w:cs="Times New Roman"/>
          <w:color w:val="000000" w:themeColor="text1"/>
          <w:lang w:eastAsia="it-IT"/>
        </w:rPr>
        <w:fldChar w:fldCharType="separate"/>
      </w:r>
      <w:r w:rsidR="000F2CFE" w:rsidRPr="00CF1CF9">
        <w:rPr>
          <w:rFonts w:ascii="Times New Roman" w:hAnsi="Times New Roman" w:cs="Times New Roman"/>
          <w:color w:val="000000" w:themeColor="text1"/>
        </w:rPr>
        <w:t>(2)</w:t>
      </w:r>
      <w:r w:rsidRPr="00CF1CF9">
        <w:rPr>
          <w:rFonts w:ascii="Times New Roman" w:hAnsi="Times New Roman" w:cs="Times New Roman"/>
          <w:color w:val="000000" w:themeColor="text1"/>
          <w:lang w:eastAsia="it-IT"/>
        </w:rPr>
        <w:fldChar w:fldCharType="end"/>
      </w:r>
      <w:r w:rsidRPr="00CF1CF9">
        <w:rPr>
          <w:rFonts w:ascii="Times New Roman" w:hAnsi="Times New Roman" w:cs="Times New Roman"/>
          <w:color w:val="000000" w:themeColor="text1"/>
          <w:lang w:eastAsia="it-IT"/>
        </w:rPr>
        <w:t xml:space="preserve"> score of 18-26 at screening, indicating mild to moderate AD; had one caregiver; had been treated with acetylcholinesterase inhibitor for at least 6 months; </w:t>
      </w:r>
      <w:r w:rsidRPr="00CF1CF9">
        <w:rPr>
          <w:rFonts w:ascii="Times New Roman" w:hAnsi="Times New Roman" w:cs="Times New Roman"/>
          <w:color w:val="000000" w:themeColor="text1"/>
        </w:rPr>
        <w:t xml:space="preserve">had performed lumbar puncture for cerebrospinal fluid biomarkers analysis </w:t>
      </w:r>
      <w:r w:rsidR="00BB699D" w:rsidRPr="00CF1CF9">
        <w:rPr>
          <w:rFonts w:ascii="Times New Roman" w:hAnsi="Times New Roman" w:cs="Times New Roman"/>
          <w:color w:val="000000" w:themeColor="text1"/>
        </w:rPr>
        <w:t xml:space="preserve">or amyloid PET </w:t>
      </w:r>
      <w:r w:rsidRPr="00CF1CF9">
        <w:rPr>
          <w:rFonts w:ascii="Times New Roman" w:hAnsi="Times New Roman" w:cs="Times New Roman"/>
          <w:color w:val="000000" w:themeColor="text1"/>
        </w:rPr>
        <w:t>for diagnostic purposes</w:t>
      </w:r>
      <w:r w:rsidR="00662B50" w:rsidRPr="00CF1CF9">
        <w:rPr>
          <w:rFonts w:ascii="Times New Roman" w:hAnsi="Times New Roman" w:cs="Times New Roman"/>
          <w:color w:val="000000" w:themeColor="text1"/>
        </w:rPr>
        <w:t xml:space="preserve"> </w:t>
      </w:r>
      <w:r w:rsidRPr="00CF1CF9">
        <w:rPr>
          <w:rFonts w:ascii="Times New Roman" w:hAnsi="Times New Roman" w:cs="Times New Roman"/>
          <w:color w:val="000000" w:themeColor="text1"/>
        </w:rPr>
        <w:fldChar w:fldCharType="begin"/>
      </w:r>
      <w:r w:rsidR="000F2CFE" w:rsidRPr="00CF1CF9">
        <w:rPr>
          <w:rFonts w:ascii="Times New Roman" w:hAnsi="Times New Roman" w:cs="Times New Roman"/>
          <w:color w:val="000000" w:themeColor="text1"/>
        </w:rPr>
        <w:instrText xml:space="preserve"> ADDIN ZOTERO_ITEM CSL_CITATION {"citationID":"NDThaVA4","properties":{"formattedCitation":"(3)","plainCitation":"(3)","noteIndex":0},"citationItems":[{"id":"4O7qyJk2/M34I6RvX","uris":["http://zotero.org/users/3798786/items/T9HRHELV",["http://zotero.org/users/3798786/items/T9HRHELV"]],"itemData":{"id":8429,"type":"article-journal","abstract":"In the past 8 years, both the International Working Group (IWG) and the US National Institute on Aging-Alzheimer's Association have contributed criteria for the diagnosis of Alzheimer's disease (AD) that better define clinical phenotypes and integrate biomarkers into the diagnostic process, covering the full staging of the disease. This Position Paper considers the strengths and limitations of the IWG research diagnostic criteria and proposes advances to improve the diagnostic framework. On the basis of these refinements, the diagnosis of AD can be simplified, requiring the presence of an appropriate clinical AD phenotype (typical or atypical) and a pathophysiological biomarker consistent with the presence of Alzheimer's pathology. We propose that downstream topographical biomarkers of the disease, such as volumetric MRI and fluorodeoxyglucose PET, might better serve in the measurement and monitoring of the course of disease. This paper also elaborates on the specific diagnostic criteria for atypical forms of AD, for mixed AD, and for the preclinical states of AD.","container-title":"The Lancet. Neurology","DOI":"10.1016/S1474-4422(14)70090-0","ISSN":"1474-4465","issue":"6","journalAbbreviation":"Lancet Neurol","language":"eng","note":"PMID: 24849862","page":"614-629","source":"PubMed","title":"Advancing research diagnostic criteria for Alzheimer's disease: the IWG-2 criteria","title-short":"Advancing research diagnostic criteria for Alzheimer's disease","volume":"13","author":[{"family":"Dubois","given":"Bruno"},{"family":"Feldman","given":"Howard H."},{"family":"Jacova","given":"Claudia"},{"family":"Hampel","given":"Harald"},{"family":"Molinuevo","given":"José Luis"},{"family":"Blennow","given":"Kaj"},{"family":"DeKosky","given":"Steven T."},{"family":"Gauthier","given":"Serge"},{"family":"Selkoe","given":"Dennis"},{"family":"Bateman","given":"Randall"},{"family":"Cappa","given":"Stefano"},{"family":"Crutch","given":"Sebastian"},{"family":"Engelborghs","given":"Sebastiaan"},{"family":"Frisoni","given":"Giovanni B."},{"family":"Fox","given":"Nick C."},{"family":"Galasko","given":"Douglas"},{"family":"Habert","given":"Marie-Odile"},{"family":"Jicha","given":"Gregory A."},{"family":"Nordberg","given":"Agneta"},{"family":"Pasquier","given":"Florence"},{"family":"Rabinovici","given":"Gil"},{"family":"Robert","given":"Philippe"},{"family":"Rowe","given":"Christopher"},{"family":"Salloway","given":"Stephen"},{"family":"Sarazin","given":"Marie"},{"family":"Epelbaum","given":"Stéphane"},{"family":"Souza","given":"Leonardo C.","non-dropping-particle":"de"},{"family":"Vellas","given":"Bruno"},{"family":"Visser","given":"Pieter J."},{"family":"Schneider","given":"Lon"},{"family":"Stern","given":"Yaakov"},{"family":"Scheltens","given":"Philip"},{"family":"Cummings","given":"Jeffrey L."}],"issued":{"date-parts":[["2014",6]]}}}],"schema":"https://github.com/citation-style-language/schema/raw/master/csl-citation.json"} </w:instrText>
      </w:r>
      <w:r w:rsidRPr="00CF1CF9">
        <w:rPr>
          <w:rFonts w:ascii="Times New Roman" w:hAnsi="Times New Roman" w:cs="Times New Roman"/>
          <w:color w:val="000000" w:themeColor="text1"/>
        </w:rPr>
        <w:fldChar w:fldCharType="separate"/>
      </w:r>
      <w:r w:rsidR="000F2CFE" w:rsidRPr="00CF1CF9">
        <w:rPr>
          <w:rFonts w:ascii="Times New Roman" w:hAnsi="Times New Roman" w:cs="Times New Roman"/>
          <w:color w:val="000000" w:themeColor="text1"/>
        </w:rPr>
        <w:t>(3)</w:t>
      </w:r>
      <w:r w:rsidRPr="00CF1CF9">
        <w:rPr>
          <w:rFonts w:ascii="Times New Roman" w:hAnsi="Times New Roman" w:cs="Times New Roman"/>
          <w:color w:val="000000" w:themeColor="text1"/>
        </w:rPr>
        <w:fldChar w:fldCharType="end"/>
      </w:r>
      <w:r w:rsidRPr="00CF1CF9">
        <w:rPr>
          <w:rFonts w:ascii="Times New Roman" w:hAnsi="Times New Roman" w:cs="Times New Roman"/>
          <w:color w:val="000000" w:themeColor="text1"/>
        </w:rPr>
        <w:t xml:space="preserve">. </w:t>
      </w:r>
      <w:r w:rsidR="00662B50" w:rsidRPr="00CF1CF9">
        <w:rPr>
          <w:rFonts w:ascii="Times New Roman" w:hAnsi="Times New Roman" w:cs="Times New Roman"/>
          <w:color w:val="000000" w:themeColor="text1"/>
        </w:rPr>
        <w:t xml:space="preserve">The levels of CSF Aβ42 and Aβ40, t-tau, and p-tau phosphorylated at Thr181 (p-tau181) were determined using a sandwich enzyme-linked immunosorbent assay (EUROIMMUN ELISA©). The cut-off values for CSF Aβ42, CSF p-tau, and CSF t-tau were determined following EUROIMMUN guidelines: CSF Aβ42 &gt; 600 </w:t>
      </w:r>
      <w:proofErr w:type="spellStart"/>
      <w:r w:rsidR="00662B50" w:rsidRPr="00CF1CF9">
        <w:rPr>
          <w:rFonts w:ascii="Times New Roman" w:hAnsi="Times New Roman" w:cs="Times New Roman"/>
          <w:color w:val="000000" w:themeColor="text1"/>
        </w:rPr>
        <w:t>pg</w:t>
      </w:r>
      <w:proofErr w:type="spellEnd"/>
      <w:r w:rsidR="00662B50" w:rsidRPr="00CF1CF9">
        <w:rPr>
          <w:rFonts w:ascii="Times New Roman" w:hAnsi="Times New Roman" w:cs="Times New Roman"/>
          <w:color w:val="000000" w:themeColor="text1"/>
        </w:rPr>
        <w:t xml:space="preserve">/ml, CSF </w:t>
      </w:r>
      <w:proofErr w:type="spellStart"/>
      <w:r w:rsidR="00662B50" w:rsidRPr="00CF1CF9">
        <w:rPr>
          <w:rFonts w:ascii="Times New Roman" w:hAnsi="Times New Roman" w:cs="Times New Roman"/>
          <w:color w:val="000000" w:themeColor="text1"/>
        </w:rPr>
        <w:t>amyR</w:t>
      </w:r>
      <w:proofErr w:type="spellEnd"/>
      <w:r w:rsidR="00662B50" w:rsidRPr="00CF1CF9">
        <w:rPr>
          <w:rFonts w:ascii="Times New Roman" w:hAnsi="Times New Roman" w:cs="Times New Roman"/>
          <w:color w:val="000000" w:themeColor="text1"/>
        </w:rPr>
        <w:t xml:space="preserve"> &gt; 0.06, CSF p-tau &lt; 65 </w:t>
      </w:r>
      <w:proofErr w:type="spellStart"/>
      <w:r w:rsidR="00662B50" w:rsidRPr="00CF1CF9">
        <w:rPr>
          <w:rFonts w:ascii="Times New Roman" w:hAnsi="Times New Roman" w:cs="Times New Roman"/>
          <w:color w:val="000000" w:themeColor="text1"/>
        </w:rPr>
        <w:t>pg</w:t>
      </w:r>
      <w:proofErr w:type="spellEnd"/>
      <w:r w:rsidR="00662B50" w:rsidRPr="00CF1CF9">
        <w:rPr>
          <w:rFonts w:ascii="Times New Roman" w:hAnsi="Times New Roman" w:cs="Times New Roman"/>
          <w:color w:val="000000" w:themeColor="text1"/>
        </w:rPr>
        <w:t xml:space="preserve">/ml, CSF t-tau &lt; 400 </w:t>
      </w:r>
      <w:proofErr w:type="spellStart"/>
      <w:r w:rsidR="00662B50" w:rsidRPr="00CF1CF9">
        <w:rPr>
          <w:rFonts w:ascii="Times New Roman" w:hAnsi="Times New Roman" w:cs="Times New Roman"/>
          <w:color w:val="000000" w:themeColor="text1"/>
        </w:rPr>
        <w:t>pg</w:t>
      </w:r>
      <w:proofErr w:type="spellEnd"/>
      <w:r w:rsidR="00662B50" w:rsidRPr="00CF1CF9">
        <w:rPr>
          <w:rFonts w:ascii="Times New Roman" w:hAnsi="Times New Roman" w:cs="Times New Roman"/>
          <w:color w:val="000000" w:themeColor="text1"/>
        </w:rPr>
        <w:t xml:space="preserve">/ml. </w:t>
      </w:r>
      <w:r w:rsidR="00267ACB" w:rsidRPr="00CF1CF9">
        <w:rPr>
          <w:rFonts w:ascii="Times New Roman" w:hAnsi="Times New Roman" w:cs="Times New Roman"/>
          <w:color w:val="000000" w:themeColor="text1"/>
        </w:rPr>
        <w:t xml:space="preserve">PET amyloid were performed outside our hospital with different scans. </w:t>
      </w:r>
      <w:r w:rsidRPr="00CF1CF9">
        <w:rPr>
          <w:rFonts w:ascii="Times New Roman" w:hAnsi="Times New Roman" w:cs="Times New Roman"/>
          <w:color w:val="000000" w:themeColor="text1"/>
          <w:lang w:eastAsia="it-IT"/>
        </w:rPr>
        <w:t>Patients underwent medical and neurological evaluations, including magnetic resonance imaging or computed tomography. Patients were excluded if had extrapyramidal signs, history of stroke, other neurodegenerative disorder, psychotic disorders and if they had been treated six months before enrollment with antipsychotics, antiparkinsonian, anticholinergics and antiepileptic drugs. The trial was approved by the review board and ethics committee at the Santa Lucia Foundation and was conducted in accordance with the principles of the Declaration of Helsinki and the International Conference on Harmonization Good Clinical Practice guidelines. All patients or their parents or legal representatives provided written informed consent. Patients could withdraw at any point without prejudice. This report followed the CONSORT reporting guideline for randomized studies.</w:t>
      </w:r>
    </w:p>
    <w:p w14:paraId="134602F9" w14:textId="77777777" w:rsidR="006046BC" w:rsidRPr="00CF1CF9" w:rsidRDefault="006046BC" w:rsidP="00302D9E">
      <w:pPr>
        <w:pStyle w:val="Default"/>
        <w:spacing w:line="480" w:lineRule="auto"/>
        <w:contextualSpacing/>
        <w:jc w:val="both"/>
        <w:outlineLvl w:val="0"/>
        <w:rPr>
          <w:rFonts w:ascii="Times New Roman" w:hAnsi="Times New Roman" w:cs="Times New Roman"/>
          <w:b/>
          <w:color w:val="000000" w:themeColor="text1"/>
          <w:lang w:eastAsia="it-IT"/>
        </w:rPr>
      </w:pPr>
    </w:p>
    <w:p w14:paraId="30F41763" w14:textId="0204F560" w:rsidR="006046BC" w:rsidRPr="00CF1CF9" w:rsidRDefault="006046BC" w:rsidP="00302D9E">
      <w:pPr>
        <w:pStyle w:val="Default"/>
        <w:spacing w:line="480" w:lineRule="auto"/>
        <w:contextualSpacing/>
        <w:jc w:val="both"/>
        <w:outlineLvl w:val="0"/>
        <w:rPr>
          <w:rFonts w:ascii="Times New Roman" w:hAnsi="Times New Roman" w:cs="Times New Roman"/>
          <w:b/>
          <w:color w:val="000000" w:themeColor="text1"/>
          <w:lang w:eastAsia="it-IT"/>
        </w:rPr>
      </w:pPr>
      <w:r w:rsidRPr="00CF1CF9">
        <w:rPr>
          <w:rFonts w:ascii="Times New Roman" w:hAnsi="Times New Roman" w:cs="Times New Roman"/>
          <w:b/>
          <w:color w:val="000000" w:themeColor="text1"/>
          <w:lang w:eastAsia="it-IT"/>
        </w:rPr>
        <w:t xml:space="preserve">Trial design </w:t>
      </w:r>
    </w:p>
    <w:p w14:paraId="1F31FA3D" w14:textId="06A49CBF" w:rsidR="006046BC" w:rsidRPr="00CF1CF9" w:rsidRDefault="006046BC" w:rsidP="00302D9E">
      <w:pPr>
        <w:pStyle w:val="Default"/>
        <w:spacing w:line="480" w:lineRule="auto"/>
        <w:contextualSpacing/>
        <w:jc w:val="both"/>
        <w:rPr>
          <w:rFonts w:ascii="Times New Roman" w:hAnsi="Times New Roman" w:cs="Times New Roman"/>
          <w:b/>
          <w:color w:val="000000" w:themeColor="text1"/>
        </w:rPr>
      </w:pPr>
      <w:r w:rsidRPr="00CF1CF9">
        <w:rPr>
          <w:rFonts w:ascii="Times New Roman" w:hAnsi="Times New Roman" w:cs="Times New Roman"/>
          <w:color w:val="000000" w:themeColor="text1"/>
          <w:lang w:eastAsia="it-IT"/>
        </w:rPr>
        <w:t xml:space="preserve">The study was a monocentric, randomized, sham-controlled, double-blind trial of rTMS over the PC in mild-to-moderate AD patients. Stimulation was given </w:t>
      </w:r>
      <w:r w:rsidRPr="00CF1CF9">
        <w:rPr>
          <w:rFonts w:ascii="Times New Roman" w:eastAsia="Times New Roman" w:hAnsi="Times New Roman" w:cs="Times New Roman"/>
          <w:color w:val="000000" w:themeColor="text1"/>
          <w:shd w:val="clear" w:color="auto" w:fill="FFFFFF"/>
          <w:lang w:eastAsia="it-IT"/>
        </w:rPr>
        <w:t>as an add-on to standard treatment with</w:t>
      </w:r>
      <w:r w:rsidRPr="00CF1CF9">
        <w:rPr>
          <w:rFonts w:ascii="Times New Roman" w:eastAsia="Times New Roman" w:hAnsi="Times New Roman" w:cs="Times New Roman"/>
          <w:b/>
          <w:color w:val="000000" w:themeColor="text1"/>
          <w:shd w:val="clear" w:color="auto" w:fill="FFFFFF"/>
          <w:lang w:eastAsia="it-IT"/>
        </w:rPr>
        <w:t xml:space="preserve"> </w:t>
      </w:r>
      <w:r w:rsidRPr="00CF1CF9">
        <w:rPr>
          <w:rFonts w:ascii="Times New Roman" w:eastAsia="Times New Roman" w:hAnsi="Times New Roman" w:cs="Times New Roman"/>
          <w:color w:val="000000" w:themeColor="text1"/>
          <w:shd w:val="clear" w:color="auto" w:fill="FFFFFF"/>
          <w:lang w:eastAsia="it-IT"/>
        </w:rPr>
        <w:lastRenderedPageBreak/>
        <w:t>acetylcholinesterase inhibitors</w:t>
      </w:r>
      <w:r w:rsidRPr="00CF1CF9">
        <w:rPr>
          <w:rFonts w:ascii="Times New Roman" w:hAnsi="Times New Roman" w:cs="Times New Roman"/>
          <w:color w:val="000000" w:themeColor="text1"/>
          <w:lang w:eastAsia="it-IT"/>
        </w:rPr>
        <w:t xml:space="preserve">. The trial comprised a 52-week treatment period with a 2-week intensive course in which real rTMS of the PC (PC-rTMS) or sham-rTMS was applied daily 5 times per week, Monday to Friday, followed by a maintenance phase in which the same stimulation was applied weekly for </w:t>
      </w:r>
      <w:r w:rsidR="00ED7919" w:rsidRPr="00CF1CF9">
        <w:rPr>
          <w:rFonts w:ascii="Times New Roman" w:hAnsi="Times New Roman" w:cs="Times New Roman"/>
          <w:color w:val="000000" w:themeColor="text1"/>
          <w:lang w:eastAsia="it-IT"/>
        </w:rPr>
        <w:t>50</w:t>
      </w:r>
      <w:r w:rsidRPr="00CF1CF9">
        <w:rPr>
          <w:rFonts w:ascii="Times New Roman" w:hAnsi="Times New Roman" w:cs="Times New Roman"/>
          <w:color w:val="000000" w:themeColor="text1"/>
          <w:lang w:eastAsia="it-IT"/>
        </w:rPr>
        <w:t xml:space="preserve"> weeks.</w:t>
      </w:r>
      <w:r w:rsidRPr="00CF1CF9">
        <w:rPr>
          <w:rFonts w:ascii="Times New Roman" w:hAnsi="Times New Roman" w:cs="Times New Roman"/>
          <w:b/>
          <w:color w:val="000000" w:themeColor="text1"/>
          <w:lang w:eastAsia="it-IT"/>
        </w:rPr>
        <w:t xml:space="preserve"> </w:t>
      </w:r>
      <w:r w:rsidRPr="00CF1CF9">
        <w:rPr>
          <w:rFonts w:ascii="Times New Roman" w:hAnsi="Times New Roman" w:cs="Times New Roman"/>
          <w:color w:val="000000" w:themeColor="text1"/>
          <w:lang w:eastAsia="it-IT"/>
        </w:rPr>
        <w:t xml:space="preserve">After recruitment and baseline assessments, patients were randomly assigned in a 1:1 ratio </w:t>
      </w:r>
      <w:r w:rsidR="007C4276" w:rsidRPr="00CF1CF9">
        <w:rPr>
          <w:rFonts w:ascii="Times New Roman" w:hAnsi="Times New Roman" w:cs="Times New Roman"/>
          <w:color w:val="000000" w:themeColor="text1"/>
          <w:lang w:eastAsia="it-IT"/>
        </w:rPr>
        <w:t xml:space="preserve">with </w:t>
      </w:r>
      <w:r w:rsidR="007C4276" w:rsidRPr="00CF1CF9">
        <w:rPr>
          <w:rFonts w:asciiTheme="majorBidi" w:hAnsiTheme="majorBidi" w:cstheme="majorBidi"/>
          <w:bCs/>
          <w:color w:val="000000" w:themeColor="text1"/>
        </w:rPr>
        <w:t>an adaptive randomization design</w:t>
      </w:r>
      <w:r w:rsidR="007C4276" w:rsidRPr="00CF1CF9">
        <w:rPr>
          <w:rFonts w:ascii="Times New Roman" w:hAnsi="Times New Roman" w:cs="Times New Roman"/>
          <w:color w:val="000000" w:themeColor="text1"/>
          <w:lang w:eastAsia="it-IT"/>
        </w:rPr>
        <w:t xml:space="preserve"> </w:t>
      </w:r>
      <w:r w:rsidRPr="00CF1CF9">
        <w:rPr>
          <w:rFonts w:ascii="Times New Roman" w:hAnsi="Times New Roman" w:cs="Times New Roman"/>
          <w:color w:val="000000" w:themeColor="text1"/>
          <w:lang w:eastAsia="it-IT"/>
        </w:rPr>
        <w:t xml:space="preserve">to receive PC-rTMS or sham-rTMS in addition to their stable drug regimen with acetylcholinesterase inhibitors therapy. All treatments were administered for </w:t>
      </w:r>
      <w:r w:rsidR="001835CF" w:rsidRPr="00CF1CF9">
        <w:rPr>
          <w:rFonts w:ascii="Times New Roman" w:hAnsi="Times New Roman" w:cs="Times New Roman"/>
          <w:color w:val="000000" w:themeColor="text1"/>
          <w:lang w:eastAsia="it-IT"/>
        </w:rPr>
        <w:t>52</w:t>
      </w:r>
      <w:r w:rsidRPr="00CF1CF9">
        <w:rPr>
          <w:rFonts w:ascii="Times New Roman" w:hAnsi="Times New Roman" w:cs="Times New Roman"/>
          <w:color w:val="000000" w:themeColor="text1"/>
          <w:lang w:eastAsia="it-IT"/>
        </w:rPr>
        <w:t xml:space="preserve"> weeks with no interruptions. Each rTMS session consisted of forty trains of 2 seconds delivered at 20 Hz spaced-out by 28 seconds of no stimulation (total number of stimuli: 1600), lasting approximately 20 minutes. During the entire period of 52 weeks a total of </w:t>
      </w:r>
      <w:r w:rsidR="009B4855" w:rsidRPr="00CF1CF9">
        <w:rPr>
          <w:rFonts w:ascii="Times New Roman" w:hAnsi="Times New Roman" w:cs="Times New Roman"/>
          <w:color w:val="000000" w:themeColor="text1"/>
          <w:lang w:eastAsia="it-IT"/>
        </w:rPr>
        <w:t>96.</w:t>
      </w:r>
      <w:r w:rsidRPr="00CF1CF9">
        <w:rPr>
          <w:rFonts w:ascii="Times New Roman" w:hAnsi="Times New Roman" w:cs="Times New Roman"/>
          <w:color w:val="000000" w:themeColor="text1"/>
          <w:lang w:eastAsia="it-IT"/>
        </w:rPr>
        <w:t xml:space="preserve">000 were delivered for each patient. </w:t>
      </w:r>
      <w:r w:rsidRPr="00CF1CF9">
        <w:rPr>
          <w:rFonts w:ascii="Times New Roman" w:hAnsi="Times New Roman" w:cs="Times New Roman"/>
          <w:color w:val="000000" w:themeColor="text1"/>
        </w:rPr>
        <w:t>The clinical assessments were rated at baseline (W0) for enrolled patients and caregivers and repeated at week 12 (W12); 24 (W24); 36 (W36) and 52 (W52) by raters who were blinded in respect to the assignment group.</w:t>
      </w:r>
    </w:p>
    <w:p w14:paraId="7EE0680F" w14:textId="20714F1C" w:rsidR="006046BC" w:rsidRPr="00CF1CF9" w:rsidRDefault="006046BC" w:rsidP="00302D9E">
      <w:pPr>
        <w:pStyle w:val="Default"/>
        <w:spacing w:line="480" w:lineRule="auto"/>
        <w:contextualSpacing/>
        <w:jc w:val="both"/>
        <w:rPr>
          <w:rFonts w:ascii="Times New Roman" w:hAnsi="Times New Roman" w:cs="Times New Roman"/>
          <w:color w:val="000000" w:themeColor="text1"/>
        </w:rPr>
      </w:pPr>
      <w:r w:rsidRPr="00CF1CF9">
        <w:rPr>
          <w:rFonts w:ascii="Times New Roman" w:hAnsi="Times New Roman" w:cs="Times New Roman"/>
          <w:color w:val="000000" w:themeColor="text1"/>
        </w:rPr>
        <w:t xml:space="preserve">Investigators, patients, and their caregivers were also blinded. At each clinical visit (or upon early termination), adverse events (AEs) were recorded, vital signs </w:t>
      </w:r>
      <w:proofErr w:type="gramStart"/>
      <w:r w:rsidRPr="00CF1CF9">
        <w:rPr>
          <w:rFonts w:ascii="Times New Roman" w:hAnsi="Times New Roman" w:cs="Times New Roman"/>
          <w:color w:val="000000" w:themeColor="text1"/>
        </w:rPr>
        <w:t>measured</w:t>
      </w:r>
      <w:proofErr w:type="gramEnd"/>
      <w:r w:rsidRPr="00CF1CF9">
        <w:rPr>
          <w:rFonts w:ascii="Times New Roman" w:hAnsi="Times New Roman" w:cs="Times New Roman"/>
          <w:color w:val="000000" w:themeColor="text1"/>
        </w:rPr>
        <w:t xml:space="preserve"> and physical and neurological examination performed. An independent Data Monitoring Committee monitored the patients' safety according to the Data Monitoring Committee Charter.</w:t>
      </w:r>
    </w:p>
    <w:p w14:paraId="49049083" w14:textId="77777777" w:rsidR="006046BC" w:rsidRPr="00CF1CF9" w:rsidRDefault="006046BC" w:rsidP="00302D9E">
      <w:pPr>
        <w:pStyle w:val="Default"/>
        <w:spacing w:line="480" w:lineRule="auto"/>
        <w:contextualSpacing/>
        <w:jc w:val="both"/>
        <w:rPr>
          <w:rFonts w:ascii="Times New Roman" w:hAnsi="Times New Roman" w:cs="Times New Roman"/>
          <w:b/>
          <w:color w:val="000000" w:themeColor="text1"/>
        </w:rPr>
      </w:pPr>
    </w:p>
    <w:p w14:paraId="0A47C9CC" w14:textId="62C8B640" w:rsidR="00CE3CE1" w:rsidRPr="00CF1CF9" w:rsidRDefault="00CE3CE1" w:rsidP="00302D9E">
      <w:pPr>
        <w:pStyle w:val="Default"/>
        <w:spacing w:line="480" w:lineRule="auto"/>
        <w:contextualSpacing/>
        <w:jc w:val="both"/>
        <w:rPr>
          <w:rFonts w:ascii="Times New Roman" w:hAnsi="Times New Roman" w:cs="Times New Roman"/>
          <w:b/>
          <w:color w:val="000000" w:themeColor="text1"/>
        </w:rPr>
      </w:pPr>
      <w:r w:rsidRPr="00CF1CF9">
        <w:rPr>
          <w:rFonts w:ascii="Times New Roman" w:hAnsi="Times New Roman" w:cs="Times New Roman"/>
          <w:b/>
          <w:color w:val="000000" w:themeColor="text1"/>
        </w:rPr>
        <w:t>Intervention – rTMS</w:t>
      </w:r>
    </w:p>
    <w:p w14:paraId="6D2361F3" w14:textId="4028AF28" w:rsidR="00CE3CE1" w:rsidRPr="00CF1CF9" w:rsidRDefault="00CE3CE1" w:rsidP="008B2E69">
      <w:pPr>
        <w:pStyle w:val="Default"/>
        <w:spacing w:line="480" w:lineRule="auto"/>
        <w:contextualSpacing/>
        <w:jc w:val="both"/>
        <w:rPr>
          <w:rFonts w:ascii="Times New Roman" w:hAnsi="Times New Roman" w:cs="Times New Roman"/>
          <w:color w:val="000000" w:themeColor="text1"/>
          <w:lang w:eastAsia="it-IT"/>
        </w:rPr>
      </w:pPr>
      <w:bookmarkStart w:id="0" w:name="_Hlk87888931"/>
      <w:r w:rsidRPr="00CF1CF9">
        <w:rPr>
          <w:rFonts w:ascii="Times New Roman" w:hAnsi="Times New Roman" w:cs="Times New Roman"/>
          <w:color w:val="000000" w:themeColor="text1"/>
        </w:rPr>
        <w:t xml:space="preserve">TMS was carried out using a </w:t>
      </w:r>
      <w:proofErr w:type="spellStart"/>
      <w:r w:rsidRPr="00CF1CF9">
        <w:rPr>
          <w:rFonts w:ascii="Times New Roman" w:hAnsi="Times New Roman" w:cs="Times New Roman"/>
          <w:color w:val="000000" w:themeColor="text1"/>
        </w:rPr>
        <w:t>Magstim</w:t>
      </w:r>
      <w:proofErr w:type="spellEnd"/>
      <w:r w:rsidRPr="00CF1CF9">
        <w:rPr>
          <w:rFonts w:ascii="Times New Roman" w:hAnsi="Times New Roman" w:cs="Times New Roman"/>
          <w:color w:val="000000" w:themeColor="text1"/>
        </w:rPr>
        <w:t xml:space="preserve"> Rapid</w:t>
      </w:r>
      <w:r w:rsidRPr="00CF1CF9">
        <w:rPr>
          <w:rFonts w:ascii="Times New Roman" w:hAnsi="Times New Roman" w:cs="Times New Roman"/>
          <w:color w:val="000000" w:themeColor="text1"/>
          <w:vertAlign w:val="superscript"/>
        </w:rPr>
        <w:t>2</w:t>
      </w:r>
      <w:r w:rsidRPr="00CF1CF9">
        <w:rPr>
          <w:rFonts w:ascii="Times New Roman" w:hAnsi="Times New Roman" w:cs="Times New Roman"/>
          <w:color w:val="000000" w:themeColor="text1"/>
        </w:rPr>
        <w:t xml:space="preserve"> magnetic biphasic stimulator connected with a figure-of-eight coil with a 70-mm diameter (</w:t>
      </w:r>
      <w:proofErr w:type="spellStart"/>
      <w:r w:rsidRPr="00CF1CF9">
        <w:rPr>
          <w:rFonts w:ascii="Times New Roman" w:hAnsi="Times New Roman" w:cs="Times New Roman"/>
          <w:color w:val="000000" w:themeColor="text1"/>
        </w:rPr>
        <w:t>Magstim</w:t>
      </w:r>
      <w:proofErr w:type="spellEnd"/>
      <w:r w:rsidRPr="00CF1CF9">
        <w:rPr>
          <w:rFonts w:ascii="Times New Roman" w:hAnsi="Times New Roman" w:cs="Times New Roman"/>
          <w:color w:val="000000" w:themeColor="text1"/>
        </w:rPr>
        <w:t xml:space="preserve"> Company, Whitland, UK) that generates 2.2 T as maximum output. </w:t>
      </w:r>
      <w:bookmarkStart w:id="1" w:name="_Hlk170478031"/>
      <w:bookmarkEnd w:id="0"/>
      <w:r w:rsidRPr="00CF1CF9">
        <w:rPr>
          <w:rFonts w:ascii="Times New Roman" w:hAnsi="Times New Roman" w:cs="Times New Roman"/>
          <w:color w:val="000000" w:themeColor="text1"/>
        </w:rPr>
        <w:t xml:space="preserve">To select the intensity for rTMS treatment we used the following procedure. We first computed the resting motor threshold (RMT), defined as the lowest intensity producing MEPs of &gt;50 </w:t>
      </w:r>
      <w:proofErr w:type="spellStart"/>
      <w:r w:rsidRPr="00CF1CF9">
        <w:rPr>
          <w:rFonts w:ascii="Times New Roman" w:hAnsi="Times New Roman" w:cs="Times New Roman"/>
          <w:color w:val="000000" w:themeColor="text1"/>
        </w:rPr>
        <w:t>μV</w:t>
      </w:r>
      <w:proofErr w:type="spellEnd"/>
      <w:r w:rsidRPr="00CF1CF9">
        <w:rPr>
          <w:rFonts w:ascii="Times New Roman" w:hAnsi="Times New Roman" w:cs="Times New Roman"/>
          <w:color w:val="000000" w:themeColor="text1"/>
        </w:rPr>
        <w:t xml:space="preserve"> in at least five out of 10 trials in the relaxed first dorsal </w:t>
      </w:r>
      <w:proofErr w:type="spellStart"/>
      <w:r w:rsidRPr="00CF1CF9">
        <w:rPr>
          <w:rFonts w:ascii="Times New Roman" w:hAnsi="Times New Roman" w:cs="Times New Roman"/>
          <w:color w:val="000000" w:themeColor="text1"/>
        </w:rPr>
        <w:t>intereosseous</w:t>
      </w:r>
      <w:proofErr w:type="spellEnd"/>
      <w:r w:rsidRPr="00CF1CF9">
        <w:rPr>
          <w:rFonts w:ascii="Times New Roman" w:hAnsi="Times New Roman" w:cs="Times New Roman"/>
          <w:color w:val="000000" w:themeColor="text1"/>
        </w:rPr>
        <w:t xml:space="preserve"> (FDI) muscle of the right hand </w:t>
      </w:r>
      <w:r w:rsidRPr="00CF1CF9">
        <w:rPr>
          <w:rFonts w:ascii="Times New Roman" w:hAnsi="Times New Roman" w:cs="Times New Roman"/>
          <w:color w:val="000000" w:themeColor="text1"/>
        </w:rPr>
        <w:fldChar w:fldCharType="begin"/>
      </w:r>
      <w:r w:rsidR="000F2CFE" w:rsidRPr="00CF1CF9">
        <w:rPr>
          <w:rFonts w:ascii="Times New Roman" w:hAnsi="Times New Roman" w:cs="Times New Roman"/>
          <w:color w:val="000000" w:themeColor="text1"/>
        </w:rPr>
        <w:instrText xml:space="preserve"> ADDIN ZOTERO_ITEM CSL_CITATION {"citationID":"fLD0cSfL","properties":{"formattedCitation":"(4)","plainCitation":"(4)","noteIndex":0},"citationItems":[{"id":"4O7qyJk2/OWLtNk75","uris":["http://zotero.org/users/3798786/items/KB6EUHRX",["http://zotero.org/users/3798786/items/KB6EUHRX"]],"itemData":{"id":1726,"type":"article-journal","container-title":"Clinical Neurophysiology","DOI":"10.1016/j.clinph.2015.02.001","ISSN":"13882457","issue":"6","language":"en","page":"1071-1107","source":"CrossRef","title":"Non-invasive electrical and magnetic stimulation of the brain, spinal cord, roots and peripheral nerves: Basic principles and procedures for routine clinical and research application. An updated report from an I.F.C.N. Committee","title-short":"Non-invasive electrical and magnetic stimulation of the brain, spinal cord, roots and peripheral nerves","volume":"126","author":[{"family":"Rossini","given":"P.M."},{"family":"Burke","given":"D."},{"family":"Chen","given":"R."},{"family":"Cohen","given":"L.G."},{"family":"Daskalakis","given":"Z."},{"family":"Di Iorio","given":"R."},{"family":"Di Lazzaro","given":"V."},{"family":"Ferreri","given":"F."},{"family":"Fitzgerald","given":"P.B."},{"family":"George","given":"M.S."},{"family":"Hallett","given":"M."},{"family":"Lefaucheur","given":"J.P."},{"family":"Langguth","given":"B."},{"family":"Matsumoto","given":"H."},{"family":"Miniussi","given":"C."},{"family":"Nitsche","given":"M.A."},{"family":"Pascual-Leone","given":"A."},{"family":"Paulus","given":"W."},{"family":"Rossi","given":"S."},{"family":"Rothwell","given":"J.C."},{"family":"Siebner","given":"H.R."},{"family":"Ugawa","given":"Y."},{"family":"Walsh","given":"V."},{"family":"Ziemann","given":"U."}],"issued":{"date-parts":[["2015",6]]}}}],"schema":"https://github.com/citation-style-language/schema/raw/master/csl-citation.json"} </w:instrText>
      </w:r>
      <w:r w:rsidRPr="00CF1CF9">
        <w:rPr>
          <w:rFonts w:ascii="Times New Roman" w:hAnsi="Times New Roman" w:cs="Times New Roman"/>
          <w:color w:val="000000" w:themeColor="text1"/>
        </w:rPr>
        <w:fldChar w:fldCharType="separate"/>
      </w:r>
      <w:r w:rsidR="000F2CFE" w:rsidRPr="00CF1CF9">
        <w:rPr>
          <w:rFonts w:ascii="Times New Roman" w:hAnsi="Times New Roman" w:cs="Times New Roman"/>
          <w:color w:val="000000" w:themeColor="text1"/>
        </w:rPr>
        <w:t>(4)</w:t>
      </w:r>
      <w:r w:rsidRPr="00CF1CF9">
        <w:rPr>
          <w:rFonts w:ascii="Times New Roman" w:hAnsi="Times New Roman" w:cs="Times New Roman"/>
          <w:color w:val="000000" w:themeColor="text1"/>
        </w:rPr>
        <w:fldChar w:fldCharType="end"/>
      </w:r>
      <w:r w:rsidRPr="00CF1CF9">
        <w:rPr>
          <w:rFonts w:ascii="Times New Roman" w:hAnsi="Times New Roman" w:cs="Times New Roman"/>
          <w:color w:val="000000" w:themeColor="text1"/>
        </w:rPr>
        <w:t xml:space="preserve">. RMT was assessed over the optimal stimulus site to elicit MEPs in the right FDI, termed “motor hotspot”, identified by positioning the coil approximately over the central sulcus and moving it on the scalp by 0.5 cm steps on left M1. </w:t>
      </w:r>
      <w:r w:rsidRPr="00CF1CF9">
        <w:rPr>
          <w:rFonts w:ascii="Times New Roman" w:eastAsia="Times New Roman" w:hAnsi="Times New Roman" w:cs="Times New Roman"/>
          <w:color w:val="000000" w:themeColor="text1"/>
          <w:lang w:eastAsia="it-IT"/>
        </w:rPr>
        <w:t xml:space="preserve">Since the coil-to-cortex distance directly influences </w:t>
      </w:r>
      <w:r w:rsidRPr="00CF1CF9">
        <w:rPr>
          <w:rFonts w:ascii="Times New Roman" w:eastAsia="Times New Roman" w:hAnsi="Times New Roman" w:cs="Times New Roman"/>
          <w:color w:val="000000" w:themeColor="text1"/>
          <w:lang w:eastAsia="it-IT"/>
        </w:rPr>
        <w:lastRenderedPageBreak/>
        <w:t>the magnitude of magnetic stimulation, for each patient we subsequently calculated a distance-adjusted RMT (</w:t>
      </w:r>
      <w:proofErr w:type="spellStart"/>
      <w:r w:rsidRPr="00CF1CF9">
        <w:rPr>
          <w:rFonts w:ascii="Times New Roman" w:eastAsia="Times New Roman" w:hAnsi="Times New Roman" w:cs="Times New Roman"/>
          <w:color w:val="000000" w:themeColor="text1"/>
          <w:lang w:eastAsia="it-IT"/>
        </w:rPr>
        <w:t>AdjRMT</w:t>
      </w:r>
      <w:proofErr w:type="spellEnd"/>
      <w:r w:rsidRPr="00CF1CF9">
        <w:rPr>
          <w:rFonts w:ascii="Times New Roman" w:eastAsia="Times New Roman" w:hAnsi="Times New Roman" w:cs="Times New Roman"/>
          <w:color w:val="000000" w:themeColor="text1"/>
          <w:lang w:eastAsia="it-IT"/>
        </w:rPr>
        <w:t xml:space="preserve">). </w:t>
      </w:r>
      <w:proofErr w:type="spellStart"/>
      <w:r w:rsidRPr="00CF1CF9">
        <w:rPr>
          <w:rFonts w:ascii="Times New Roman" w:eastAsia="Times New Roman" w:hAnsi="Times New Roman" w:cs="Times New Roman"/>
          <w:color w:val="000000" w:themeColor="text1"/>
          <w:lang w:eastAsia="it-IT"/>
        </w:rPr>
        <w:t>AdjRMT</w:t>
      </w:r>
      <w:proofErr w:type="spellEnd"/>
      <w:r w:rsidRPr="00CF1CF9">
        <w:rPr>
          <w:rFonts w:ascii="Times New Roman" w:eastAsia="Times New Roman" w:hAnsi="Times New Roman" w:cs="Times New Roman"/>
          <w:color w:val="000000" w:themeColor="text1"/>
          <w:lang w:eastAsia="it-IT"/>
        </w:rPr>
        <w:t xml:space="preserve"> = RMT + m × (</w:t>
      </w:r>
      <w:proofErr w:type="spellStart"/>
      <w:r w:rsidRPr="00CF1CF9">
        <w:rPr>
          <w:rFonts w:ascii="Times New Roman" w:eastAsia="Times New Roman" w:hAnsi="Times New Roman" w:cs="Times New Roman"/>
          <w:color w:val="000000" w:themeColor="text1"/>
          <w:lang w:eastAsia="it-IT"/>
        </w:rPr>
        <w:t>DsiteX</w:t>
      </w:r>
      <w:proofErr w:type="spellEnd"/>
      <w:r w:rsidRPr="00CF1CF9">
        <w:rPr>
          <w:rFonts w:ascii="Times New Roman" w:eastAsia="Times New Roman" w:hAnsi="Times New Roman" w:cs="Times New Roman"/>
          <w:color w:val="000000" w:themeColor="text1"/>
          <w:lang w:eastAsia="it-IT"/>
        </w:rPr>
        <w:t xml:space="preserve">− DM1) where </w:t>
      </w:r>
      <w:proofErr w:type="spellStart"/>
      <w:r w:rsidRPr="00CF1CF9">
        <w:rPr>
          <w:rFonts w:ascii="Times New Roman" w:eastAsia="Times New Roman" w:hAnsi="Times New Roman" w:cs="Times New Roman"/>
          <w:color w:val="000000" w:themeColor="text1"/>
          <w:lang w:eastAsia="it-IT"/>
        </w:rPr>
        <w:t>AdjRMT</w:t>
      </w:r>
      <w:proofErr w:type="spellEnd"/>
      <w:r w:rsidRPr="00CF1CF9">
        <w:rPr>
          <w:rFonts w:ascii="Times New Roman" w:eastAsia="Times New Roman" w:hAnsi="Times New Roman" w:cs="Times New Roman"/>
          <w:color w:val="000000" w:themeColor="text1"/>
          <w:lang w:eastAsia="it-IT"/>
        </w:rPr>
        <w:t xml:space="preserve"> is the adjusted MT in % of stimulator output, MT is the unadjusted MT in % of stimulator output, DM1 is the distance between the scalp and M1 hotspot, </w:t>
      </w:r>
      <w:proofErr w:type="spellStart"/>
      <w:r w:rsidRPr="00CF1CF9">
        <w:rPr>
          <w:rFonts w:ascii="Times New Roman" w:eastAsia="Times New Roman" w:hAnsi="Times New Roman" w:cs="Times New Roman"/>
          <w:color w:val="000000" w:themeColor="text1"/>
          <w:lang w:eastAsia="it-IT"/>
        </w:rPr>
        <w:t>DSiteX</w:t>
      </w:r>
      <w:proofErr w:type="spellEnd"/>
      <w:r w:rsidRPr="00CF1CF9">
        <w:rPr>
          <w:rFonts w:ascii="Times New Roman" w:eastAsia="Times New Roman" w:hAnsi="Times New Roman" w:cs="Times New Roman"/>
          <w:color w:val="000000" w:themeColor="text1"/>
          <w:lang w:eastAsia="it-IT"/>
        </w:rPr>
        <w:t xml:space="preserve"> is the distance between the scalp and a second cortical region (SiteX), and m is the distance-effect gradient. This procedure provides a more accurate index of cortical excitability and improves the efficacy of MT-calibrated TMS. </w:t>
      </w:r>
      <w:r w:rsidRPr="00CF1CF9">
        <w:rPr>
          <w:rFonts w:ascii="Times New Roman" w:hAnsi="Times New Roman" w:cs="Times New Roman"/>
          <w:color w:val="000000" w:themeColor="text1"/>
        </w:rPr>
        <w:t xml:space="preserve">Afterwards, each patient received 50 TMS single pulses at an initial intensity of 100% of </w:t>
      </w:r>
      <w:proofErr w:type="spellStart"/>
      <w:r w:rsidRPr="00CF1CF9">
        <w:rPr>
          <w:rFonts w:ascii="Times New Roman" w:hAnsi="Times New Roman" w:cs="Times New Roman"/>
          <w:color w:val="000000" w:themeColor="text1"/>
        </w:rPr>
        <w:t>adjMT</w:t>
      </w:r>
      <w:proofErr w:type="spellEnd"/>
      <w:r w:rsidRPr="00CF1CF9">
        <w:rPr>
          <w:rFonts w:ascii="Times New Roman" w:hAnsi="Times New Roman" w:cs="Times New Roman"/>
          <w:color w:val="000000" w:themeColor="text1"/>
        </w:rPr>
        <w:t>, during a 64-channel EEG recording, over different scalp positions corresponding to the PC region, identified based on previous fMRI works</w:t>
      </w:r>
      <w:r w:rsidRPr="00CF1CF9">
        <w:rPr>
          <w:rFonts w:ascii="Times New Roman" w:hAnsi="Times New Roman" w:cs="Times New Roman"/>
          <w:color w:val="000000" w:themeColor="text1"/>
          <w:vertAlign w:val="superscript"/>
        </w:rPr>
        <w:t xml:space="preserve"> </w:t>
      </w:r>
      <w:r w:rsidRPr="00CF1CF9">
        <w:rPr>
          <w:rFonts w:ascii="Times New Roman" w:hAnsi="Times New Roman" w:cs="Times New Roman"/>
          <w:color w:val="000000" w:themeColor="text1"/>
          <w:vertAlign w:val="superscript"/>
        </w:rPr>
        <w:fldChar w:fldCharType="begin"/>
      </w:r>
      <w:r w:rsidR="000F2CFE" w:rsidRPr="00CF1CF9">
        <w:rPr>
          <w:rFonts w:ascii="Times New Roman" w:hAnsi="Times New Roman" w:cs="Times New Roman"/>
          <w:color w:val="000000" w:themeColor="text1"/>
          <w:vertAlign w:val="superscript"/>
        </w:rPr>
        <w:instrText xml:space="preserve"> ADDIN ZOTERO_ITEM CSL_CITATION {"citationID":"TGUCw7fy","properties":{"formattedCitation":"(5)","plainCitation":"(5)","noteIndex":0},"citationItems":[{"id":"4O7qyJk2/kBTtdEpi","uris":["http://zotero.org/users/local/YmOE5LRt/items/Y27D4UGS",["http://zotero.org/users/local/YmOE5LRt/items/Y27D4UGS"]],"itemData":{"id":368,"type":"article-journal","abstract":"The extent of dorsolateral prefrontal cortex (DLPFC) plasticity in Alzheimer disease (AD) and its association with working memory are not known.To determine whether participants with AD had impaired DLPFC plasticity compared with healthy control participants, to compare working memory between participants with AD and controls, and to determine whether DLPFC plasticity was associated with working memory.This cross-sectional study included 32 participants with AD who were 65 years or older and met diagnostic criteria for dementia due to probable AD with a score of at least 17 on the Mini-Mental State Examination and 16 age-matched control participants. Participants were recruited from a university teaching hospital from May 2013 to October 2016.Plasticity of the DLPFC measured as potentiation of cortical-evoked activity using paired associative stimulation (a combination of peripheral nerve electrical stimulation and transcranial magnetic stimulation) combined with electroencephalography. Working memory was assessed with the n-back task (1- and 2-back) and measured using the A’ statistic.Among the 32 participants with AD, 17 were women and 15 were men (mean [SD] age, 76.3 [6.3] years); among the 16 controls, 8 were men and 8 were women (mean [SD] age, 76.4 [5.1] years). Participants with AD had impaired DLPFC plasticity (mean [SD] potentiation, 1.18 [0.25]) compared with controls (mean [SD] potentiation, 1.40 [0.35]; F1,44 = 5.90; P = .02; between-group comparison, Cohen d = 0.77; P = .01). Participants with AD also had impaired performances on the 1-back condition (mean [SD] A′ = 0.47 [0.30]) compared with controls (mean [SD] A′ = 0.96 [0.01]; Cohen d = 1.86; P &amp;lt; .001), with similar findings for participants with AD on the 2-back condition (mean [SD] A’ = 0.29 [0.2]) compared with controls (mean [SD], A′ = 0.85 [0.18]; Cohen d = 2.83; P &amp;lt; .001). Plasticity of DLPFC was positively associated with working memory performance on the 1-back A′ (parameter estimate B [SE] = 0.32 [0.13]; standardized β = 0.29; P = .02) and 2-back A′ (B [SE] = 0.43 [0.15]; β = 0.39; P = .006) across both groups after controlling for age, education, and attention.This study demonstrated impaired in vivo DLPFC plasticity in patients with AD. The findings support the use of DLPFC plasticity as a measure of DLPFC function and a potential treatment target to enhance DLPFC function and working memory in patients with AD.","container-title":"JAMA Psychiatry","DOI":"10.1001/jamapsychiatry.2017.3292","ISSN":"2168-622X","issue":"12","journalAbbreviation":"JAMA Psychiatry","page":"1266-1274","source":"Silverchair","title":"Extent of Dorsolateral Prefrontal Cortex Plasticity and Its Association With Working Memory in Patients With Alzheimer Disease","volume":"74","author":[{"family":"Kumar","given":"Sanjeev"},{"family":"Zomorrodi","given":"Reza"},{"family":"Ghazala","given":"Zaid"},{"family":"Goodman","given":"Michelle S."},{"family":"Blumberger","given":"Daniel M."},{"family":"Cheam","given":"Amay"},{"family":"Fischer","given":"Corinne"},{"family":"Daskalakis","given":"Zafiris J."},{"family":"Mulsant","given":"Benoit H."},{"family":"Pollock","given":"Bruce G."},{"family":"Rajji","given":"Tarek K."}],"issued":{"date-parts":[["2017",12,1]]}}}],"schema":"https://github.com/citation-style-language/schema/raw/master/csl-citation.json"} </w:instrText>
      </w:r>
      <w:r w:rsidRPr="00CF1CF9">
        <w:rPr>
          <w:rFonts w:ascii="Times New Roman" w:hAnsi="Times New Roman" w:cs="Times New Roman"/>
          <w:color w:val="000000" w:themeColor="text1"/>
          <w:vertAlign w:val="superscript"/>
        </w:rPr>
        <w:fldChar w:fldCharType="separate"/>
      </w:r>
      <w:r w:rsidR="000F2CFE" w:rsidRPr="00CF1CF9">
        <w:rPr>
          <w:rFonts w:ascii="Times New Roman" w:hAnsi="Times New Roman" w:cs="Times New Roman"/>
          <w:color w:val="000000" w:themeColor="text1"/>
        </w:rPr>
        <w:t>(5)</w:t>
      </w:r>
      <w:r w:rsidRPr="00CF1CF9">
        <w:rPr>
          <w:rFonts w:ascii="Times New Roman" w:hAnsi="Times New Roman" w:cs="Times New Roman"/>
          <w:color w:val="000000" w:themeColor="text1"/>
          <w:vertAlign w:val="superscript"/>
        </w:rPr>
        <w:fldChar w:fldCharType="end"/>
      </w:r>
      <w:r w:rsidRPr="00CF1CF9">
        <w:rPr>
          <w:rFonts w:ascii="Times New Roman" w:hAnsi="Times New Roman" w:cs="Times New Roman"/>
          <w:color w:val="000000" w:themeColor="text1"/>
        </w:rPr>
        <w:t xml:space="preserve">. Optimization of stimulation intensity was achieved by visualizing TMS-evoked potentials (TEPs) directly after each TMS delivery. </w:t>
      </w:r>
      <w:bookmarkStart w:id="2" w:name="_Hlk87889010"/>
      <w:r w:rsidRPr="00CF1CF9">
        <w:rPr>
          <w:rFonts w:ascii="Times New Roman" w:eastAsia="Times New Roman" w:hAnsi="Times New Roman" w:cs="Times New Roman"/>
          <w:color w:val="000000" w:themeColor="text1"/>
          <w:lang w:eastAsia="it-IT"/>
        </w:rPr>
        <w:t xml:space="preserve">Importantly, the choice of 50 single-pulse TEP was justified by previous studies showing a high correlational concordance coefficient (0.8) between a TEP evoked with 40 TMS single pulses and one evoked with 150 TMS single pulses </w:t>
      </w:r>
      <w:r w:rsidRPr="00CF1CF9">
        <w:rPr>
          <w:rFonts w:ascii="Times New Roman" w:eastAsia="Times New Roman" w:hAnsi="Times New Roman" w:cs="Times New Roman"/>
          <w:color w:val="000000" w:themeColor="text1"/>
          <w:lang w:eastAsia="it-IT"/>
        </w:rPr>
        <w:fldChar w:fldCharType="begin"/>
      </w:r>
      <w:r w:rsidR="000F2CFE" w:rsidRPr="00CF1CF9">
        <w:rPr>
          <w:rFonts w:ascii="Times New Roman" w:eastAsia="Times New Roman" w:hAnsi="Times New Roman" w:cs="Times New Roman"/>
          <w:color w:val="000000" w:themeColor="text1"/>
          <w:lang w:eastAsia="it-IT"/>
        </w:rPr>
        <w:instrText xml:space="preserve"> ADDIN ZOTERO_ITEM CSL_CITATION {"citationID":"IQCYJMez","properties":{"formattedCitation":"(6)","plainCitation":"(6)","noteIndex":0},"citationItems":[{"id":"4O7qyJk2/2PypPEUi","uris":["http://zotero.org/users/local/YmOE5LRt/items/SV4LRCBW",["http://zotero.org/users/local/YmOE5LRt/items/SV4LRCBW"]],"itemData":{"id":313,"type":"article-journal","abstract":"Electroencephalographic (EEG) signals evoked by transcranial magnetic stimulation (TMS) are usually recorded with passive electrodes (PE). Active electrode (AE) systems have recently become widely available; compared to PE, they allow for easier electrode preparation and a higher-quality signal, due to the preamplification at the electrode stage, which reduces electrical line noise. The performance between the AE and PE can differ, especially with fast EEG voltage changes, which can easily occur with TMS-EEG; however, a systematic comparison in the TMS-EEG setting has not been made. Therefore, we recorded TMS-evoked EEG potentials (TEPs) in a group of healthy subjects in two sessions, one using PE and the other using AE. We stimulated the left primary motor cortex and right medial prefrontal cortex and used two different approaches to remove early TMS artefacts, Independent Component Analysis and Signal Space Projection&amp;mdash;Source Informed Recovery. We assessed statistical differences in amplitude and topography of TEPs, and their similarity, by means of the concordance correlation coefficient (CCC). We also tested the capability of each system to approximate the final TEP waveform with a reduced number of trials. The results showed that TEPs recorded with AE and PE do not differ in amplitude and topography, and only few electrodes showed a lower-than-expected CCC between the two methods of amplification. We conclude that AE are a viable solution for TMS-EEG recording.","container-title":"Brain Sciences","DOI":"10.3390/brainsci11020145","issue":"2","language":"en","license":"http://creativecommons.org/licenses/by/3.0/","note":"number: 2\npublisher: Multidisciplinary Digital Publishing Institute","page":"145","source":"www.mdpi.com","title":"Transcranial Evoked Potentials Can Be Reliably Recorded with Active Electrodes","volume":"11","author":[{"family":"Mancuso","given":"Marco"},{"family":"Sveva","given":"Valerio"},{"family":"Cruciani","given":"Alessandro"},{"family":"Brown","given":"Katlyn"},{"family":"Ibáñez","given":"Jaime"},{"family":"Rawji","given":"Vishal"},{"family":"Casula","given":"Elias"},{"family":"Premoli","given":"Isabella"},{"family":"D'Ambrosio","given":"Sasha"},{"family":"Rothwell","given":"John"},{"family":"Rocchi","given":"Lorenzo"}],"issued":{"date-parts":[["2021",2]]}}}],"schema":"https://github.com/citation-style-language/schema/raw/master/csl-citation.json"} </w:instrText>
      </w:r>
      <w:r w:rsidRPr="00CF1CF9">
        <w:rPr>
          <w:rFonts w:ascii="Times New Roman" w:eastAsia="Times New Roman" w:hAnsi="Times New Roman" w:cs="Times New Roman"/>
          <w:color w:val="000000" w:themeColor="text1"/>
          <w:lang w:eastAsia="it-IT"/>
        </w:rPr>
        <w:fldChar w:fldCharType="separate"/>
      </w:r>
      <w:r w:rsidR="000F2CFE" w:rsidRPr="00CF1CF9">
        <w:rPr>
          <w:rFonts w:ascii="Times New Roman" w:hAnsi="Times New Roman" w:cs="Times New Roman"/>
          <w:color w:val="000000" w:themeColor="text1"/>
        </w:rPr>
        <w:t>(6)</w:t>
      </w:r>
      <w:r w:rsidRPr="00CF1CF9">
        <w:rPr>
          <w:rFonts w:ascii="Times New Roman" w:eastAsia="Times New Roman" w:hAnsi="Times New Roman" w:cs="Times New Roman"/>
          <w:color w:val="000000" w:themeColor="text1"/>
          <w:lang w:eastAsia="it-IT"/>
        </w:rPr>
        <w:fldChar w:fldCharType="end"/>
      </w:r>
      <w:r w:rsidRPr="00CF1CF9">
        <w:rPr>
          <w:rFonts w:ascii="Times New Roman" w:eastAsia="Times New Roman" w:hAnsi="Times New Roman" w:cs="Times New Roman"/>
          <w:color w:val="000000" w:themeColor="text1"/>
          <w:lang w:eastAsia="it-IT"/>
        </w:rPr>
        <w:t>.</w:t>
      </w:r>
      <w:bookmarkStart w:id="3" w:name="_Hlk87889249"/>
      <w:bookmarkEnd w:id="2"/>
      <w:r w:rsidRPr="00CF1CF9">
        <w:rPr>
          <w:rFonts w:ascii="Times New Roman" w:eastAsia="Times New Roman" w:hAnsi="Times New Roman" w:cs="Times New Roman"/>
          <w:color w:val="000000" w:themeColor="text1"/>
          <w:lang w:eastAsia="it-IT"/>
        </w:rPr>
        <w:t xml:space="preserve"> </w:t>
      </w:r>
      <w:r w:rsidRPr="00CF1CF9">
        <w:rPr>
          <w:rFonts w:ascii="Times New Roman" w:hAnsi="Times New Roman" w:cs="Times New Roman"/>
          <w:color w:val="000000" w:themeColor="text1"/>
          <w:lang w:eastAsia="it-IT"/>
        </w:rPr>
        <w:t>Intensity of TMS was eventually increased in steps of 2% of the maximal stimulator output (</w:t>
      </w:r>
      <w:r w:rsidR="00A82103" w:rsidRPr="00CF1CF9">
        <w:rPr>
          <w:rFonts w:ascii="Times New Roman" w:hAnsi="Times New Roman" w:cs="Times New Roman"/>
          <w:color w:val="000000" w:themeColor="text1"/>
          <w:lang w:eastAsia="it-IT"/>
        </w:rPr>
        <w:t>MSO) basing</w:t>
      </w:r>
      <w:r w:rsidRPr="00CF1CF9">
        <w:rPr>
          <w:rFonts w:ascii="Times New Roman" w:hAnsi="Times New Roman" w:cs="Times New Roman"/>
          <w:color w:val="000000" w:themeColor="text1"/>
          <w:lang w:eastAsia="it-IT"/>
        </w:rPr>
        <w:t xml:space="preserve"> on the visualization of a first TEP peak of at least 6 µV. Target location optimization was further achieved by identifying the scalp location generating the highest response to TMS for each patient via a grid search over a 3x3 cm area centered around the original fMRI-defined stimulation target</w:t>
      </w:r>
      <w:r w:rsidR="00E111E3" w:rsidRPr="00CF1CF9">
        <w:rPr>
          <w:rFonts w:ascii="Times New Roman" w:hAnsi="Times New Roman" w:cs="Times New Roman"/>
          <w:color w:val="000000" w:themeColor="text1"/>
          <w:lang w:eastAsia="it-IT"/>
        </w:rPr>
        <w:t xml:space="preserve"> (supplementary Figure 1)</w:t>
      </w:r>
      <w:r w:rsidRPr="00CF1CF9">
        <w:rPr>
          <w:rFonts w:ascii="Times New Roman" w:hAnsi="Times New Roman" w:cs="Times New Roman"/>
          <w:color w:val="000000" w:themeColor="text1"/>
          <w:lang w:eastAsia="it-IT"/>
        </w:rPr>
        <w:t>.</w:t>
      </w:r>
    </w:p>
    <w:p w14:paraId="693691E1" w14:textId="77777777" w:rsidR="0034437C" w:rsidRPr="00CF1CF9" w:rsidRDefault="0034437C" w:rsidP="008B2E69">
      <w:pPr>
        <w:pStyle w:val="Default"/>
        <w:spacing w:line="480" w:lineRule="auto"/>
        <w:contextualSpacing/>
        <w:jc w:val="both"/>
        <w:rPr>
          <w:rFonts w:ascii="Times New Roman" w:hAnsi="Times New Roman" w:cs="Times New Roman"/>
          <w:b/>
          <w:bCs/>
          <w:color w:val="000000" w:themeColor="text1"/>
        </w:rPr>
      </w:pPr>
    </w:p>
    <w:p w14:paraId="7B3BA59F" w14:textId="77777777" w:rsidR="0034437C" w:rsidRPr="00CF1CF9" w:rsidRDefault="0034437C" w:rsidP="008B2E69">
      <w:pPr>
        <w:pStyle w:val="Default"/>
        <w:spacing w:line="480" w:lineRule="auto"/>
        <w:contextualSpacing/>
        <w:jc w:val="both"/>
        <w:rPr>
          <w:rFonts w:ascii="Times New Roman" w:hAnsi="Times New Roman" w:cs="Times New Roman"/>
          <w:b/>
          <w:bCs/>
          <w:color w:val="000000" w:themeColor="text1"/>
        </w:rPr>
      </w:pPr>
    </w:p>
    <w:p w14:paraId="52062672" w14:textId="77777777" w:rsidR="0034437C" w:rsidRPr="00CF1CF9" w:rsidRDefault="0034437C" w:rsidP="008B2E69">
      <w:pPr>
        <w:pStyle w:val="Default"/>
        <w:spacing w:line="480" w:lineRule="auto"/>
        <w:contextualSpacing/>
        <w:jc w:val="both"/>
        <w:rPr>
          <w:rFonts w:ascii="Times New Roman" w:hAnsi="Times New Roman" w:cs="Times New Roman"/>
          <w:b/>
          <w:bCs/>
          <w:color w:val="000000" w:themeColor="text1"/>
        </w:rPr>
      </w:pPr>
    </w:p>
    <w:p w14:paraId="32A848E5" w14:textId="77777777" w:rsidR="0034437C" w:rsidRPr="00CF1CF9" w:rsidRDefault="0034437C" w:rsidP="008B2E69">
      <w:pPr>
        <w:pStyle w:val="Default"/>
        <w:spacing w:line="480" w:lineRule="auto"/>
        <w:contextualSpacing/>
        <w:jc w:val="both"/>
        <w:rPr>
          <w:rFonts w:ascii="Times New Roman" w:hAnsi="Times New Roman" w:cs="Times New Roman"/>
          <w:b/>
          <w:bCs/>
          <w:color w:val="000000" w:themeColor="text1"/>
        </w:rPr>
      </w:pPr>
    </w:p>
    <w:p w14:paraId="3808FE00" w14:textId="77777777" w:rsidR="0034437C" w:rsidRPr="00CF1CF9" w:rsidRDefault="0034437C" w:rsidP="008B2E69">
      <w:pPr>
        <w:pStyle w:val="Default"/>
        <w:spacing w:line="480" w:lineRule="auto"/>
        <w:contextualSpacing/>
        <w:jc w:val="both"/>
        <w:rPr>
          <w:rFonts w:ascii="Times New Roman" w:hAnsi="Times New Roman" w:cs="Times New Roman"/>
          <w:b/>
          <w:bCs/>
          <w:color w:val="000000" w:themeColor="text1"/>
        </w:rPr>
      </w:pPr>
    </w:p>
    <w:p w14:paraId="79F9DFEA" w14:textId="77777777" w:rsidR="0034437C" w:rsidRPr="00CF1CF9" w:rsidRDefault="0034437C" w:rsidP="008B2E69">
      <w:pPr>
        <w:pStyle w:val="Default"/>
        <w:spacing w:line="480" w:lineRule="auto"/>
        <w:contextualSpacing/>
        <w:jc w:val="both"/>
        <w:rPr>
          <w:rFonts w:ascii="Times New Roman" w:hAnsi="Times New Roman" w:cs="Times New Roman"/>
          <w:b/>
          <w:bCs/>
          <w:color w:val="000000" w:themeColor="text1"/>
        </w:rPr>
      </w:pPr>
    </w:p>
    <w:p w14:paraId="3D3D74DE" w14:textId="77777777" w:rsidR="0034437C" w:rsidRPr="00CF1CF9" w:rsidRDefault="0034437C" w:rsidP="008B2E69">
      <w:pPr>
        <w:pStyle w:val="Default"/>
        <w:spacing w:line="480" w:lineRule="auto"/>
        <w:contextualSpacing/>
        <w:jc w:val="both"/>
        <w:rPr>
          <w:rFonts w:ascii="Times New Roman" w:hAnsi="Times New Roman" w:cs="Times New Roman"/>
          <w:b/>
          <w:bCs/>
          <w:color w:val="000000" w:themeColor="text1"/>
        </w:rPr>
      </w:pPr>
    </w:p>
    <w:p w14:paraId="4FC625CA" w14:textId="77777777" w:rsidR="0034437C" w:rsidRPr="00CF1CF9" w:rsidRDefault="0034437C" w:rsidP="008B2E69">
      <w:pPr>
        <w:pStyle w:val="Default"/>
        <w:spacing w:line="480" w:lineRule="auto"/>
        <w:contextualSpacing/>
        <w:jc w:val="both"/>
        <w:rPr>
          <w:rFonts w:ascii="Times New Roman" w:hAnsi="Times New Roman" w:cs="Times New Roman"/>
          <w:b/>
          <w:bCs/>
          <w:color w:val="000000" w:themeColor="text1"/>
        </w:rPr>
      </w:pPr>
    </w:p>
    <w:p w14:paraId="65B0FE39" w14:textId="77777777" w:rsidR="0034437C" w:rsidRPr="00CF1CF9" w:rsidRDefault="0034437C" w:rsidP="008B2E69">
      <w:pPr>
        <w:pStyle w:val="Default"/>
        <w:spacing w:line="480" w:lineRule="auto"/>
        <w:contextualSpacing/>
        <w:jc w:val="both"/>
        <w:rPr>
          <w:rFonts w:ascii="Times New Roman" w:hAnsi="Times New Roman" w:cs="Times New Roman"/>
          <w:b/>
          <w:bCs/>
          <w:color w:val="000000" w:themeColor="text1"/>
        </w:rPr>
      </w:pPr>
    </w:p>
    <w:p w14:paraId="1583DF59" w14:textId="5215C9B7" w:rsidR="0034437C" w:rsidRPr="00CF1CF9" w:rsidRDefault="0034437C" w:rsidP="008B2E69">
      <w:pPr>
        <w:pStyle w:val="Default"/>
        <w:spacing w:line="480" w:lineRule="auto"/>
        <w:contextualSpacing/>
        <w:jc w:val="both"/>
        <w:rPr>
          <w:rFonts w:ascii="Times New Roman" w:hAnsi="Times New Roman" w:cs="Times New Roman"/>
          <w:b/>
          <w:bCs/>
          <w:color w:val="000000" w:themeColor="text1"/>
        </w:rPr>
      </w:pPr>
      <w:r w:rsidRPr="00CF1CF9">
        <w:rPr>
          <w:rFonts w:ascii="Times New Roman" w:hAnsi="Times New Roman" w:cs="Times New Roman"/>
          <w:b/>
          <w:bCs/>
          <w:color w:val="000000" w:themeColor="text1"/>
        </w:rPr>
        <w:lastRenderedPageBreak/>
        <w:t>Supplementary Figure 1</w:t>
      </w:r>
    </w:p>
    <w:p w14:paraId="5B3AF9D5" w14:textId="61D01225" w:rsidR="00E111E3" w:rsidRPr="00CF1CF9" w:rsidRDefault="00E111E3" w:rsidP="00E111E3">
      <w:pPr>
        <w:pStyle w:val="Default"/>
        <w:spacing w:line="480" w:lineRule="auto"/>
        <w:contextualSpacing/>
        <w:jc w:val="both"/>
        <w:rPr>
          <w:rFonts w:ascii="Times New Roman" w:hAnsi="Times New Roman" w:cs="Times New Roman"/>
          <w:color w:val="000000" w:themeColor="text1"/>
          <w:lang w:eastAsia="it-IT"/>
        </w:rPr>
      </w:pPr>
      <w:r w:rsidRPr="00CF1CF9">
        <w:rPr>
          <w:noProof/>
          <w:color w:val="000000" w:themeColor="text1"/>
          <w14:ligatures w14:val="standardContextual"/>
        </w:rPr>
        <w:drawing>
          <wp:inline distT="0" distB="0" distL="0" distR="0" wp14:anchorId="0654ED7C" wp14:editId="6A985237">
            <wp:extent cx="5948314" cy="2468692"/>
            <wp:effectExtent l="0" t="0" r="0" b="0"/>
            <wp:docPr id="138807084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070843" name=""/>
                    <pic:cNvPicPr/>
                  </pic:nvPicPr>
                  <pic:blipFill>
                    <a:blip r:embed="rId5"/>
                    <a:stretch>
                      <a:fillRect/>
                    </a:stretch>
                  </pic:blipFill>
                  <pic:spPr>
                    <a:xfrm>
                      <a:off x="0" y="0"/>
                      <a:ext cx="5958756" cy="2473026"/>
                    </a:xfrm>
                    <a:prstGeom prst="rect">
                      <a:avLst/>
                    </a:prstGeom>
                  </pic:spPr>
                </pic:pic>
              </a:graphicData>
            </a:graphic>
          </wp:inline>
        </w:drawing>
      </w:r>
    </w:p>
    <w:p w14:paraId="7E962803" w14:textId="77777777" w:rsidR="0034437C" w:rsidRPr="00CF1CF9" w:rsidRDefault="0034437C" w:rsidP="0034437C">
      <w:pPr>
        <w:pStyle w:val="Default"/>
        <w:spacing w:line="480" w:lineRule="auto"/>
        <w:contextualSpacing/>
        <w:jc w:val="both"/>
        <w:rPr>
          <w:rFonts w:ascii="Times New Roman" w:hAnsi="Times New Roman" w:cs="Times New Roman"/>
          <w:b/>
          <w:bCs/>
          <w:color w:val="000000" w:themeColor="text1"/>
        </w:rPr>
      </w:pPr>
      <w:bookmarkStart w:id="4" w:name="_Hlk170478088"/>
      <w:bookmarkEnd w:id="1"/>
      <w:r w:rsidRPr="00CF1CF9">
        <w:rPr>
          <w:rFonts w:ascii="Times New Roman" w:hAnsi="Times New Roman" w:cs="Times New Roman"/>
          <w:b/>
          <w:bCs/>
          <w:color w:val="000000" w:themeColor="text1"/>
        </w:rPr>
        <w:t>Legend to</w:t>
      </w:r>
      <w:r w:rsidRPr="00CF1CF9">
        <w:rPr>
          <w:rFonts w:ascii="Times New Roman" w:hAnsi="Times New Roman" w:cs="Times New Roman"/>
          <w:color w:val="000000" w:themeColor="text1"/>
        </w:rPr>
        <w:t xml:space="preserve"> </w:t>
      </w:r>
      <w:r w:rsidRPr="00CF1CF9">
        <w:rPr>
          <w:rFonts w:ascii="Times New Roman" w:hAnsi="Times New Roman" w:cs="Times New Roman"/>
          <w:b/>
          <w:bCs/>
          <w:color w:val="000000" w:themeColor="text1"/>
        </w:rPr>
        <w:t>Supplementary Figure 1</w:t>
      </w:r>
    </w:p>
    <w:p w14:paraId="6BC08C43" w14:textId="65D8CFFC" w:rsidR="0034437C" w:rsidRPr="00CF1CF9" w:rsidRDefault="0034437C" w:rsidP="0034437C">
      <w:pPr>
        <w:pStyle w:val="Default"/>
        <w:spacing w:line="480" w:lineRule="auto"/>
        <w:contextualSpacing/>
        <w:jc w:val="both"/>
        <w:rPr>
          <w:rFonts w:ascii="Times New Roman" w:hAnsi="Times New Roman" w:cs="Times New Roman"/>
          <w:color w:val="000000" w:themeColor="text1"/>
        </w:rPr>
      </w:pPr>
      <w:r w:rsidRPr="00CF1CF9">
        <w:rPr>
          <w:rFonts w:ascii="Times New Roman" w:hAnsi="Times New Roman" w:cs="Times New Roman"/>
          <w:color w:val="000000" w:themeColor="text1"/>
        </w:rPr>
        <w:t xml:space="preserve">Representation of the 3x3 grid used to determine the </w:t>
      </w:r>
      <w:r w:rsidRPr="00CF1CF9">
        <w:rPr>
          <w:rFonts w:ascii="Times New Roman" w:hAnsi="Times New Roman" w:cs="Times New Roman"/>
          <w:color w:val="000000" w:themeColor="text1"/>
          <w:lang w:eastAsia="it-IT"/>
        </w:rPr>
        <w:t>scalp location generating the highest EEG response to TMS pulses.</w:t>
      </w:r>
    </w:p>
    <w:p w14:paraId="659883D1" w14:textId="77777777" w:rsidR="0034437C" w:rsidRPr="00CF1CF9" w:rsidRDefault="0034437C" w:rsidP="00302D9E">
      <w:pPr>
        <w:pStyle w:val="Default"/>
        <w:spacing w:line="480" w:lineRule="auto"/>
        <w:contextualSpacing/>
        <w:jc w:val="both"/>
        <w:rPr>
          <w:rFonts w:ascii="Times New Roman" w:hAnsi="Times New Roman" w:cs="Times New Roman"/>
          <w:color w:val="000000" w:themeColor="text1"/>
        </w:rPr>
      </w:pPr>
    </w:p>
    <w:p w14:paraId="01719174" w14:textId="466D2E5D" w:rsidR="00CE3CE1" w:rsidRPr="00CF1CF9" w:rsidRDefault="00CE3CE1" w:rsidP="00302D9E">
      <w:pPr>
        <w:pStyle w:val="Default"/>
        <w:spacing w:line="480" w:lineRule="auto"/>
        <w:contextualSpacing/>
        <w:jc w:val="both"/>
        <w:rPr>
          <w:rFonts w:ascii="Times New Roman" w:hAnsi="Times New Roman" w:cs="Times New Roman"/>
          <w:color w:val="000000" w:themeColor="text1"/>
        </w:rPr>
      </w:pPr>
      <w:r w:rsidRPr="00CF1CF9">
        <w:rPr>
          <w:rFonts w:ascii="Times New Roman" w:hAnsi="Times New Roman" w:cs="Times New Roman"/>
          <w:color w:val="000000" w:themeColor="text1"/>
        </w:rPr>
        <w:t xml:space="preserve">Coil orientation was parallel to the midline with the handle pointing downward, thus inducing the current in a posterior-anterior direction </w:t>
      </w:r>
      <w:r w:rsidRPr="00CF1CF9">
        <w:rPr>
          <w:rFonts w:ascii="Times New Roman" w:hAnsi="Times New Roman" w:cs="Times New Roman"/>
          <w:color w:val="000000" w:themeColor="text1"/>
        </w:rPr>
        <w:fldChar w:fldCharType="begin"/>
      </w:r>
      <w:r w:rsidR="000F2CFE" w:rsidRPr="00CF1CF9">
        <w:rPr>
          <w:rFonts w:ascii="Times New Roman" w:hAnsi="Times New Roman" w:cs="Times New Roman"/>
          <w:color w:val="000000" w:themeColor="text1"/>
        </w:rPr>
        <w:instrText xml:space="preserve"> ADDIN ZOTERO_ITEM CSL_CITATION {"citationID":"CKM31eZB","properties":{"formattedCitation":"(7)","plainCitation":"(7)","noteIndex":0},"citationItems":[{"id":"4O7qyJk2/0ADicDR2","uris":["http://zotero.org/users/3798786/items/6XEBVVTD",["http://zotero.org/users/3798786/items/6XEBVVTD"]],"itemData":{"id":8364,"type":"article-journal","abstract":"Memory loss is one of the first symptoms of typical Alzheimer's disease (AD), for which there are no effective therapies available. The precuneus (PC) has been recently emphasized as a key area for the memory impairment observed in early AD, likely due to disconnection mechanisms within large-scale networks such as the default mode network (DMN). Using a multimodal approach we investigated in a two-week, randomized, sham-controlled, double-blinded trial the effects of high-frequency repetitive transcranial magnetic stimulation (rTMS) of the PC on cognition, as measured by the Alzheimer Disease Cooperative Study Preclinical Alzheimer Cognitive Composite in 14 patients with early AD (7 females). TMS combined with electroencephalography (TMS-EEG) was used to detect changes in brain connectivity. We found that rTMS of the PC induced a selective improvement in episodic memory, but not in other cognitive domains. Analysis of TMS-EEG signal revealed an increase of neural activity in patients' PC, an enhancement of brain oscillations in the beta band and a modification of functional connections between the PC and medial frontal areas within the DMN. Our findings show that high-frequency rTMS of the PC is a promising, non-invasive treatment for memory dysfunction in patients at early stages of AD. This clinical improvement is accompanied by modulation of brain connectivity, consistently with the pathophysiological model of brain disconnection in AD.","container-title":"NeuroImage","DOI":"10.1016/j.neuroimage.2017.12.048","ISSN":"1095-9572","journalAbbreviation":"Neuroimage","language":"eng","note":"PMID: 29277405","page":"302-311","source":"PubMed","title":"Transcranial magnetic stimulation of the precuneus enhances memory and neural activity in prodromal Alzheimer's disease","volume":"169","author":[{"family":"Koch","given":"Giacomo"},{"family":"Bonnì","given":"Sonia"},{"family":"Pellicciari","given":"Maria Concetta"},{"family":"Casula","given":"Elias P."},{"family":"Mancini","given":"Matteo"},{"family":"Esposito","given":"Romina"},{"family":"Ponzo","given":"Viviana"},{"family":"Picazio","given":"Silvia"},{"family":"Di Lorenzo","given":"Francesco"},{"family":"Serra","given":"Laura"},{"family":"Motta","given":"Caterina"},{"family":"Maiella","given":"Michele"},{"family":"Marra","given":"Camillo"},{"family":"Cercignani","given":"Mara"},{"family":"Martorana","given":"Alessandro"},{"family":"Caltagirone","given":"Carlo"},{"family":"Bozzali","given":"Marco"}],"issued":{"date-parts":[["2018",4,1]]}}}],"schema":"https://github.com/citation-style-language/schema/raw/master/csl-citation.json"} </w:instrText>
      </w:r>
      <w:r w:rsidRPr="00CF1CF9">
        <w:rPr>
          <w:rFonts w:ascii="Times New Roman" w:hAnsi="Times New Roman" w:cs="Times New Roman"/>
          <w:color w:val="000000" w:themeColor="text1"/>
        </w:rPr>
        <w:fldChar w:fldCharType="separate"/>
      </w:r>
      <w:r w:rsidR="000F2CFE" w:rsidRPr="00CF1CF9">
        <w:rPr>
          <w:rFonts w:ascii="Times New Roman" w:hAnsi="Times New Roman" w:cs="Times New Roman"/>
          <w:color w:val="000000" w:themeColor="text1"/>
        </w:rPr>
        <w:t>(7)</w:t>
      </w:r>
      <w:r w:rsidRPr="00CF1CF9">
        <w:rPr>
          <w:rFonts w:ascii="Times New Roman" w:hAnsi="Times New Roman" w:cs="Times New Roman"/>
          <w:color w:val="000000" w:themeColor="text1"/>
        </w:rPr>
        <w:fldChar w:fldCharType="end"/>
      </w:r>
      <w:r w:rsidRPr="00CF1CF9">
        <w:rPr>
          <w:rFonts w:ascii="Times New Roman" w:hAnsi="Times New Roman" w:cs="Times New Roman"/>
          <w:color w:val="000000" w:themeColor="text1"/>
        </w:rPr>
        <w:t xml:space="preserve">. </w:t>
      </w:r>
      <w:r w:rsidRPr="00CF1CF9">
        <w:rPr>
          <w:rFonts w:ascii="Times New Roman" w:hAnsi="Times New Roman" w:cs="Times New Roman"/>
          <w:color w:val="000000" w:themeColor="text1"/>
          <w:lang w:eastAsia="it-IT"/>
        </w:rPr>
        <w:t xml:space="preserve">The TMS coil position was constantly monitored using a neuronavigation system coupled with an infrared camera. </w:t>
      </w:r>
      <w:bookmarkEnd w:id="3"/>
    </w:p>
    <w:p w14:paraId="7CE5D173" w14:textId="002C3CC0" w:rsidR="00CE3CE1" w:rsidRPr="00CF1CF9" w:rsidRDefault="00CE3CE1" w:rsidP="00302D9E">
      <w:pPr>
        <w:spacing w:line="480" w:lineRule="auto"/>
        <w:contextualSpacing/>
        <w:jc w:val="both"/>
        <w:rPr>
          <w:b/>
          <w:bCs/>
          <w:color w:val="000000" w:themeColor="text1"/>
          <w:lang w:val="en-US"/>
        </w:rPr>
      </w:pPr>
      <w:r w:rsidRPr="00CF1CF9">
        <w:rPr>
          <w:color w:val="000000" w:themeColor="text1"/>
          <w:lang w:val="en-US"/>
        </w:rPr>
        <w:t xml:space="preserve">For sham treatment, stimulation was applied using the same parameters via a sham coil positioned in correspondence to the target area, </w:t>
      </w:r>
      <w:proofErr w:type="gramStart"/>
      <w:r w:rsidRPr="00CF1CF9">
        <w:rPr>
          <w:color w:val="000000" w:themeColor="text1"/>
          <w:lang w:val="en-US"/>
        </w:rPr>
        <w:t>in order to</w:t>
      </w:r>
      <w:proofErr w:type="gramEnd"/>
      <w:r w:rsidRPr="00CF1CF9">
        <w:rPr>
          <w:color w:val="000000" w:themeColor="text1"/>
          <w:lang w:val="en-US"/>
        </w:rPr>
        <w:t xml:space="preserve"> preserve the same auditory and somatosensory sensations. For each patient, source estimation on pre-processed TMS-EEG data was run at the beginning of each treatment session to confirm the correct anatomical targeting for rTMS.</w:t>
      </w:r>
      <w:r w:rsidRPr="00CF1CF9">
        <w:rPr>
          <w:b/>
          <w:bCs/>
          <w:color w:val="000000" w:themeColor="text1"/>
          <w:lang w:val="en-US"/>
        </w:rPr>
        <w:t xml:space="preserve"> </w:t>
      </w:r>
      <w:r w:rsidRPr="00CF1CF9">
        <w:rPr>
          <w:color w:val="000000" w:themeColor="text1"/>
          <w:lang w:val="en-US"/>
        </w:rPr>
        <w:t xml:space="preserve">The induced E-field over the TMS target was computed via </w:t>
      </w:r>
      <w:proofErr w:type="spellStart"/>
      <w:r w:rsidRPr="00CF1CF9">
        <w:rPr>
          <w:color w:val="000000" w:themeColor="text1"/>
          <w:lang w:val="en-US"/>
        </w:rPr>
        <w:t>SimNIBS</w:t>
      </w:r>
      <w:proofErr w:type="spellEnd"/>
      <w:r w:rsidRPr="00CF1CF9">
        <w:rPr>
          <w:color w:val="000000" w:themeColor="text1"/>
          <w:lang w:val="en-US"/>
        </w:rPr>
        <w:t xml:space="preserve"> v3.2, an open-source simulation package that integrates segmentation of MRI scans, mesh generation, and FEM E-field computations </w:t>
      </w:r>
      <w:r w:rsidRPr="00CF1CF9">
        <w:rPr>
          <w:color w:val="000000" w:themeColor="text1"/>
          <w:lang w:val="en-US"/>
        </w:rPr>
        <w:fldChar w:fldCharType="begin"/>
      </w:r>
      <w:r w:rsidR="000F2CFE" w:rsidRPr="00CF1CF9">
        <w:rPr>
          <w:color w:val="000000" w:themeColor="text1"/>
          <w:lang w:val="en-US"/>
        </w:rPr>
        <w:instrText xml:space="preserve"> ADDIN ZOTERO_ITEM CSL_CITATION {"citationID":"AOL4SfcM","properties":{"formattedCitation":"(8)","plainCitation":"(8)","noteIndex":0},"citationItems":[{"id":"4O7qyJk2/tPvI7nBt","uris":["http://zotero.org/users/3798786/items/EVHW64JK",["http://zotero.org/users/3798786/items/EVHW64JK"]],"itemData":{"id":8470,"type":"article-journal","abstract":"Electric field calculations based on numerical methods and increasingly realistic head models are more and more used in research on Transcranial Magnetic Stimulation (TMS). However, they are still far from being established as standard tools for the planning and analysis in practical applications of TMS. Here, we start by delineating three main challenges that need to be addressed to unravel their full potential. This comprises (i) identifying and dealing with the model uncertainties, (ii) establishing a clear link between the induced fields and the physiological stimulation effects, and (iii) improving the usability of the tools for field calculation to the level that they can be easily used by non-experts. We then introduce a new version of our pipeline for field calculations (www.simnibs.org) that substantially simplifies setting up and running TMS and tDCS simulations based on Finite-Element Methods (FEM). We conclude with a brief outlook on how the new version of SimNIBS can help to target the above identified challenges.","container-title":"Annual International Conference of the IEEE Engineering in Medicine and Biology Society. IEEE Engineering in Medicine and Biology Society. Annual International Conference","DOI":"10.1109/EMBC.2015.7318340","ISSN":"2694-0604","journalAbbreviation":"Annu Int Conf IEEE Eng Med Biol Soc","language":"eng","note":"PMID: 26736240","page":"222-225","source":"PubMed","title":"Field modeling for transcranial magnetic stimulation: A useful tool to understand the physiological effects of TMS?","title-short":"Field modeling for transcranial magnetic stimulation","volume":"2015","author":[{"family":"Thielscher","given":"Axel"},{"family":"Antunes","given":"Andre"},{"family":"Saturnino","given":"Guilherme B."}],"issued":{"date-parts":[["2015"]]}}}],"schema":"https://github.com/citation-style-language/schema/raw/master/csl-citation.json"} </w:instrText>
      </w:r>
      <w:r w:rsidRPr="00CF1CF9">
        <w:rPr>
          <w:color w:val="000000" w:themeColor="text1"/>
          <w:lang w:val="en-US"/>
        </w:rPr>
        <w:fldChar w:fldCharType="separate"/>
      </w:r>
      <w:r w:rsidR="000F2CFE" w:rsidRPr="00CF1CF9">
        <w:rPr>
          <w:color w:val="000000" w:themeColor="text1"/>
          <w:lang w:val="en-US"/>
        </w:rPr>
        <w:t>(8)</w:t>
      </w:r>
      <w:r w:rsidRPr="00CF1CF9">
        <w:rPr>
          <w:color w:val="000000" w:themeColor="text1"/>
          <w:lang w:val="en-US"/>
        </w:rPr>
        <w:fldChar w:fldCharType="end"/>
      </w:r>
      <w:r w:rsidRPr="00CF1CF9">
        <w:rPr>
          <w:color w:val="000000" w:themeColor="text1"/>
          <w:lang w:val="en-US"/>
        </w:rPr>
        <w:t xml:space="preserve">. The software provides a realistic volume conductor head model, generated using the T1-and T2-weighted images and segmentation from the </w:t>
      </w:r>
      <w:proofErr w:type="spellStart"/>
      <w:r w:rsidRPr="00CF1CF9">
        <w:rPr>
          <w:color w:val="000000" w:themeColor="text1"/>
          <w:lang w:val="en-US"/>
        </w:rPr>
        <w:t>SimNIBS</w:t>
      </w:r>
      <w:proofErr w:type="spellEnd"/>
      <w:r w:rsidRPr="00CF1CF9">
        <w:rPr>
          <w:color w:val="000000" w:themeColor="text1"/>
          <w:lang w:val="en-US"/>
        </w:rPr>
        <w:t xml:space="preserve"> validation data set and based on anisotropic conductivity values for each tissue class, in S/m: gray matter, 0.276, cerebrospinal fluid, 1.790, bone, 0.010, scalp, 0.250 </w:t>
      </w:r>
      <w:r w:rsidRPr="00CF1CF9">
        <w:rPr>
          <w:color w:val="000000" w:themeColor="text1"/>
          <w:lang w:val="en-US"/>
        </w:rPr>
        <w:fldChar w:fldCharType="begin"/>
      </w:r>
      <w:r w:rsidR="000F2CFE" w:rsidRPr="00CF1CF9">
        <w:rPr>
          <w:color w:val="000000" w:themeColor="text1"/>
          <w:lang w:val="en-US"/>
        </w:rPr>
        <w:instrText xml:space="preserve"> ADDIN ZOTERO_ITEM CSL_CITATION {"citationID":"QiZCHdWA","properties":{"formattedCitation":"(8,9)","plainCitation":"(8,9)","noteIndex":0},"citationItems":[{"id":"4O7qyJk2/tPvI7nBt","uris":["http://zotero.org/users/3798786/items/EVHW64JK",["http://zotero.org/users/3798786/items/EVHW64JK"]],"itemData":{"id":8470,"type":"article-journal","abstract":"Electric field calculations based on numerical methods and increasingly realistic head models are more and more used in research on Transcranial Magnetic Stimulation (TMS). However, they are still far from being established as standard tools for the planning and analysis in practical applications of TMS. Here, we start by delineating three main challenges that need to be addressed to unravel their full potential. This comprises (i) identifying and dealing with the model uncertainties, (ii) establishing a clear link between the induced fields and the physiological stimulation effects, and (iii) improving the usability of the tools for field calculation to the level that they can be easily used by non-experts. We then introduce a new version of our pipeline for field calculations (www.simnibs.org) that substantially simplifies setting up and running TMS and tDCS simulations based on Finite-Element Methods (FEM). We conclude with a brief outlook on how the new version of SimNIBS can help to target the above identified challenges.","container-title":"Annual International Conference of the IEEE Engineering in Medicine and Biology Society. IEEE Engineering in Medicine and Biology Society. Annual International Conference","DOI":"10.1109/EMBC.2015.7318340","ISSN":"2694-0604","journalAbbreviation":"Annu Int Conf IEEE Eng Med Biol Soc","language":"eng","note":"PMID: 26736240","page":"222-225","source":"PubMed","title":"Field modeling for transcranial magnetic stimulation: A useful tool to understand the physiological effects of TMS?","title-short":"Field modeling for transcranial magnetic stimulation","volume":"2015","author":[{"family":"Thielscher","given":"Axel"},{"family":"Antunes","given":"Andre"},{"family":"Saturnino","given":"Guilherme B."}],"issued":{"date-parts":[["2015"]]}}},{"id":"4O7qyJk2/yUngHL3B","uris":["http://zotero.org/users/3798786/items/WBRMUB5L",["http://zotero.org/users/3798786/items/WBRMUB5L"]],"itemData":{"id":8472,"type":"article-journal","abstract":"The need for realistic electric field calculations in human noninvasive brain stimulation is undisputed to more accurately determine the affected brain areas. However, using numerical techniques such as the finite element method (FEM) is methodologically complex, starting with the creation of accurate head models to the integration of the models in the numerical calculations. These problems substantially limit a more widespread application of numerical methods in brain stimulation up to now. We introduce an optimized processing pipeline allowing for the automatic generation of individualized high-quality head models from magnetic resonance images and their usage in subsequent field calculations based on the FEM. The pipeline starts by extracting the borders between skin, skull, cerebrospinal fluid, gray and white matter. The quality of the resulting surfaces is subsequently improved, allowing for the creation of tetrahedral volume head meshes that can finally be used in the numerical calculations. The pipeline integrates and extends established (and mainly free) software for neuroimaging, computer graphics, and FEM calculations into one easy-to-use solution. We demonstrate the successful usage of the pipeline in six subjects, including field calculations for transcranial magnetic stimulation and transcranial direct current stimulation. The quality of the head volume meshes is validated both in terms of capturing the underlying anatomy and of the well-shapedness of the mesh elements. The latter is crucial to guarantee the numerical robustness of the FEM calculations. The pipeline will be released as open-source, allowing for the first time to perform realistic field calculations at an acceptable methodological complexity and moderate costs.","container-title":"Human Brain Mapping","DOI":"10.1002/hbm.21479","ISSN":"1097-0193","issue":"4","journalAbbreviation":"Hum Brain Mapp","language":"eng","note":"PMID: 22109746\nPMCID: PMC6870291","page":"923-935","source":"PubMed","title":"Electric field calculations in brain stimulation based on finite elements: an optimized processing pipeline for the generation and usage of accurate individual head models","title-short":"Electric field calculations in brain stimulation based on finite elements","volume":"34","author":[{"family":"Windhoff","given":"Mirko"},{"family":"Opitz","given":"Alexander"},{"family":"Thielscher","given":"Axel"}],"issued":{"date-parts":[["2013",4]]}}}],"schema":"https://github.com/citation-style-language/schema/raw/master/csl-citation.json"} </w:instrText>
      </w:r>
      <w:r w:rsidRPr="00CF1CF9">
        <w:rPr>
          <w:color w:val="000000" w:themeColor="text1"/>
          <w:lang w:val="en-US"/>
        </w:rPr>
        <w:fldChar w:fldCharType="separate"/>
      </w:r>
      <w:r w:rsidR="000F2CFE" w:rsidRPr="00CF1CF9">
        <w:rPr>
          <w:color w:val="000000" w:themeColor="text1"/>
          <w:lang w:val="en-US"/>
        </w:rPr>
        <w:t>(8,9)</w:t>
      </w:r>
      <w:r w:rsidRPr="00CF1CF9">
        <w:rPr>
          <w:color w:val="000000" w:themeColor="text1"/>
          <w:lang w:val="en-US"/>
        </w:rPr>
        <w:fldChar w:fldCharType="end"/>
      </w:r>
      <w:r w:rsidRPr="00CF1CF9">
        <w:rPr>
          <w:color w:val="000000" w:themeColor="text1"/>
          <w:lang w:val="en-US"/>
        </w:rPr>
        <w:t xml:space="preserve">. The final mesh, comprehensive of gray and white matter, scalp, bone, and </w:t>
      </w:r>
      <w:r w:rsidRPr="00CF1CF9">
        <w:rPr>
          <w:color w:val="000000" w:themeColor="text1"/>
          <w:lang w:val="en-US"/>
        </w:rPr>
        <w:lastRenderedPageBreak/>
        <w:t xml:space="preserve">cerebrospinal fluid, comprises approximately 200,000 nodes and 3.6 million tetrahedral elements </w:t>
      </w:r>
      <w:r w:rsidRPr="00CF1CF9">
        <w:rPr>
          <w:color w:val="000000" w:themeColor="text1"/>
          <w:lang w:val="en-US"/>
        </w:rPr>
        <w:fldChar w:fldCharType="begin"/>
      </w:r>
      <w:r w:rsidR="000F2CFE" w:rsidRPr="00CF1CF9">
        <w:rPr>
          <w:color w:val="000000" w:themeColor="text1"/>
          <w:lang w:val="en-US"/>
        </w:rPr>
        <w:instrText xml:space="preserve"> ADDIN ZOTERO_ITEM CSL_CITATION {"citationID":"Bv0dqLdJ","properties":{"formattedCitation":"(9)","plainCitation":"(9)","noteIndex":0},"citationItems":[{"id":"4O7qyJk2/yUngHL3B","uris":["http://zotero.org/users/3798786/items/WBRMUB5L",["http://zotero.org/users/3798786/items/WBRMUB5L"]],"itemData":{"id":8472,"type":"article-journal","abstract":"The need for realistic electric field calculations in human noninvasive brain stimulation is undisputed to more accurately determine the affected brain areas. However, using numerical techniques such as the finite element method (FEM) is methodologically complex, starting with the creation of accurate head models to the integration of the models in the numerical calculations. These problems substantially limit a more widespread application of numerical methods in brain stimulation up to now. We introduce an optimized processing pipeline allowing for the automatic generation of individualized high-quality head models from magnetic resonance images and their usage in subsequent field calculations based on the FEM. The pipeline starts by extracting the borders between skin, skull, cerebrospinal fluid, gray and white matter. The quality of the resulting surfaces is subsequently improved, allowing for the creation of tetrahedral volume head meshes that can finally be used in the numerical calculations. The pipeline integrates and extends established (and mainly free) software for neuroimaging, computer graphics, and FEM calculations into one easy-to-use solution. We demonstrate the successful usage of the pipeline in six subjects, including field calculations for transcranial magnetic stimulation and transcranial direct current stimulation. The quality of the head volume meshes is validated both in terms of capturing the underlying anatomy and of the well-shapedness of the mesh elements. The latter is crucial to guarantee the numerical robustness of the FEM calculations. The pipeline will be released as open-source, allowing for the first time to perform realistic field calculations at an acceptable methodological complexity and moderate costs.","container-title":"Human Brain Mapping","DOI":"10.1002/hbm.21479","ISSN":"1097-0193","issue":"4","journalAbbreviation":"Hum Brain Mapp","language":"eng","note":"PMID: 22109746\nPMCID: PMC6870291","page":"923-935","source":"PubMed","title":"Electric field calculations in brain stimulation based on finite elements: an optimized processing pipeline for the generation and usage of accurate individual head models","title-short":"Electric field calculations in brain stimulation based on finite elements","volume":"34","author":[{"family":"Windhoff","given":"Mirko"},{"family":"Opitz","given":"Alexander"},{"family":"Thielscher","given":"Axel"}],"issued":{"date-parts":[["2013",4]]}}}],"schema":"https://github.com/citation-style-language/schema/raw/master/csl-citation.json"} </w:instrText>
      </w:r>
      <w:r w:rsidRPr="00CF1CF9">
        <w:rPr>
          <w:color w:val="000000" w:themeColor="text1"/>
          <w:lang w:val="en-US"/>
        </w:rPr>
        <w:fldChar w:fldCharType="separate"/>
      </w:r>
      <w:r w:rsidR="000F2CFE" w:rsidRPr="00CF1CF9">
        <w:rPr>
          <w:color w:val="000000" w:themeColor="text1"/>
          <w:lang w:val="en-US"/>
        </w:rPr>
        <w:t>(9)</w:t>
      </w:r>
      <w:r w:rsidRPr="00CF1CF9">
        <w:rPr>
          <w:color w:val="000000" w:themeColor="text1"/>
          <w:lang w:val="en-US"/>
        </w:rPr>
        <w:fldChar w:fldCharType="end"/>
      </w:r>
      <w:r w:rsidRPr="00CF1CF9">
        <w:rPr>
          <w:color w:val="000000" w:themeColor="text1"/>
          <w:lang w:val="en-US"/>
        </w:rPr>
        <w:t xml:space="preserve">. E-field distribution was computed for a </w:t>
      </w:r>
      <w:proofErr w:type="spellStart"/>
      <w:r w:rsidRPr="00CF1CF9">
        <w:rPr>
          <w:color w:val="000000" w:themeColor="text1"/>
          <w:lang w:val="en-US"/>
        </w:rPr>
        <w:t>Magstim</w:t>
      </w:r>
      <w:proofErr w:type="spellEnd"/>
      <w:r w:rsidRPr="00CF1CF9">
        <w:rPr>
          <w:color w:val="000000" w:themeColor="text1"/>
          <w:lang w:val="en-US"/>
        </w:rPr>
        <w:t xml:space="preserve"> 70 mm figure-of-8 coil (P/N 9925-00, </w:t>
      </w:r>
      <w:proofErr w:type="spellStart"/>
      <w:r w:rsidRPr="00CF1CF9">
        <w:rPr>
          <w:color w:val="000000" w:themeColor="text1"/>
          <w:lang w:val="en-US"/>
        </w:rPr>
        <w:t>Magstim</w:t>
      </w:r>
      <w:proofErr w:type="spellEnd"/>
      <w:r w:rsidRPr="00CF1CF9">
        <w:rPr>
          <w:color w:val="000000" w:themeColor="text1"/>
          <w:lang w:val="en-US"/>
        </w:rPr>
        <w:t xml:space="preserve"> Co., Spring Gardens, Whitland, Carmarthenshire, UK) </w:t>
      </w:r>
      <w:r w:rsidRPr="00CF1CF9">
        <w:rPr>
          <w:color w:val="000000" w:themeColor="text1"/>
          <w:lang w:val="en-US"/>
        </w:rPr>
        <w:fldChar w:fldCharType="begin"/>
      </w:r>
      <w:r w:rsidR="000F2CFE" w:rsidRPr="00CF1CF9">
        <w:rPr>
          <w:color w:val="000000" w:themeColor="text1"/>
          <w:lang w:val="en-US"/>
        </w:rPr>
        <w:instrText xml:space="preserve"> ADDIN ZOTERO_ITEM CSL_CITATION {"citationID":"XnI8S9GN","properties":{"formattedCitation":"(10)","plainCitation":"(10)","noteIndex":0},"citationItems":[{"id":"4O7qyJk2/s1deW7DO","uris":["http://zotero.org/users/3798786/items/845UA5ZC",["http://zotero.org/users/3798786/items/845UA5ZC"]],"itemData":{"id":2251,"type":"article-journal","abstract":"A fundamental problem of transcranial magnetic stimulation (TMS) is determining the site and size of the stimulated cortical area. In the motor system, the most common procedure for this is motor mapping. The obtained two-dimensional distribution of coil positions with associated muscle responses is used to calculate a center of gravity on the skull. However, even in motor mapping the exact stimulation site on the cortex is not known and only rough estimates of its size are possible. We report a new method which combines physiological measurements with a physical model used to predict the electric field induced by the TMS coil. In four subjects motor responses in a small hand muscle were mapped with 9-13 stimulation sites at the head perpendicular to the central sulcus in order to keep the induced current direction constant in a given cortical region of interest. Input-output functions from these head locations were used to determine stimulator intensities that elicit half-maximal muscle responses. Based on these stimulator intensities the field distribution on the individual cortical surface was calculated as rendered from anatomical MR data. The region on the cortical surface in which the different stimulation sites produced the same electric field strength (minimal variance, 4.2 +/- 0.8%.) was determined as the most likely stimulation site on the cortex. In all subjects, it was located at the lateral part of the hand knob in the motor cortex. Comparisons of model calculations with the solutions obtained in this manner reveal that the stimulated cortex area innervating the target muscle is substantially smaller than the size of the electric field induced by the coil. Our results help to resolve fundamental questions raised by motor mapping studies as well as motor threshold measurements","container-title":"Neuroimage.","issue":"1053-8119 (Print)","journalAbbreviation":"Neuroimage.","language":"eng","note":"PMID: 12414254","page":"1117-1130","title":"Linking physics with physiology in TMS: a sphere field model to determine the cortical stimulation site in TMS","volume":"17","author":[{"family":"Thielscher","given":"A."},{"family":"Kammer","given":"T."}],"issued":{"date-parts":[["2002",11]]}}}],"schema":"https://github.com/citation-style-language/schema/raw/master/csl-citation.json"} </w:instrText>
      </w:r>
      <w:r w:rsidRPr="00CF1CF9">
        <w:rPr>
          <w:color w:val="000000" w:themeColor="text1"/>
          <w:lang w:val="en-US"/>
        </w:rPr>
        <w:fldChar w:fldCharType="separate"/>
      </w:r>
      <w:r w:rsidR="000F2CFE" w:rsidRPr="00CF1CF9">
        <w:rPr>
          <w:color w:val="000000" w:themeColor="text1"/>
          <w:lang w:val="en-US"/>
        </w:rPr>
        <w:t>(10)</w:t>
      </w:r>
      <w:r w:rsidRPr="00CF1CF9">
        <w:rPr>
          <w:color w:val="000000" w:themeColor="text1"/>
          <w:lang w:val="en-US"/>
        </w:rPr>
        <w:fldChar w:fldCharType="end"/>
      </w:r>
      <w:r w:rsidRPr="00CF1CF9">
        <w:rPr>
          <w:color w:val="000000" w:themeColor="text1"/>
          <w:lang w:val="en-US"/>
        </w:rPr>
        <w:t xml:space="preserve">, both for a coil-to-scalp distance of 2 mm and a coil current measured in </w:t>
      </w:r>
      <w:proofErr w:type="spellStart"/>
      <w:r w:rsidRPr="00CF1CF9">
        <w:rPr>
          <w:color w:val="000000" w:themeColor="text1"/>
          <w:lang w:val="en-US"/>
        </w:rPr>
        <w:t>dI</w:t>
      </w:r>
      <w:proofErr w:type="spellEnd"/>
      <w:r w:rsidRPr="00CF1CF9">
        <w:rPr>
          <w:color w:val="000000" w:themeColor="text1"/>
          <w:lang w:val="en-US"/>
        </w:rPr>
        <w:t xml:space="preserve">/dT corresponding to 67x10e6 A/s. The center of the coil was positioned with MNI coordinates: </w:t>
      </w:r>
      <w:r w:rsidRPr="00CF1CF9">
        <w:rPr>
          <w:i/>
          <w:color w:val="000000" w:themeColor="text1"/>
          <w:lang w:val="en-US"/>
        </w:rPr>
        <w:t>x</w:t>
      </w:r>
      <w:r w:rsidRPr="00CF1CF9">
        <w:rPr>
          <w:color w:val="000000" w:themeColor="text1"/>
          <w:lang w:val="en-US"/>
        </w:rPr>
        <w:t>=0</w:t>
      </w:r>
      <w:r w:rsidRPr="00CF1CF9">
        <w:rPr>
          <w:i/>
          <w:color w:val="000000" w:themeColor="text1"/>
          <w:lang w:val="en-US"/>
        </w:rPr>
        <w:t>, y</w:t>
      </w:r>
      <w:r w:rsidRPr="00CF1CF9">
        <w:rPr>
          <w:color w:val="000000" w:themeColor="text1"/>
          <w:lang w:val="en-US"/>
        </w:rPr>
        <w:t xml:space="preserve">=-65, </w:t>
      </w:r>
      <w:r w:rsidRPr="00CF1CF9">
        <w:rPr>
          <w:i/>
          <w:color w:val="000000" w:themeColor="text1"/>
          <w:lang w:val="en-US"/>
        </w:rPr>
        <w:t>z</w:t>
      </w:r>
      <w:r w:rsidRPr="00CF1CF9">
        <w:rPr>
          <w:color w:val="000000" w:themeColor="text1"/>
          <w:lang w:val="en-US"/>
        </w:rPr>
        <w:t>=55, based on a target selection approach accounting for functional MRI changes typical of AD patients and involving the default mode network (DMN)</w:t>
      </w:r>
      <w:r w:rsidRPr="00CF1CF9" w:rsidDel="00A0541E">
        <w:rPr>
          <w:color w:val="000000" w:themeColor="text1"/>
          <w:lang w:val="en-US"/>
        </w:rPr>
        <w:t xml:space="preserve"> </w:t>
      </w:r>
      <w:r w:rsidRPr="00CF1CF9">
        <w:rPr>
          <w:color w:val="000000" w:themeColor="text1"/>
          <w:lang w:val="en-US"/>
        </w:rPr>
        <w:t xml:space="preserve"> </w:t>
      </w:r>
      <w:r w:rsidRPr="00CF1CF9">
        <w:rPr>
          <w:color w:val="000000" w:themeColor="text1"/>
          <w:lang w:val="en-US"/>
        </w:rPr>
        <w:fldChar w:fldCharType="begin"/>
      </w:r>
      <w:r w:rsidR="000F2CFE" w:rsidRPr="00CF1CF9">
        <w:rPr>
          <w:color w:val="000000" w:themeColor="text1"/>
          <w:lang w:val="en-US"/>
        </w:rPr>
        <w:instrText xml:space="preserve"> ADDIN ZOTERO_ITEM CSL_CITATION {"citationID":"1GK7vw5H","properties":{"formattedCitation":"(7)","plainCitation":"(7)","noteIndex":0},"citationItems":[{"id":"4O7qyJk2/0ADicDR2","uris":["http://zotero.org/users/3798786/items/6XEBVVTD",["http://zotero.org/users/3798786/items/6XEBVVTD"]],"itemData":{"id":8364,"type":"article-journal","abstract":"Memory loss is one of the first symptoms of typical Alzheimer's disease (AD), for which there are no effective therapies available. The precuneus (PC) has been recently emphasized as a key area for the memory impairment observed in early AD, likely due to disconnection mechanisms within large-scale networks such as the default mode network (DMN). Using a multimodal approach we investigated in a two-week, randomized, sham-controlled, double-blinded trial the effects of high-frequency repetitive transcranial magnetic stimulation (rTMS) of the PC on cognition, as measured by the Alzheimer Disease Cooperative Study Preclinical Alzheimer Cognitive Composite in 14 patients with early AD (7 females). TMS combined with electroencephalography (TMS-EEG) was used to detect changes in brain connectivity. We found that rTMS of the PC induced a selective improvement in episodic memory, but not in other cognitive domains. Analysis of TMS-EEG signal revealed an increase of neural activity in patients' PC, an enhancement of brain oscillations in the beta band and a modification of functional connections between the PC and medial frontal areas within the DMN. Our findings show that high-frequency rTMS of the PC is a promising, non-invasive treatment for memory dysfunction in patients at early stages of AD. This clinical improvement is accompanied by modulation of brain connectivity, consistently with the pathophysiological model of brain disconnection in AD.","container-title":"NeuroImage","DOI":"10.1016/j.neuroimage.2017.12.048","ISSN":"1095-9572","journalAbbreviation":"Neuroimage","language":"eng","note":"PMID: 29277405","page":"302-311","source":"PubMed","title":"Transcranial magnetic stimulation of the precuneus enhances memory and neural activity in prodromal Alzheimer's disease","volume":"169","author":[{"family":"Koch","given":"Giacomo"},{"family":"Bonnì","given":"Sonia"},{"family":"Pellicciari","given":"Maria Concetta"},{"family":"Casula","given":"Elias P."},{"family":"Mancini","given":"Matteo"},{"family":"Esposito","given":"Romina"},{"family":"Ponzo","given":"Viviana"},{"family":"Picazio","given":"Silvia"},{"family":"Di Lorenzo","given":"Francesco"},{"family":"Serra","given":"Laura"},{"family":"Motta","given":"Caterina"},{"family":"Maiella","given":"Michele"},{"family":"Marra","given":"Camillo"},{"family":"Cercignani","given":"Mara"},{"family":"Martorana","given":"Alessandro"},{"family":"Caltagirone","given":"Carlo"},{"family":"Bozzali","given":"Marco"}],"issued":{"date-parts":[["2018",4,1]]}}}],"schema":"https://github.com/citation-style-language/schema/raw/master/csl-citation.json"} </w:instrText>
      </w:r>
      <w:r w:rsidRPr="00CF1CF9">
        <w:rPr>
          <w:color w:val="000000" w:themeColor="text1"/>
          <w:lang w:val="en-US"/>
        </w:rPr>
        <w:fldChar w:fldCharType="separate"/>
      </w:r>
      <w:r w:rsidR="000F2CFE" w:rsidRPr="00CF1CF9">
        <w:rPr>
          <w:color w:val="000000" w:themeColor="text1"/>
          <w:lang w:val="en-US"/>
        </w:rPr>
        <w:t>(7)</w:t>
      </w:r>
      <w:r w:rsidRPr="00CF1CF9">
        <w:rPr>
          <w:color w:val="000000" w:themeColor="text1"/>
          <w:lang w:val="en-US"/>
        </w:rPr>
        <w:fldChar w:fldCharType="end"/>
      </w:r>
      <w:r w:rsidRPr="00CF1CF9">
        <w:rPr>
          <w:color w:val="000000" w:themeColor="text1"/>
          <w:lang w:val="en-US"/>
        </w:rPr>
        <w:t xml:space="preserve">. </w:t>
      </w:r>
      <w:bookmarkEnd w:id="4"/>
      <w:r w:rsidRPr="00CF1CF9">
        <w:rPr>
          <w:color w:val="000000" w:themeColor="text1"/>
          <w:lang w:val="en-US"/>
        </w:rPr>
        <w:t xml:space="preserve">The resulting norm E-field distribution is shown in </w:t>
      </w:r>
      <w:proofErr w:type="spellStart"/>
      <w:r w:rsidRPr="00CF1CF9">
        <w:rPr>
          <w:color w:val="000000" w:themeColor="text1"/>
          <w:lang w:val="en-US"/>
        </w:rPr>
        <w:t>Gmsh</w:t>
      </w:r>
      <w:proofErr w:type="spellEnd"/>
      <w:r w:rsidRPr="00CF1CF9">
        <w:rPr>
          <w:color w:val="000000" w:themeColor="text1"/>
          <w:lang w:val="en-US"/>
        </w:rPr>
        <w:t xml:space="preserve"> v4.7.1 </w:t>
      </w:r>
      <w:r w:rsidRPr="00CF1CF9">
        <w:rPr>
          <w:color w:val="000000" w:themeColor="text1"/>
          <w:lang w:val="en-US"/>
        </w:rPr>
        <w:fldChar w:fldCharType="begin"/>
      </w:r>
      <w:r w:rsidR="000F2CFE" w:rsidRPr="00CF1CF9">
        <w:rPr>
          <w:color w:val="000000" w:themeColor="text1"/>
          <w:lang w:val="en-US"/>
        </w:rPr>
        <w:instrText xml:space="preserve"> ADDIN ZOTERO_ITEM CSL_CITATION {"citationID":"iruiKZfG","properties":{"formattedCitation":"(11)","plainCitation":"(11)","noteIndex":0},"citationItems":[{"id":"4O7qyJk2/V3hJ5Ayu","uris":["http://zotero.org/users/3798786/items/XHAAV93E",["http://zotero.org/users/3798786/items/XHAAV93E"]],"itemData":{"id":8477,"type":"webpage","title":"Gmsh: A 3‐D finite element mesh generator with built‐in pre‐ and post‐processing facilities - Geuzaine - 2009 - International Journal for Numerical Methods in Engineering - Wiley Online Library","URL":"https://onlinelibrary.wiley.com/doi/abs/10.1002/nme.2579","accessed":{"date-parts":[["2021",7,4]]}}}],"schema":"https://github.com/citation-style-language/schema/raw/master/csl-citation.json"} </w:instrText>
      </w:r>
      <w:r w:rsidRPr="00CF1CF9">
        <w:rPr>
          <w:color w:val="000000" w:themeColor="text1"/>
          <w:lang w:val="en-US"/>
        </w:rPr>
        <w:fldChar w:fldCharType="separate"/>
      </w:r>
      <w:r w:rsidR="000F2CFE" w:rsidRPr="00CF1CF9">
        <w:rPr>
          <w:color w:val="000000" w:themeColor="text1"/>
          <w:lang w:val="en-US"/>
        </w:rPr>
        <w:t>(11)</w:t>
      </w:r>
      <w:r w:rsidRPr="00CF1CF9">
        <w:rPr>
          <w:color w:val="000000" w:themeColor="text1"/>
          <w:lang w:val="en-US"/>
        </w:rPr>
        <w:fldChar w:fldCharType="end"/>
      </w:r>
      <w:r w:rsidRPr="00CF1CF9">
        <w:rPr>
          <w:color w:val="000000" w:themeColor="text1"/>
          <w:lang w:val="en-US"/>
        </w:rPr>
        <w:t xml:space="preserve"> with an output range from 0 to 70 V/m (see Figure S1). </w:t>
      </w:r>
    </w:p>
    <w:p w14:paraId="17A11F78" w14:textId="77777777" w:rsidR="00CE3CE1" w:rsidRPr="00CF1CF9" w:rsidRDefault="00CE3CE1" w:rsidP="00302D9E">
      <w:pPr>
        <w:spacing w:line="480" w:lineRule="auto"/>
        <w:contextualSpacing/>
        <w:jc w:val="both"/>
        <w:rPr>
          <w:b/>
          <w:bCs/>
          <w:color w:val="000000" w:themeColor="text1"/>
          <w:lang w:val="en-GB"/>
        </w:rPr>
      </w:pPr>
    </w:p>
    <w:p w14:paraId="1B40F2D2" w14:textId="4DCC8BAF" w:rsidR="00CE3CE1" w:rsidRPr="00CF1CF9" w:rsidRDefault="00CE3CE1" w:rsidP="00302D9E">
      <w:pPr>
        <w:spacing w:line="480" w:lineRule="auto"/>
        <w:contextualSpacing/>
        <w:jc w:val="both"/>
        <w:rPr>
          <w:color w:val="000000" w:themeColor="text1"/>
          <w:lang w:val="en-US"/>
        </w:rPr>
      </w:pPr>
      <w:r w:rsidRPr="00CF1CF9">
        <w:rPr>
          <w:b/>
          <w:bCs/>
          <w:color w:val="000000" w:themeColor="text1"/>
          <w:lang w:val="en-GB"/>
        </w:rPr>
        <w:t>TMS-EEG evaluation</w:t>
      </w:r>
    </w:p>
    <w:p w14:paraId="25B02CEB" w14:textId="03A5DE09" w:rsidR="00CE3CE1" w:rsidRPr="00CF1CF9" w:rsidRDefault="00CE3CE1" w:rsidP="00302D9E">
      <w:pPr>
        <w:spacing w:line="480" w:lineRule="auto"/>
        <w:contextualSpacing/>
        <w:jc w:val="both"/>
        <w:rPr>
          <w:color w:val="000000" w:themeColor="text1"/>
          <w:lang w:val="en-GB"/>
        </w:rPr>
      </w:pPr>
      <w:r w:rsidRPr="00CF1CF9">
        <w:rPr>
          <w:color w:val="000000" w:themeColor="text1"/>
          <w:lang w:val="en-GB"/>
        </w:rPr>
        <w:t xml:space="preserve">TMS was carried out using a </w:t>
      </w:r>
      <w:proofErr w:type="spellStart"/>
      <w:r w:rsidRPr="00CF1CF9">
        <w:rPr>
          <w:color w:val="000000" w:themeColor="text1"/>
          <w:lang w:val="en-GB"/>
        </w:rPr>
        <w:t>Magstim</w:t>
      </w:r>
      <w:proofErr w:type="spellEnd"/>
      <w:r w:rsidRPr="00CF1CF9">
        <w:rPr>
          <w:color w:val="000000" w:themeColor="text1"/>
          <w:lang w:val="en-GB"/>
        </w:rPr>
        <w:t xml:space="preserve"> Rapid</w:t>
      </w:r>
      <w:r w:rsidRPr="00CF1CF9">
        <w:rPr>
          <w:color w:val="000000" w:themeColor="text1"/>
          <w:vertAlign w:val="superscript"/>
          <w:lang w:val="en-GB"/>
        </w:rPr>
        <w:t>2</w:t>
      </w:r>
      <w:r w:rsidRPr="00CF1CF9">
        <w:rPr>
          <w:color w:val="000000" w:themeColor="text1"/>
          <w:lang w:val="en-GB"/>
        </w:rPr>
        <w:t xml:space="preserve"> magnetic biphasic stimulator connected with a figure-of-eight coil with a 70-mm diameter (</w:t>
      </w:r>
      <w:proofErr w:type="spellStart"/>
      <w:r w:rsidRPr="00CF1CF9">
        <w:rPr>
          <w:color w:val="000000" w:themeColor="text1"/>
          <w:lang w:val="en-GB"/>
        </w:rPr>
        <w:t>Magstim</w:t>
      </w:r>
      <w:proofErr w:type="spellEnd"/>
      <w:r w:rsidRPr="00CF1CF9">
        <w:rPr>
          <w:color w:val="000000" w:themeColor="text1"/>
          <w:lang w:val="en-GB"/>
        </w:rPr>
        <w:t xml:space="preserve"> Company, Whitland, UK) that generates 2.2 T as maximum output. </w:t>
      </w:r>
      <w:r w:rsidRPr="00CF1CF9">
        <w:rPr>
          <w:color w:val="000000" w:themeColor="text1"/>
          <w:lang w:val="en-US"/>
        </w:rPr>
        <w:t xml:space="preserve">Each session consisted of 80 TMS </w:t>
      </w:r>
      <w:proofErr w:type="gramStart"/>
      <w:r w:rsidRPr="00CF1CF9">
        <w:rPr>
          <w:color w:val="000000" w:themeColor="text1"/>
          <w:lang w:val="en-US"/>
        </w:rPr>
        <w:t>single-pulses</w:t>
      </w:r>
      <w:proofErr w:type="gramEnd"/>
      <w:r w:rsidRPr="00CF1CF9">
        <w:rPr>
          <w:color w:val="000000" w:themeColor="text1"/>
          <w:lang w:val="en-US"/>
        </w:rPr>
        <w:t xml:space="preserve"> applied at a random ISI of 2-4 s over the PC, targeted using a neuronavigation system. During TMS-EEG recordings, each participant wore in-ear plugs which continuously played a white noise that reproduced the specific time-varying frequencies of the TMS click  </w:t>
      </w:r>
      <w:r w:rsidRPr="00CF1CF9">
        <w:rPr>
          <w:color w:val="000000" w:themeColor="text1"/>
          <w:lang w:val="en-US"/>
        </w:rPr>
        <w:fldChar w:fldCharType="begin"/>
      </w:r>
      <w:r w:rsidR="000F2CFE" w:rsidRPr="00CF1CF9">
        <w:rPr>
          <w:color w:val="000000" w:themeColor="text1"/>
          <w:lang w:val="en-US"/>
        </w:rPr>
        <w:instrText xml:space="preserve"> ADDIN ZOTERO_ITEM CSL_CITATION {"citationID":"U20Jdngg","properties":{"formattedCitation":"(12,13)","plainCitation":"(12,13)","noteIndex":0},"citationItems":[{"id":"4O7qyJk2/TAqOx4PT","uris":["http://zotero.org/users/3798786/items/72VG2JP9",["http://zotero.org/users/3798786/items/72VG2JP9"]],"itemData":{"id":8479,"type":"article-journal","abstract":"When we fall asleep, consciousness fades yet the brain remains active. Why is this so? To investigate whether changes in cortical information transmission play a role, we used transcranial magnetic stimulation together with high-density electroencephalography and asked how the activation of one cortical area (the premotor area) is transmitted to the rest of the brain. During quiet wakefulness, an initial response (approximately 15 milliseconds) at the stimulation site was followed by a sequence of waves that moved to connected cortical areas several centimeters away. During non-rapid eye movement sleep, the initial response was stronger but was rapidly extinguished and did not propagate beyond the stimulation site. Thus, the fading of consciousness during certain stages of sleep may be related to a breakdown in cortical effective connectivity.","container-title":"Science (New York, N.Y.)","DOI":"10.1126/science.1117256","ISSN":"1095-9203","issue":"5744","journalAbbreviation":"Science","language":"eng","note":"PMID: 16195466","page":"2228-2232","source":"PubMed","title":"Breakdown of cortical effective connectivity during sleep","volume":"309","author":[{"family":"Massimini","given":"Marcello"},{"family":"Ferrarelli","given":"Fabio"},{"family":"Huber","given":"Reto"},{"family":"Esser","given":"Steve K."},{"family":"Singh","given":"Harpreet"},{"family":"Tononi","given":"Giulio"}],"issued":{"date-parts":[["2005",9,30]]}}},{"id":"4O7qyJk2/lNdZBGbx","uris":["http://zotero.org/users/3798786/items/SB8QIJLZ",["http://zotero.org/users/3798786/items/SB8QIJLZ"]],"itemData":{"id":8481,"type":"article-journal","abstract":"BACKGROUND: the use of combined transcranial magnetic stimulation (TMS) and electroencephalography (EEG) for the functional evaluation of the cerebral cortex in health and disease is becoming increasingly common. However, there is still some ambiguity regarding the extent to which brain responses to auditory and somatosensory stimulation contribute to the TMS-evoked potential (TEP).\nOBJECTIVE/HYPOTHESIS: to measure separately the contribution of auditory and somatosensory stimulation caused by TMS, and to assess their contribution to the TEP waveform, when stimulating the motor cortex (M1).\nMETHODS: 19 healthy volunteers underwent 7 blocks of EEG recording. To assess the impact of auditory stimulation on the TEP waveform, we used a standard figure of eight coil, with or without masking with a continuous noise reproducing the specific time-varying frequencies of the TMS click, stimulating at 90% of resting motor threshold. To further characterise auditory responses due to the TMS click, we used either a standard or a sham figure of eight coil placed on a pasteboard cylinder that rested on the scalp, with or without masking. Lastly, we used electrical stimulation of the scalp to investigate the possible contribution of somatosensory activation.\nRESULTS: auditory stimulation induced a known pattern of responses in electrodes located around the vertex, which could be suppressed by appropriate noise masking. Electrical stimulation of the scalp alone only induced similar, non-specific scalp responses in the in the central electrodes. TMS, coupled with appropriate masking of sensory input, resulted in specific, lateralized responses at the stimulation site, lasting around 300 ms.\nCONCLUSIONS: if careful control of confounding sources is applied, TMS over M1 can generate genuine, lateralized EEG activity. By contrast, sensory evoked responses, if present, are represented by non-specific, late (100-200 ms) components, located at the vertex, possibly due to saliency of the stimuli. Notably, the latter can confound the TEP if masking procedures are not properly used.","container-title":"Brain Stimulation","DOI":"10.1016/j.brs.2020.10.011","ISSN":"1876-4754","issue":"1","journalAbbreviation":"Brain Stimul","language":"eng","note":"PMID: 33127580","page":"4-18","source":"PubMed","title":"Disentangling EEG responses to TMS due to cortical and peripheral activations","volume":"14","author":[{"family":"Rocchi","given":"Lorenzo"},{"family":"Di Santo","given":"Alessandro"},{"family":"Brown","given":"Katlyn"},{"family":"Ibáñez","given":"Jaime"},{"family":"Casula","given":"Elias"},{"family":"Rawji","given":"Vishal"},{"family":"Di Lazzaro","given":"Vincenzo"},{"family":"Koch","given":"Giacomo"},{"family":"Rothwell","given":"John"}],"issued":{"date-parts":[["2021",2]]}}}],"schema":"https://github.com/citation-style-language/schema/raw/master/csl-citation.json"} </w:instrText>
      </w:r>
      <w:r w:rsidRPr="00CF1CF9">
        <w:rPr>
          <w:color w:val="000000" w:themeColor="text1"/>
          <w:lang w:val="en-US"/>
        </w:rPr>
        <w:fldChar w:fldCharType="separate"/>
      </w:r>
      <w:r w:rsidR="000F2CFE" w:rsidRPr="00CF1CF9">
        <w:rPr>
          <w:color w:val="000000" w:themeColor="text1"/>
          <w:lang w:val="en-US"/>
        </w:rPr>
        <w:t>(12,13)</w:t>
      </w:r>
      <w:r w:rsidRPr="00CF1CF9">
        <w:rPr>
          <w:color w:val="000000" w:themeColor="text1"/>
          <w:lang w:val="en-US"/>
        </w:rPr>
        <w:fldChar w:fldCharType="end"/>
      </w:r>
      <w:r w:rsidRPr="00CF1CF9">
        <w:rPr>
          <w:color w:val="000000" w:themeColor="text1"/>
          <w:lang w:val="en-US"/>
        </w:rPr>
        <w:t>. TMS parameters, in terms of intensity and coil positioning, were the same as the one used for the rTMS protocol. TMS-evoked EEG activity was recorded from the scalp with a TMS-compatible DC amplifier (</w:t>
      </w:r>
      <w:proofErr w:type="spellStart"/>
      <w:r w:rsidRPr="00CF1CF9">
        <w:rPr>
          <w:color w:val="000000" w:themeColor="text1"/>
          <w:lang w:val="en-US"/>
        </w:rPr>
        <w:t>BrainAmp</w:t>
      </w:r>
      <w:proofErr w:type="spellEnd"/>
      <w:r w:rsidRPr="00CF1CF9">
        <w:rPr>
          <w:color w:val="000000" w:themeColor="text1"/>
          <w:lang w:val="en-US"/>
        </w:rPr>
        <w:t xml:space="preserve">, </w:t>
      </w:r>
      <w:proofErr w:type="spellStart"/>
      <w:r w:rsidRPr="00CF1CF9">
        <w:rPr>
          <w:color w:val="000000" w:themeColor="text1"/>
          <w:lang w:val="en-US"/>
        </w:rPr>
        <w:t>BrainProducts</w:t>
      </w:r>
      <w:proofErr w:type="spellEnd"/>
      <w:r w:rsidRPr="00CF1CF9">
        <w:rPr>
          <w:color w:val="000000" w:themeColor="text1"/>
          <w:lang w:val="en-US"/>
        </w:rPr>
        <w:t xml:space="preserve"> GmbH, Munich, Germany). The EEG was continuously recorded from 61 scalp sites positioned according to the 10-20 International System, using TMS-compatible Ag/AgCl pellet electrodes mounted on an elastic cap. EEG signals were digitized at a sampling rate of 5 kHz. Skin/electrode impedance was maintained below 5 kΩ. Horizontal and vertical eye movements were detected by recording the electrooculogram (EOG) to off-line reject the trials with ocular artifacts. TMS-EEG data were pre-processed offline with Brain Vision Analyzer (Brain Products GmbH, Munich, Germany). Physiological and TMS-related artefactual components were detected using INFOMAX-ICA and removed basing on their scalp distribution, frequency, timing and amplitude</w:t>
      </w:r>
      <w:r w:rsidRPr="00CF1CF9">
        <w:rPr>
          <w:color w:val="000000" w:themeColor="text1"/>
          <w:lang w:val="en-US"/>
        </w:rPr>
        <w:fldChar w:fldCharType="begin"/>
      </w:r>
      <w:r w:rsidRPr="00CF1CF9">
        <w:rPr>
          <w:color w:val="000000" w:themeColor="text1"/>
          <w:lang w:val="en-US"/>
        </w:rPr>
        <w:instrText xml:space="preserve"> ADDIN ZOTERO_TEMP </w:instrText>
      </w:r>
      <w:r w:rsidRPr="00CF1CF9">
        <w:rPr>
          <w:color w:val="000000" w:themeColor="text1"/>
          <w:lang w:val="en-US"/>
        </w:rPr>
        <w:fldChar w:fldCharType="end"/>
      </w:r>
      <w:r w:rsidRPr="00CF1CF9">
        <w:rPr>
          <w:color w:val="000000" w:themeColor="text1"/>
          <w:lang w:val="en-US"/>
        </w:rPr>
        <w:t xml:space="preserve"> </w:t>
      </w:r>
      <w:r w:rsidRPr="00CF1CF9">
        <w:rPr>
          <w:color w:val="000000" w:themeColor="text1"/>
          <w:lang w:val="en-US"/>
        </w:rPr>
        <w:fldChar w:fldCharType="begin"/>
      </w:r>
      <w:r w:rsidR="000F2CFE" w:rsidRPr="00CF1CF9">
        <w:rPr>
          <w:color w:val="000000" w:themeColor="text1"/>
          <w:lang w:val="en-US"/>
        </w:rPr>
        <w:instrText xml:space="preserve"> ADDIN ZOTERO_ITEM CSL_CITATION {"citationID":"hj54P3Vr","properties":{"formattedCitation":"(14)","plainCitation":"(14)","noteIndex":0},"citationItems":[{"id":"4O7qyJk2/xk68mtnF","uris":["http://zotero.org/users/3798786/items/AC735V2Q",["http://zotero.org/users/3798786/items/AC735V2Q"]],"itemData":{"id":8484,"type":"article-journal","abstract":"OBJECTIVE: During EEG the discharge of TMS generates a long-lasting decay artefact (DA) that makes the analysis of TMS-evoked potentials (TEPs) difficult. Our aim was twofold: (1) to describe how the DA affects the recorded EEG and (2) to develop a new adaptive detrend algorithm (ADA) able to correct the DA.\nMETHODS: We performed two experiments testing 50 healthy volunteers. In experiment 1, we tested the efficacy of ADA by comparing it with two commonly-used independent component analysis (ICA) algorithms. In experiment 2, we further investigated the efficiency of ADA and the impact of the DA evoked from TMS over frontal, motor and parietal areas.\nRESULTS: Our results demonstrated that (1) the DA affected the EEG signal in the spatiotemporal domain; (2) ADA was able to completely remove the DA without affecting the TEP waveforms; (3). ICA corrections produced significant changes in peak-to-peak TEP amplitude.\nCONCLUSIONS: ADA is a reliable solution for the DA correction, especially considering that (1) it does not affect physiological responses; (2) it is completely data-driven and (3) its effectiveness does not depend on the characteristics of the artefact and on the number of recording electrodes.\nSIGNIFICANCE: We proposed a new reliable algorithm of correction for long-lasting TMS-EEG artifacts.","container-title":"Clinical Neurophysiology: Official Journal of the International Federation of Clinical Neurophysiology","DOI":"10.1016/j.clinph.2017.06.003","ISSN":"1872-8952","issue":"9","journalAbbreviation":"Clin Neurophysiol","language":"eng","note":"PMID: 28709122","page":"1563-1574","source":"PubMed","title":"TMS-evoked long-lasting artefacts: A new adaptive algorithm for EEG signal correction","title-short":"TMS-evoked long-lasting artefacts","volume":"128","author":[{"family":"Casula","given":"Elias P."},{"family":"Bertoldo","given":"Alessandra"},{"family":"Tarantino","given":"Vincenza"},{"family":"Maiella","given":"Michele"},{"family":"Koch","given":"Giacomo"},{"family":"Rothwell","given":"John C."},{"family":"Toffolo","given":"Gianna M."},{"family":"Bisiacchi","given":"Patrizia S."}],"issued":{"date-parts":[["2017",9]]}}}],"schema":"https://github.com/citation-style-language/schema/raw/master/csl-citation.json"} </w:instrText>
      </w:r>
      <w:r w:rsidRPr="00CF1CF9">
        <w:rPr>
          <w:color w:val="000000" w:themeColor="text1"/>
          <w:lang w:val="en-US"/>
        </w:rPr>
        <w:fldChar w:fldCharType="separate"/>
      </w:r>
      <w:r w:rsidR="000F2CFE" w:rsidRPr="00CF1CF9">
        <w:rPr>
          <w:color w:val="000000" w:themeColor="text1"/>
          <w:lang w:val="en-US"/>
        </w:rPr>
        <w:t>(14)</w:t>
      </w:r>
      <w:r w:rsidRPr="00CF1CF9">
        <w:rPr>
          <w:color w:val="000000" w:themeColor="text1"/>
          <w:lang w:val="en-US"/>
        </w:rPr>
        <w:fldChar w:fldCharType="end"/>
      </w:r>
      <w:r w:rsidRPr="00CF1CF9">
        <w:rPr>
          <w:color w:val="000000" w:themeColor="text1"/>
          <w:lang w:val="en-US"/>
        </w:rPr>
        <w:t>.</w:t>
      </w:r>
    </w:p>
    <w:p w14:paraId="13F4E132" w14:textId="5C8D6FEC" w:rsidR="00507950" w:rsidRPr="00CF1CF9" w:rsidRDefault="00CE3CE1" w:rsidP="00302D9E">
      <w:pPr>
        <w:spacing w:line="480" w:lineRule="auto"/>
        <w:contextualSpacing/>
        <w:jc w:val="both"/>
        <w:rPr>
          <w:color w:val="000000" w:themeColor="text1"/>
          <w:lang w:val="en-US"/>
        </w:rPr>
      </w:pPr>
      <w:r w:rsidRPr="00CF1CF9">
        <w:rPr>
          <w:color w:val="000000" w:themeColor="text1"/>
          <w:lang w:val="en-US"/>
        </w:rPr>
        <w:lastRenderedPageBreak/>
        <w:t xml:space="preserve">Effects of rTMS were evaluated over cortical excitability, by means of TMS-evoked potentials (TEPs) from the site of stimulation, i.e. PC; and over DMN connectivity, by means of source analysis conducted over fronto-medial areas. TEPs were computed considering a time window from -100 to 300 </w:t>
      </w:r>
      <w:proofErr w:type="spellStart"/>
      <w:r w:rsidRPr="00CF1CF9">
        <w:rPr>
          <w:color w:val="000000" w:themeColor="text1"/>
          <w:lang w:val="en-US"/>
        </w:rPr>
        <w:t>ms</w:t>
      </w:r>
      <w:proofErr w:type="spellEnd"/>
      <w:r w:rsidRPr="00CF1CF9">
        <w:rPr>
          <w:color w:val="000000" w:themeColor="text1"/>
          <w:lang w:val="en-US"/>
        </w:rPr>
        <w:t xml:space="preserve"> after TMS, with a baseline correction of -100 to 0. TEP amplitude was computed peak-to-peak for each component. To</w:t>
      </w:r>
      <w:r w:rsidR="00507950" w:rsidRPr="00CF1CF9">
        <w:rPr>
          <w:color w:val="000000" w:themeColor="text1"/>
          <w:lang w:val="en-US"/>
        </w:rPr>
        <w:t xml:space="preserve"> estimate the spatial source of cortical activity, we fitted a distributed source model consisting of 15000 elementary current dipoles. These dipole sources were distributed at each vertex of a tessellated cortical mesh template surface derived from a standard 1 mm resolution brain (Colin27) in the MNI space, as provided by Brainstorm toolbox. First, the head model for source imaging was implemented according to the </w:t>
      </w:r>
      <w:proofErr w:type="spellStart"/>
      <w:r w:rsidR="00507950" w:rsidRPr="00CF1CF9">
        <w:rPr>
          <w:color w:val="000000" w:themeColor="text1"/>
          <w:lang w:val="en-US"/>
        </w:rPr>
        <w:t>OpenMEEG</w:t>
      </w:r>
      <w:proofErr w:type="spellEnd"/>
      <w:r w:rsidR="00507950" w:rsidRPr="00CF1CF9">
        <w:rPr>
          <w:color w:val="000000" w:themeColor="text1"/>
          <w:lang w:val="en-US"/>
        </w:rPr>
        <w:t xml:space="preserve"> boundary element method. Based on this head model, the inverse problem was solved using current density maps. Noise covariance for source reconstruction was obtained separately for each subject from a baseline window ranging from -850 to -350 </w:t>
      </w:r>
      <w:proofErr w:type="spellStart"/>
      <w:r w:rsidR="00507950" w:rsidRPr="00CF1CF9">
        <w:rPr>
          <w:color w:val="000000" w:themeColor="text1"/>
          <w:lang w:val="en-US"/>
        </w:rPr>
        <w:t>ms</w:t>
      </w:r>
      <w:proofErr w:type="spellEnd"/>
      <w:r w:rsidR="00507950" w:rsidRPr="00CF1CF9">
        <w:rPr>
          <w:color w:val="000000" w:themeColor="text1"/>
          <w:lang w:val="en-US"/>
        </w:rPr>
        <w:t xml:space="preserve"> in respect to TMS. The estimated source distribution was averaged across all the participants and two regions of interest (ROIs), one centered over the PC and on centered over fronto-medial area</w:t>
      </w:r>
      <w:r w:rsidRPr="00CF1CF9">
        <w:rPr>
          <w:color w:val="000000" w:themeColor="text1"/>
          <w:lang w:val="en-US"/>
        </w:rPr>
        <w:t xml:space="preserve">. </w:t>
      </w:r>
      <w:r w:rsidR="00507950" w:rsidRPr="00CF1CF9">
        <w:rPr>
          <w:color w:val="000000" w:themeColor="text1"/>
          <w:lang w:val="en-US"/>
        </w:rPr>
        <w:t xml:space="preserve">Then, we assessed the signal propagation from the PC-ROI to the frontal-ROI by averaging the source activity signal from 10 to 250 </w:t>
      </w:r>
      <w:proofErr w:type="spellStart"/>
      <w:r w:rsidR="00507950" w:rsidRPr="00CF1CF9">
        <w:rPr>
          <w:color w:val="000000" w:themeColor="text1"/>
          <w:lang w:val="en-US"/>
        </w:rPr>
        <w:t>ms</w:t>
      </w:r>
      <w:proofErr w:type="spellEnd"/>
      <w:r w:rsidR="00507950" w:rsidRPr="00CF1CF9">
        <w:rPr>
          <w:color w:val="000000" w:themeColor="text1"/>
          <w:lang w:val="en-US"/>
        </w:rPr>
        <w:t xml:space="preserve"> after the TMS pulse. This time window was based on the well-known TMS-evoked perturbation in source space </w:t>
      </w:r>
      <w:r w:rsidR="00507950" w:rsidRPr="00CF1CF9">
        <w:rPr>
          <w:color w:val="000000" w:themeColor="text1"/>
          <w:lang w:val="en-US"/>
        </w:rPr>
        <w:fldChar w:fldCharType="begin"/>
      </w:r>
      <w:r w:rsidR="000F2CFE" w:rsidRPr="00CF1CF9">
        <w:rPr>
          <w:color w:val="000000" w:themeColor="text1"/>
          <w:lang w:val="en-US"/>
        </w:rPr>
        <w:instrText xml:space="preserve"> ADDIN ZOTERO_ITEM CSL_CITATION {"citationID":"118p9n9T","properties":{"formattedCitation":"(15,16)","plainCitation":"(15,16)","noteIndex":0},"citationItems":[{"id":12,"uris":["http://zotero.org/users/local/dNrPqbzv/items/WEYBV7QU"],"itemData":{"id":12,"type":"article-journal","abstract":"The inhibition of action is a fundamental executive mechanism of human behaviour that involve a complex neural network. In spite of the progresses made so far, many questions regarding the brain dynamics occurring during action inhibition are still unsolved. Here, we used a novel approach optimized to investigate real-time effective brain dynamics, which combines transcranial magnetic stimulation (TMS) with simultaneous electroencephalographic (EEG) recordings. 22 healthy volunteers performed a motor Go/NoGo task during TMS of the hand-hotspot of the primary motor cortex (M1) and whole-scalp EEG recordings. We reconstructed source-based real-time spatiotemporal dynamics of cortical activity and cortico-cortical connectivity throughout the task. Our results showed a task-dependent bi-directional change in theta/gamma supplementary motor cortex (SMA) and M1 connectivity that, when participants were instructed to inhibit their response, resulted in an increase of a specific TMS-evoked EEG potential (N100), likely due to a GABA-mediated inhibition. Interestingly, these changes were linearly related to reaction times, when participants were asked to produce a motor response. In addition, TMS perturbation revealed a task-dependent long-lasting modulation of SMA–M1 natural frequencies, i.e. alpha/beta activity. Some of these results are shared by animal models and shed new light on the physiological mechanisms of motor inhibition in humans.","container-title":"Scientific Reports","DOI":"10.1038/s41598-024-57602-0","ISSN":"2045-2322","issue":"1","journalAbbreviation":"Sci Rep","language":"en","license":"2024 The Author(s)","note":"publisher: Nature Publishing Group","page":"7871","source":"www.nature.com","title":"Real-time cortical dynamics during motor inhibition","volume":"14","author":[{"family":"Casula","given":"Elias Paolo"},{"family":"Pezzopane","given":"Valentina"},{"family":"Roncaioli","given":"Andrea"},{"family":"Battaglini","given":"Luca"},{"family":"Rumiati","given":"Raffaella"},{"family":"Rothwell","given":"John"},{"family":"Rocchi","given":"Lorenzo"},{"family":"Koch","given":"Giacomo"}],"issued":{"date-parts":[["2024",4,3]]}}},{"id":"4O7qyJk2/iePa3tUm","uris":["http://zotero.org/users/local/7dWqQQyk/items/7BFIRNJE"],"itemData":{"id":"nrkITCQO/CYt5sg2K","type":"article-journal","abstract":"When we look at our body parts, we are immediately aware that they belong to us and we rarely doubt about the integrity, continuity and sense of ownership of our body. Despite this certainty, immersive virtual reality (IVR) may lead to a strong feeling of embodiment over an artificial body part seen from a first-person perspective. Although such feeling of ownership (FO) has been described in different situations, it is not yet understood how this phenomenon is generated at neural level. To track the real-time brain dynamics associated with FO, we delivered transcranial magnetic stimuli over the hand region in the primary motor cortex and simultaneously recorded electroencephalography in 19 healthy volunteers (11M/8F) watching IVR renderings of anatomically plausible (full-limb) vs implausible (hand disconnected from the forearm) virtual limbs. Our data show that embodying a virtual hand is temporally associated with a rapid drop of cortical activity of the onlookers’ hand region in the primary motor cortex contralateral to the observed hand. Spatiotemporal analysis shows that embodying the avatar’s hand is also associated with fast changes of activity within an interconnected fronto-parietal circuit ipsilateral to the brain stimulation. Specifically, an immediate reduction of connectivity with the premotor area is paralleled by an enhancement in the connectivity with the posterior parietal cortex which is related to the strength of ownership illusion ratings and thus likely reflects conscious feelings of embodiment. Our results suggest that changes of bodily representations are underpinned by a dynamic cross-talk within a highly-plastic, fronto-parietal network.\nSIGNIFICANCE STATEMENT\nObserving an avatar’s body part from a first-person perspective, induces an illusory embodiment over it. What remains unknown are the cortical dynamics underpinning the embodiment of artificial agents. To shed light on the physiological mechanisms of embodiment we used a novel approach that combines non-invasive stimulation of the cortical motor-hand area and whole-scalp electroencephalographic recordings in people observing an embodied artificial limb. We found that just before the illusion started, there is a decrease of activity of the motor-hand area accompanied by an increase of connectivity with the parietal region ipsilateral to the stimulation that reflects the ratings of the embodiment illusion. Our results suggest that changes of bodily representations are underpinned by a dynamic cross-talk within a fronto-parietal circuit.","container-title":"Journal of Neuroscience","DOI":"10.1523/JNEUROSCI.0636-21.2021","ISSN":"0270-6474, 1529-2401","journalAbbreviation":"J. Neurosci.","language":"en","license":"Copyright © 2021 the authors. SfN exclusive license.","note":"publisher: Society for Neuroscience\nsection: Research Articles\nPMID: 34862188","source":"www.jneurosci.org","title":"Feeling of ownership over an embodied avatar’s hand brings about fast changes of fronto-parietal cortical dynamics","URL":"https://www.jneurosci.org/content/early/2021/12/02/JNEUROSCI.0636-21.2021","author":[{"family":"Casula","given":"Elias Paolo"},{"family":"Tieri","given":"Gaetano"},{"family":"Rocchi","given":"Lorenzo"},{"family":"Pezzetta","given":"Rachele"},{"family":"Maiella","given":"Michele"},{"family":"Pavone","given":"Enea Francesco"},{"family":"Aglioti","given":"Salvatore Maria"},{"family":"Koch","given":"Giacomo"}],"accessed":{"date-parts":[["2022",1,4]]},"issued":{"date-parts":[["2021",12,3]]}}}],"schema":"https://github.com/citation-style-language/schema/raw/master/csl-citation.json"} </w:instrText>
      </w:r>
      <w:r w:rsidR="00507950" w:rsidRPr="00CF1CF9">
        <w:rPr>
          <w:color w:val="000000" w:themeColor="text1"/>
          <w:lang w:val="en-US"/>
        </w:rPr>
        <w:fldChar w:fldCharType="separate"/>
      </w:r>
      <w:r w:rsidR="000F2CFE" w:rsidRPr="00CF1CF9">
        <w:rPr>
          <w:color w:val="000000" w:themeColor="text1"/>
          <w:lang w:val="en-US"/>
        </w:rPr>
        <w:t>(15,16)</w:t>
      </w:r>
      <w:r w:rsidR="00507950" w:rsidRPr="00CF1CF9">
        <w:rPr>
          <w:color w:val="000000" w:themeColor="text1"/>
          <w:lang w:val="en-US"/>
        </w:rPr>
        <w:fldChar w:fldCharType="end"/>
      </w:r>
      <w:r w:rsidR="00507950" w:rsidRPr="00CF1CF9">
        <w:rPr>
          <w:color w:val="000000" w:themeColor="text1"/>
          <w:lang w:val="en-US"/>
        </w:rPr>
        <w:t>.</w:t>
      </w:r>
    </w:p>
    <w:p w14:paraId="680929EF" w14:textId="77777777" w:rsidR="00507950" w:rsidRPr="00CF1CF9" w:rsidRDefault="00507950" w:rsidP="00302D9E">
      <w:pPr>
        <w:spacing w:line="480" w:lineRule="auto"/>
        <w:contextualSpacing/>
        <w:mirrorIndents/>
        <w:jc w:val="both"/>
        <w:rPr>
          <w:color w:val="000000" w:themeColor="text1"/>
          <w:lang w:val="en-US"/>
        </w:rPr>
      </w:pPr>
    </w:p>
    <w:p w14:paraId="1F515A28" w14:textId="789D91FF" w:rsidR="00507950" w:rsidRPr="00CF1CF9" w:rsidRDefault="00507950" w:rsidP="00302D9E">
      <w:pPr>
        <w:spacing w:line="480" w:lineRule="auto"/>
        <w:contextualSpacing/>
        <w:mirrorIndents/>
        <w:jc w:val="both"/>
        <w:rPr>
          <w:rStyle w:val="eop"/>
          <w:rFonts w:eastAsiaTheme="majorEastAsia"/>
          <w:b/>
          <w:bCs/>
          <w:color w:val="000000" w:themeColor="text1"/>
          <w:lang w:val="en-US"/>
        </w:rPr>
      </w:pPr>
      <w:r w:rsidRPr="00CF1CF9">
        <w:rPr>
          <w:rStyle w:val="eop"/>
          <w:rFonts w:eastAsiaTheme="majorEastAsia"/>
          <w:b/>
          <w:bCs/>
          <w:color w:val="000000" w:themeColor="text1"/>
          <w:lang w:val="en-US"/>
        </w:rPr>
        <w:t xml:space="preserve">EEG </w:t>
      </w:r>
      <w:r w:rsidR="00CE3CE1" w:rsidRPr="00CF1CF9">
        <w:rPr>
          <w:rStyle w:val="eop"/>
          <w:rFonts w:eastAsiaTheme="majorEastAsia"/>
          <w:b/>
          <w:bCs/>
          <w:color w:val="000000" w:themeColor="text1"/>
          <w:lang w:val="en-US"/>
        </w:rPr>
        <w:t>evaluation</w:t>
      </w:r>
    </w:p>
    <w:p w14:paraId="6980210E" w14:textId="7FB674D7" w:rsidR="00EB58BE" w:rsidRPr="00CF1CF9" w:rsidRDefault="00EB58BE" w:rsidP="00302D9E">
      <w:pPr>
        <w:spacing w:line="480" w:lineRule="auto"/>
        <w:contextualSpacing/>
        <w:mirrorIndents/>
        <w:jc w:val="both"/>
        <w:rPr>
          <w:rFonts w:eastAsiaTheme="majorEastAsia"/>
          <w:color w:val="000000" w:themeColor="text1"/>
          <w:lang w:val="en-US"/>
        </w:rPr>
      </w:pPr>
      <w:r w:rsidRPr="00CF1CF9">
        <w:rPr>
          <w:color w:val="000000" w:themeColor="text1"/>
          <w:lang w:val="en-US"/>
        </w:rPr>
        <w:t>Resting EEG was recorded</w:t>
      </w:r>
      <w:r w:rsidR="00CE3CE1" w:rsidRPr="00CF1CF9">
        <w:rPr>
          <w:color w:val="000000" w:themeColor="text1"/>
          <w:lang w:val="en-US"/>
        </w:rPr>
        <w:t xml:space="preserve"> with the same EEG equipment,</w:t>
      </w:r>
      <w:r w:rsidRPr="00CF1CF9">
        <w:rPr>
          <w:color w:val="000000" w:themeColor="text1"/>
          <w:lang w:val="en-US"/>
        </w:rPr>
        <w:t xml:space="preserve"> before each TMS-EEG session for 3 minutes with open eyes.</w:t>
      </w:r>
      <w:r w:rsidR="00CE3CE1" w:rsidRPr="00CF1CF9">
        <w:rPr>
          <w:color w:val="000000" w:themeColor="text1"/>
          <w:lang w:val="en-US"/>
        </w:rPr>
        <w:t xml:space="preserve"> </w:t>
      </w:r>
      <w:r w:rsidR="00CE3CE1" w:rsidRPr="00CF1CF9">
        <w:rPr>
          <w:rStyle w:val="eop"/>
          <w:rFonts w:eastAsiaTheme="majorEastAsia"/>
          <w:color w:val="000000" w:themeColor="text1"/>
          <w:lang w:val="en-US"/>
        </w:rPr>
        <w:t xml:space="preserve">During all the EEG recordings, participants sat on a comfortable armchair in a soundproof room in front of a computer screen. They were instructed to fixate on a white cross (6 × 6 cm) in the middle of the screen and to keep their arms rested in a relaxed position. </w:t>
      </w:r>
      <w:r w:rsidRPr="00CF1CF9">
        <w:rPr>
          <w:color w:val="000000" w:themeColor="text1"/>
          <w:lang w:val="en-US"/>
        </w:rPr>
        <w:t xml:space="preserve">As a first step, data were </w:t>
      </w:r>
      <w:proofErr w:type="spellStart"/>
      <w:r w:rsidRPr="00CF1CF9">
        <w:rPr>
          <w:color w:val="000000" w:themeColor="text1"/>
          <w:lang w:val="en-US"/>
        </w:rPr>
        <w:t>downsampled</w:t>
      </w:r>
      <w:proofErr w:type="spellEnd"/>
      <w:r w:rsidRPr="00CF1CF9">
        <w:rPr>
          <w:color w:val="000000" w:themeColor="text1"/>
          <w:lang w:val="en-US"/>
        </w:rPr>
        <w:t xml:space="preserve"> to 1000 Hz and band-pass filtered between 1 and 80 Hz (Butterworth zero phase filters). A 50 Hz notch filter was also applied to reduce noise from electrical sources. Identification and removal of artifacts (muscle activity, eye movements and blink-related activity) was made with independent component analysis (INFOMAX-ICA). Then, signal was segmented in </w:t>
      </w:r>
      <w:r w:rsidRPr="00CF1CF9">
        <w:rPr>
          <w:color w:val="000000" w:themeColor="text1"/>
          <w:lang w:val="en-US"/>
        </w:rPr>
        <w:lastRenderedPageBreak/>
        <w:t xml:space="preserve">2-sec epochs. Power density was estimated by means of the Fast Fourier Transform (10% Hanning-window) from 4 to 45 Hz, with a frequency resolution of 0.5 Hz. For each participant, frequency bands were a priori established as follows: theta (4-7 Hz); alpha (7-13 Hz); beta (13-30 Hz) and gamma (30-80 Hz). The mean band power was then obtained by averaging the power values of all the single-trial epochs for each participant. </w:t>
      </w:r>
    </w:p>
    <w:p w14:paraId="0261F82C" w14:textId="77777777" w:rsidR="00EB58BE" w:rsidRPr="00CF1CF9" w:rsidRDefault="00EB58BE" w:rsidP="00302D9E">
      <w:pPr>
        <w:spacing w:line="480" w:lineRule="auto"/>
        <w:contextualSpacing/>
        <w:jc w:val="both"/>
        <w:rPr>
          <w:color w:val="000000" w:themeColor="text1"/>
          <w:lang w:val="en-US"/>
        </w:rPr>
      </w:pPr>
    </w:p>
    <w:p w14:paraId="0A09EEC0" w14:textId="1327E2D8" w:rsidR="00EB58BE" w:rsidRPr="00CF1CF9" w:rsidRDefault="00EB58BE" w:rsidP="00302D9E">
      <w:pPr>
        <w:spacing w:line="480" w:lineRule="auto"/>
        <w:contextualSpacing/>
        <w:jc w:val="both"/>
        <w:rPr>
          <w:b/>
          <w:bCs/>
          <w:color w:val="000000" w:themeColor="text1"/>
          <w:lang w:val="en-US"/>
        </w:rPr>
      </w:pPr>
      <w:r w:rsidRPr="00CF1CF9">
        <w:rPr>
          <w:b/>
          <w:bCs/>
          <w:color w:val="000000" w:themeColor="text1"/>
          <w:lang w:val="en-US"/>
        </w:rPr>
        <w:t>Statistical analysis</w:t>
      </w:r>
    </w:p>
    <w:p w14:paraId="22CCD301" w14:textId="77777777" w:rsidR="00CE3CE1" w:rsidRPr="00CF1CF9" w:rsidRDefault="00CE3CE1" w:rsidP="00302D9E">
      <w:pPr>
        <w:autoSpaceDE w:val="0"/>
        <w:autoSpaceDN w:val="0"/>
        <w:adjustRightInd w:val="0"/>
        <w:spacing w:line="480" w:lineRule="auto"/>
        <w:contextualSpacing/>
        <w:jc w:val="both"/>
        <w:rPr>
          <w:color w:val="000000" w:themeColor="text1"/>
          <w:lang w:val="en-US"/>
        </w:rPr>
      </w:pPr>
      <w:r w:rsidRPr="00CF1CF9">
        <w:rPr>
          <w:color w:val="000000" w:themeColor="text1"/>
          <w:lang w:val="en-GB"/>
        </w:rPr>
        <w:t xml:space="preserve">Statistical </w:t>
      </w:r>
      <w:proofErr w:type="gramStart"/>
      <w:r w:rsidRPr="00CF1CF9">
        <w:rPr>
          <w:color w:val="000000" w:themeColor="text1"/>
          <w:lang w:val="en-GB"/>
        </w:rPr>
        <w:t>analysis</w:t>
      </w:r>
      <w:proofErr w:type="gramEnd"/>
      <w:r w:rsidRPr="00CF1CF9">
        <w:rPr>
          <w:color w:val="000000" w:themeColor="text1"/>
          <w:lang w:val="en-GB"/>
        </w:rPr>
        <w:t xml:space="preserve"> were run with R version 3.6.1. </w:t>
      </w:r>
      <w:r w:rsidRPr="00CF1CF9">
        <w:rPr>
          <w:color w:val="000000" w:themeColor="text1"/>
          <w:lang w:val="en-US"/>
        </w:rPr>
        <w:t>Normal distribution of end-point variables was assessed by means of Shapiro-Wilks' test. The level of statistical significance was set at α=0.05. Homogeneity between the means in the baseline characteristics between the two groups were assessed with independent t-test, Mann-Whitney test or χ2 depending on the type of variable (categorical or continuous) and its distribution. The longitudinal assessment of the end points across groups was performed through generalized linear mixed models (GLMM), depending on data distribution, for repeated measures, with a random intercept varying for each patient to account for individual differences at baseline and for changes at follow-up points. The dependent variables for the models were: CDR-SOB; ADAS-COG11, MMSE, ADCS-ADL, NPI and FAB. The independent fixed factors were “rTMS” (real vs. sham), “time” (W0; W12; W24; W36; W52) and their interaction. To test for possible effects of age and education we inserted these variables as covariates in all the models. Thus, we conducted a total of six GLMM, separately for each clinical test, with general equation:</w:t>
      </w:r>
    </w:p>
    <w:p w14:paraId="26C78D6E" w14:textId="77777777" w:rsidR="00CE3CE1" w:rsidRPr="00CF1CF9" w:rsidRDefault="00CE3CE1" w:rsidP="00302D9E">
      <w:pPr>
        <w:autoSpaceDE w:val="0"/>
        <w:autoSpaceDN w:val="0"/>
        <w:adjustRightInd w:val="0"/>
        <w:spacing w:line="480" w:lineRule="auto"/>
        <w:contextualSpacing/>
        <w:jc w:val="both"/>
        <w:rPr>
          <w:color w:val="000000" w:themeColor="text1"/>
          <w:lang w:val="en-US"/>
        </w:rPr>
      </w:pPr>
      <w:r w:rsidRPr="00CF1CF9">
        <w:rPr>
          <w:color w:val="000000" w:themeColor="text1"/>
          <w:lang w:val="en-US"/>
        </w:rPr>
        <w:t>Eq.1:    Clinical test</w:t>
      </w:r>
      <w:r w:rsidRPr="00CF1CF9">
        <w:rPr>
          <w:rFonts w:ascii="Cambria Math" w:hAnsi="Cambria Math" w:cs="Cambria Math"/>
          <w:color w:val="000000" w:themeColor="text1"/>
          <w:lang w:val="en-US"/>
        </w:rPr>
        <w:t>∼</w:t>
      </w:r>
      <w:r w:rsidRPr="00CF1CF9">
        <w:rPr>
          <w:color w:val="000000" w:themeColor="text1"/>
          <w:lang w:val="en-US"/>
        </w:rPr>
        <w:t>1+rTMS+time+age+education+</w:t>
      </w:r>
      <w:proofErr w:type="gramStart"/>
      <w:r w:rsidRPr="00CF1CF9">
        <w:rPr>
          <w:color w:val="000000" w:themeColor="text1"/>
          <w:lang w:val="en-US"/>
        </w:rPr>
        <w:t>rTMS:time</w:t>
      </w:r>
      <w:proofErr w:type="gramEnd"/>
      <w:r w:rsidRPr="00CF1CF9">
        <w:rPr>
          <w:color w:val="000000" w:themeColor="text1"/>
          <w:lang w:val="en-US"/>
        </w:rPr>
        <w:t>+(1|patient)</w:t>
      </w:r>
    </w:p>
    <w:p w14:paraId="5089740D" w14:textId="42943902" w:rsidR="00CE3CE1" w:rsidRPr="00CF1CF9" w:rsidRDefault="00CE3CE1" w:rsidP="00302D9E">
      <w:pPr>
        <w:autoSpaceDE w:val="0"/>
        <w:autoSpaceDN w:val="0"/>
        <w:adjustRightInd w:val="0"/>
        <w:spacing w:line="480" w:lineRule="auto"/>
        <w:contextualSpacing/>
        <w:jc w:val="both"/>
        <w:rPr>
          <w:color w:val="000000" w:themeColor="text1"/>
          <w:lang w:val="en-US"/>
        </w:rPr>
      </w:pPr>
      <w:r w:rsidRPr="00CF1CF9">
        <w:rPr>
          <w:color w:val="000000" w:themeColor="text1"/>
          <w:lang w:val="en-US"/>
        </w:rPr>
        <w:t xml:space="preserve">Significant effects of GLMM analyses were further evaluated with simple contrasts and a simple effect moderator analysis. Simple contrast analysis compared the dependent variable values at the baseline level (W0) with all the subsequent follow-ups; this analysis was conducted to observe if rTMS treatments produced significant changes in variables across the </w:t>
      </w:r>
      <w:r w:rsidR="000C5465" w:rsidRPr="00CF1CF9">
        <w:rPr>
          <w:color w:val="000000" w:themeColor="text1"/>
          <w:lang w:val="en-US"/>
        </w:rPr>
        <w:t>full-time</w:t>
      </w:r>
      <w:r w:rsidRPr="00CF1CF9">
        <w:rPr>
          <w:color w:val="000000" w:themeColor="text1"/>
          <w:lang w:val="en-US"/>
        </w:rPr>
        <w:t xml:space="preserve"> course. Simple effect </w:t>
      </w:r>
      <w:r w:rsidRPr="00CF1CF9">
        <w:rPr>
          <w:color w:val="000000" w:themeColor="text1"/>
          <w:lang w:val="en-US"/>
        </w:rPr>
        <w:lastRenderedPageBreak/>
        <w:t>moderator analysis was conducted to investigate the presence of a time effect, i.e. a significant change in the clinical score among the follow-ups, moderate by the group, i.e. real-rTMS or sham-rTMS.</w:t>
      </w:r>
    </w:p>
    <w:p w14:paraId="6326FB36" w14:textId="4A03E7DA" w:rsidR="00A82103" w:rsidRPr="00CF1CF9" w:rsidRDefault="00CE3CE1" w:rsidP="000C5465">
      <w:pPr>
        <w:autoSpaceDE w:val="0"/>
        <w:autoSpaceDN w:val="0"/>
        <w:adjustRightInd w:val="0"/>
        <w:spacing w:line="480" w:lineRule="auto"/>
        <w:contextualSpacing/>
        <w:jc w:val="both"/>
        <w:rPr>
          <w:color w:val="000000" w:themeColor="text1"/>
          <w:lang w:val="en-US"/>
        </w:rPr>
      </w:pPr>
      <w:r w:rsidRPr="00CF1CF9">
        <w:rPr>
          <w:color w:val="000000" w:themeColor="text1"/>
          <w:lang w:val="en-US"/>
        </w:rPr>
        <w:t>Analysis of TMS-EEG and EEG activity was performed with the same GLMM approach, using the following dependent variables: TEP peak-to-peak amplitude</w:t>
      </w:r>
      <w:r w:rsidR="000C5465" w:rsidRPr="00CF1CF9">
        <w:rPr>
          <w:color w:val="000000" w:themeColor="text1"/>
          <w:lang w:val="en-US"/>
        </w:rPr>
        <w:t xml:space="preserve"> and source activity propagation</w:t>
      </w:r>
      <w:r w:rsidRPr="00CF1CF9">
        <w:rPr>
          <w:color w:val="000000" w:themeColor="text1"/>
          <w:lang w:val="en-US"/>
        </w:rPr>
        <w:t xml:space="preserve"> for TMS-EEG data; theta (4-7 Hz), alpha (7-13 Hz), beta (13-30 Hz) and gamma (30-50 Hz) spectral power for EEG data. The independent fixed factors were “rTMS” (real vs. sham), “time” (W0; W52) and their interaction. Finally, to</w:t>
      </w:r>
      <w:r w:rsidR="000C5465" w:rsidRPr="00CF1CF9">
        <w:rPr>
          <w:color w:val="000000" w:themeColor="text1"/>
          <w:lang w:val="en-US"/>
        </w:rPr>
        <w:t xml:space="preserve"> </w:t>
      </w:r>
      <w:r w:rsidRPr="00CF1CF9">
        <w:rPr>
          <w:color w:val="000000" w:themeColor="text1"/>
          <w:lang w:val="en-US"/>
        </w:rPr>
        <w:t>evaluate the linear relations between the primary clinical outcome change, i.e. CDR-SOB (W52 W0), and the TMS-evoked EEG source propagation at W0 and W52 for the two groups (PC- and sham-rTMS) we computed bivariate linear correlations.</w:t>
      </w:r>
    </w:p>
    <w:p w14:paraId="12E27DF9" w14:textId="77777777" w:rsidR="00A82103" w:rsidRPr="00CF1CF9" w:rsidRDefault="00A82103">
      <w:pPr>
        <w:spacing w:after="160" w:line="278" w:lineRule="auto"/>
        <w:rPr>
          <w:color w:val="000000" w:themeColor="text1"/>
          <w:lang w:val="en-US"/>
        </w:rPr>
      </w:pPr>
      <w:r w:rsidRPr="00CF1CF9">
        <w:rPr>
          <w:color w:val="000000" w:themeColor="text1"/>
          <w:lang w:val="en-US"/>
        </w:rPr>
        <w:br w:type="page"/>
      </w:r>
    </w:p>
    <w:p w14:paraId="3450CEBD" w14:textId="02BD39EE" w:rsidR="00A82103" w:rsidRPr="00CF1CF9" w:rsidRDefault="00A82103" w:rsidP="00A82103">
      <w:pPr>
        <w:pStyle w:val="Bibliografia"/>
        <w:rPr>
          <w:rStyle w:val="eop"/>
          <w:b/>
          <w:bCs/>
          <w:color w:val="000000" w:themeColor="text1"/>
          <w:lang w:val="en-US"/>
        </w:rPr>
      </w:pPr>
      <w:r w:rsidRPr="00CF1CF9">
        <w:rPr>
          <w:rStyle w:val="eop"/>
          <w:b/>
          <w:bCs/>
          <w:color w:val="000000" w:themeColor="text1"/>
          <w:lang w:val="en-US"/>
        </w:rPr>
        <w:lastRenderedPageBreak/>
        <w:t>REFERENCES</w:t>
      </w:r>
    </w:p>
    <w:p w14:paraId="0E642854" w14:textId="7F028148" w:rsidR="000F2CFE" w:rsidRPr="00CF1CF9" w:rsidRDefault="00A82103" w:rsidP="000F2CFE">
      <w:pPr>
        <w:pStyle w:val="Bibliografia"/>
        <w:rPr>
          <w:color w:val="000000" w:themeColor="text1"/>
          <w:lang w:val="en-US"/>
        </w:rPr>
      </w:pPr>
      <w:r w:rsidRPr="00CF1CF9">
        <w:rPr>
          <w:rStyle w:val="eop"/>
          <w:color w:val="000000" w:themeColor="text1"/>
          <w:lang w:val="en-US"/>
        </w:rPr>
        <w:fldChar w:fldCharType="begin"/>
      </w:r>
      <w:r w:rsidR="000F2CFE" w:rsidRPr="00CF1CF9">
        <w:rPr>
          <w:rStyle w:val="eop"/>
          <w:color w:val="000000" w:themeColor="text1"/>
          <w:lang w:val="en-US"/>
        </w:rPr>
        <w:instrText xml:space="preserve"> ADDIN ZOTERO_BIBL {"uncited":[],"omitted":[],"custom":[]} CSL_BIBLIOGRAPHY </w:instrText>
      </w:r>
      <w:r w:rsidRPr="00CF1CF9">
        <w:rPr>
          <w:rStyle w:val="eop"/>
          <w:color w:val="000000" w:themeColor="text1"/>
          <w:lang w:val="en-US"/>
        </w:rPr>
        <w:fldChar w:fldCharType="separate"/>
      </w:r>
      <w:r w:rsidR="000F2CFE" w:rsidRPr="00CF1CF9">
        <w:rPr>
          <w:color w:val="000000" w:themeColor="text1"/>
          <w:lang w:val="en-US"/>
        </w:rPr>
        <w:t>1.</w:t>
      </w:r>
      <w:r w:rsidR="000F2CFE" w:rsidRPr="00CF1CF9">
        <w:rPr>
          <w:color w:val="000000" w:themeColor="text1"/>
          <w:lang w:val="en-US"/>
        </w:rPr>
        <w:tab/>
        <w:t xml:space="preserve">Morris JC. The Clinical Dementia Rating (CDR): current version and scoring rules. Neurology. 1993;43(0028-3878 (Print)):2412–4. </w:t>
      </w:r>
    </w:p>
    <w:p w14:paraId="336BE4A6" w14:textId="0A2492EB" w:rsidR="000F2CFE" w:rsidRPr="00CF1CF9" w:rsidRDefault="000F2CFE" w:rsidP="000F2CFE">
      <w:pPr>
        <w:pStyle w:val="Bibliografia"/>
        <w:rPr>
          <w:color w:val="000000" w:themeColor="text1"/>
          <w:lang w:val="en-US"/>
        </w:rPr>
      </w:pPr>
      <w:r w:rsidRPr="00CF1CF9">
        <w:rPr>
          <w:color w:val="000000" w:themeColor="text1"/>
          <w:lang w:val="en-US"/>
        </w:rPr>
        <w:t>2.</w:t>
      </w:r>
      <w:r w:rsidRPr="00CF1CF9">
        <w:rPr>
          <w:color w:val="000000" w:themeColor="text1"/>
          <w:lang w:val="en-US"/>
        </w:rPr>
        <w:tab/>
        <w:t xml:space="preserve">Magni E, Binetti G, Bianchetti A, Rozzini R, Trabucchi M. Mini-Mental State Examination: a normative study in Italian elderly population. Eur J Neurol. 1996;3(3):198–202. </w:t>
      </w:r>
    </w:p>
    <w:p w14:paraId="4D2F8EBE" w14:textId="38250375" w:rsidR="000F2CFE" w:rsidRPr="00CF1CF9" w:rsidRDefault="000F2CFE" w:rsidP="000F2CFE">
      <w:pPr>
        <w:pStyle w:val="Bibliografia"/>
        <w:rPr>
          <w:color w:val="000000" w:themeColor="text1"/>
          <w:lang w:val="en-US"/>
        </w:rPr>
      </w:pPr>
      <w:r w:rsidRPr="00CF1CF9">
        <w:rPr>
          <w:color w:val="000000" w:themeColor="text1"/>
          <w:lang w:val="en-US"/>
        </w:rPr>
        <w:t>3.</w:t>
      </w:r>
      <w:r w:rsidRPr="00CF1CF9">
        <w:rPr>
          <w:color w:val="000000" w:themeColor="text1"/>
          <w:lang w:val="en-US"/>
        </w:rPr>
        <w:tab/>
        <w:t xml:space="preserve">Dubois B, Feldman HH, Jacova C, Hampel H, Molinuevo JL, Blennow K, et al. Advancing research diagnostic criteria for Alzheimer’s disease: the IWG-2 criteria. Lancet Neurol. 2014;13(6):614–29. </w:t>
      </w:r>
    </w:p>
    <w:p w14:paraId="3483F214" w14:textId="1E26A8EF" w:rsidR="000F2CFE" w:rsidRPr="00CF1CF9" w:rsidRDefault="000F2CFE" w:rsidP="000F2CFE">
      <w:pPr>
        <w:pStyle w:val="Bibliografia"/>
        <w:rPr>
          <w:color w:val="000000" w:themeColor="text1"/>
          <w:lang w:val="en-US"/>
        </w:rPr>
      </w:pPr>
      <w:r w:rsidRPr="00CF1CF9">
        <w:rPr>
          <w:color w:val="000000" w:themeColor="text1"/>
          <w:lang w:val="en-US"/>
        </w:rPr>
        <w:t>4.</w:t>
      </w:r>
      <w:r w:rsidRPr="00CF1CF9">
        <w:rPr>
          <w:color w:val="000000" w:themeColor="text1"/>
          <w:lang w:val="en-US"/>
        </w:rPr>
        <w:tab/>
        <w:t xml:space="preserve">Rossini PM, Burke D, Chen R, Cohen LG, Daskalakis Z, Di Iorio R, et al. Non-invasive electrical and magnetic stimulation of the brain, spinal cord, roots and peripheral nerves: Basic principles and procedures for routine clinical and research application. An updated report from an I.F.C.N. Committee. Clinical Neurophysiology. 2015;126(6):1071–107. </w:t>
      </w:r>
    </w:p>
    <w:p w14:paraId="44EAC80D" w14:textId="25C4F4A8" w:rsidR="000F2CFE" w:rsidRPr="00CF1CF9" w:rsidRDefault="000F2CFE" w:rsidP="000F2CFE">
      <w:pPr>
        <w:pStyle w:val="Bibliografia"/>
        <w:rPr>
          <w:color w:val="000000" w:themeColor="text1"/>
        </w:rPr>
      </w:pPr>
      <w:r w:rsidRPr="00CF1CF9">
        <w:rPr>
          <w:color w:val="000000" w:themeColor="text1"/>
          <w:lang w:val="en-US"/>
        </w:rPr>
        <w:t>5.</w:t>
      </w:r>
      <w:r w:rsidRPr="00CF1CF9">
        <w:rPr>
          <w:color w:val="000000" w:themeColor="text1"/>
          <w:lang w:val="en-US"/>
        </w:rPr>
        <w:tab/>
        <w:t xml:space="preserve">Kumar S, Zomorrodi R, Ghazala Z, Goodman MS, Blumberger DM, Cheam A, et al. Extent of Dorsolateral Prefrontal Cortex Plasticity and Its Association With Working Memory in Patients With Alzheimer Disease. </w:t>
      </w:r>
      <w:r w:rsidRPr="00CF1CF9">
        <w:rPr>
          <w:color w:val="000000" w:themeColor="text1"/>
        </w:rPr>
        <w:t xml:space="preserve">JAMA Psychiatry. 2017;74(12):1266–74. </w:t>
      </w:r>
    </w:p>
    <w:p w14:paraId="7E096BF1" w14:textId="0FEA9F8F" w:rsidR="000F2CFE" w:rsidRPr="00CF1CF9" w:rsidRDefault="000F2CFE" w:rsidP="000F2CFE">
      <w:pPr>
        <w:pStyle w:val="Bibliografia"/>
        <w:rPr>
          <w:color w:val="000000" w:themeColor="text1"/>
        </w:rPr>
      </w:pPr>
      <w:r w:rsidRPr="00CF1CF9">
        <w:rPr>
          <w:color w:val="000000" w:themeColor="text1"/>
        </w:rPr>
        <w:t>6.</w:t>
      </w:r>
      <w:r w:rsidRPr="00CF1CF9">
        <w:rPr>
          <w:color w:val="000000" w:themeColor="text1"/>
        </w:rPr>
        <w:tab/>
        <w:t xml:space="preserve">Mancuso M, Sveva V, Cruciani A, Brown K, Ibáñez J, Rawji V, et al. </w:t>
      </w:r>
      <w:r w:rsidRPr="00CF1CF9">
        <w:rPr>
          <w:color w:val="000000" w:themeColor="text1"/>
          <w:lang w:val="en-US"/>
        </w:rPr>
        <w:t xml:space="preserve">Transcranial Evoked Potentials Can Be Reliably Recorded with Active Electrodes. </w:t>
      </w:r>
      <w:r w:rsidRPr="00CF1CF9">
        <w:rPr>
          <w:color w:val="000000" w:themeColor="text1"/>
        </w:rPr>
        <w:t xml:space="preserve">Brain Sciences. 2021;11(2):145. </w:t>
      </w:r>
    </w:p>
    <w:p w14:paraId="4A7EF8DB" w14:textId="530A7B56" w:rsidR="000F2CFE" w:rsidRPr="00CF1CF9" w:rsidRDefault="000F2CFE" w:rsidP="000F2CFE">
      <w:pPr>
        <w:pStyle w:val="Bibliografia"/>
        <w:rPr>
          <w:color w:val="000000" w:themeColor="text1"/>
          <w:lang w:val="en-US"/>
        </w:rPr>
      </w:pPr>
      <w:r w:rsidRPr="00CF1CF9">
        <w:rPr>
          <w:color w:val="000000" w:themeColor="text1"/>
        </w:rPr>
        <w:t>7.</w:t>
      </w:r>
      <w:r w:rsidRPr="00CF1CF9">
        <w:rPr>
          <w:color w:val="000000" w:themeColor="text1"/>
        </w:rPr>
        <w:tab/>
        <w:t xml:space="preserve">Koch G, Bonnì S, Pellicciari MC, Casula EP, Mancini M, Esposito R, et al. </w:t>
      </w:r>
      <w:r w:rsidRPr="00CF1CF9">
        <w:rPr>
          <w:color w:val="000000" w:themeColor="text1"/>
          <w:lang w:val="en-US"/>
        </w:rPr>
        <w:t xml:space="preserve">Transcranial magnetic stimulation of the precuneus enhances memory and neural activity in prodromal Alzheimer’s disease. Neuroimage. 2018;169:302–11. </w:t>
      </w:r>
    </w:p>
    <w:p w14:paraId="041DD097" w14:textId="77777777" w:rsidR="000F2CFE" w:rsidRPr="00CF1CF9" w:rsidRDefault="000F2CFE" w:rsidP="000F2CFE">
      <w:pPr>
        <w:pStyle w:val="Bibliografia"/>
        <w:rPr>
          <w:color w:val="000000" w:themeColor="text1"/>
          <w:lang w:val="en-US"/>
        </w:rPr>
      </w:pPr>
      <w:r w:rsidRPr="00CF1CF9">
        <w:rPr>
          <w:color w:val="000000" w:themeColor="text1"/>
          <w:lang w:val="en-US"/>
        </w:rPr>
        <w:t>8.</w:t>
      </w:r>
      <w:r w:rsidRPr="00CF1CF9">
        <w:rPr>
          <w:color w:val="000000" w:themeColor="text1"/>
          <w:lang w:val="en-US"/>
        </w:rPr>
        <w:tab/>
        <w:t xml:space="preserve">Thielscher A, Antunes A, Saturnino GB. Field modeling for transcranial magnetic stimulation: A useful tool to understand the physiological effects of TMS? Annu Int Conf IEEE Eng Med Biol Soc. 2015;2015:222–5. </w:t>
      </w:r>
    </w:p>
    <w:p w14:paraId="06D7DAF8" w14:textId="542A7F0A" w:rsidR="000F2CFE" w:rsidRPr="00CF1CF9" w:rsidRDefault="000F2CFE" w:rsidP="000F2CFE">
      <w:pPr>
        <w:pStyle w:val="Bibliografia"/>
        <w:rPr>
          <w:color w:val="000000" w:themeColor="text1"/>
          <w:lang w:val="en-US"/>
        </w:rPr>
      </w:pPr>
      <w:r w:rsidRPr="00CF1CF9">
        <w:rPr>
          <w:color w:val="000000" w:themeColor="text1"/>
          <w:lang w:val="en-US"/>
        </w:rPr>
        <w:t>9.</w:t>
      </w:r>
      <w:r w:rsidRPr="00CF1CF9">
        <w:rPr>
          <w:color w:val="000000" w:themeColor="text1"/>
          <w:lang w:val="en-US"/>
        </w:rPr>
        <w:tab/>
        <w:t xml:space="preserve">Windhoff M, Opitz A, Thielscher A. Electric field calculations in brain stimulation based on finite elements: an optimized processing pipeline for the generation and usage of accurate individual head models. Hum Brain Mapp. 2013;34(4):923–35. </w:t>
      </w:r>
    </w:p>
    <w:p w14:paraId="21F812B8" w14:textId="7D587294" w:rsidR="000F2CFE" w:rsidRPr="00CF1CF9" w:rsidRDefault="000F2CFE" w:rsidP="000F2CFE">
      <w:pPr>
        <w:pStyle w:val="Bibliografia"/>
        <w:rPr>
          <w:color w:val="000000" w:themeColor="text1"/>
          <w:lang w:val="en-US"/>
        </w:rPr>
      </w:pPr>
      <w:r w:rsidRPr="00CF1CF9">
        <w:rPr>
          <w:color w:val="000000" w:themeColor="text1"/>
          <w:lang w:val="en-US"/>
        </w:rPr>
        <w:t>10.</w:t>
      </w:r>
      <w:r w:rsidRPr="00CF1CF9">
        <w:rPr>
          <w:color w:val="000000" w:themeColor="text1"/>
          <w:lang w:val="en-US"/>
        </w:rPr>
        <w:tab/>
        <w:t xml:space="preserve">Thielscher A, Kammer T. Linking physics with physiology in TMS: a sphere field model to determine the cortical stimulation site in TMS. Neuroimage. 2002;17(1053-8119 (Print)):1117–30. </w:t>
      </w:r>
    </w:p>
    <w:p w14:paraId="44F2E047" w14:textId="453090B3" w:rsidR="000F2CFE" w:rsidRPr="00CF1CF9" w:rsidRDefault="000F2CFE" w:rsidP="000F2CFE">
      <w:pPr>
        <w:pStyle w:val="Bibliografia"/>
        <w:rPr>
          <w:color w:val="000000" w:themeColor="text1"/>
          <w:lang w:val="en-US"/>
        </w:rPr>
      </w:pPr>
      <w:r w:rsidRPr="00CF1CF9">
        <w:rPr>
          <w:color w:val="000000" w:themeColor="text1"/>
          <w:lang w:val="en-US"/>
        </w:rPr>
        <w:t>11.</w:t>
      </w:r>
      <w:r w:rsidRPr="00CF1CF9">
        <w:rPr>
          <w:color w:val="000000" w:themeColor="text1"/>
          <w:lang w:val="en-US"/>
        </w:rPr>
        <w:tab/>
        <w:t>Gmsh: A 3‐D finite element mesh generator with built‐in pre‐ and post‐processing facilities - Geuzaine - 2009 - International Journal for Numerical Methods in Engineering - Wiley Online Library [Internet]. https://onlinelibrary.wiley.com/doi/abs/10.1002/nme.2579</w:t>
      </w:r>
    </w:p>
    <w:p w14:paraId="3492EFEA" w14:textId="68D1ED98" w:rsidR="000F2CFE" w:rsidRPr="00CF1CF9" w:rsidRDefault="000F2CFE" w:rsidP="000F2CFE">
      <w:pPr>
        <w:pStyle w:val="Bibliografia"/>
        <w:rPr>
          <w:color w:val="000000" w:themeColor="text1"/>
        </w:rPr>
      </w:pPr>
      <w:r w:rsidRPr="00CF1CF9">
        <w:rPr>
          <w:color w:val="000000" w:themeColor="text1"/>
          <w:lang w:val="en-US"/>
        </w:rPr>
        <w:t>12.</w:t>
      </w:r>
      <w:r w:rsidRPr="00CF1CF9">
        <w:rPr>
          <w:color w:val="000000" w:themeColor="text1"/>
          <w:lang w:val="en-US"/>
        </w:rPr>
        <w:tab/>
        <w:t xml:space="preserve">Massimini M, Ferrarelli F, Huber R, Esser SK, Singh H, Tononi G. Breakdown of cortical effective connectivity during sleep. </w:t>
      </w:r>
      <w:r w:rsidRPr="00CF1CF9">
        <w:rPr>
          <w:color w:val="000000" w:themeColor="text1"/>
        </w:rPr>
        <w:t xml:space="preserve">Science. 2005;309(5744):2228–32. </w:t>
      </w:r>
    </w:p>
    <w:p w14:paraId="040AC1F9" w14:textId="5894CE10" w:rsidR="000F2CFE" w:rsidRPr="00CF1CF9" w:rsidRDefault="000F2CFE" w:rsidP="000F2CFE">
      <w:pPr>
        <w:pStyle w:val="Bibliografia"/>
        <w:rPr>
          <w:color w:val="000000" w:themeColor="text1"/>
          <w:lang w:val="en-US"/>
        </w:rPr>
      </w:pPr>
      <w:r w:rsidRPr="00CF1CF9">
        <w:rPr>
          <w:color w:val="000000" w:themeColor="text1"/>
        </w:rPr>
        <w:t>13.</w:t>
      </w:r>
      <w:r w:rsidRPr="00CF1CF9">
        <w:rPr>
          <w:color w:val="000000" w:themeColor="text1"/>
        </w:rPr>
        <w:tab/>
        <w:t xml:space="preserve">Rocchi L, Di Santo A, Brown K, Ibáñez J, Casula E, Rawji V, et al. </w:t>
      </w:r>
      <w:r w:rsidRPr="00CF1CF9">
        <w:rPr>
          <w:color w:val="000000" w:themeColor="text1"/>
          <w:lang w:val="en-US"/>
        </w:rPr>
        <w:t xml:space="preserve">Disentangling EEG responses to TMS due to cortical and peripheral activations. Brain Stimul. 2021;14(1):4–18. </w:t>
      </w:r>
    </w:p>
    <w:p w14:paraId="2BC01864" w14:textId="5FB22097" w:rsidR="000F2CFE" w:rsidRPr="00CF1CF9" w:rsidRDefault="000F2CFE" w:rsidP="000F2CFE">
      <w:pPr>
        <w:pStyle w:val="Bibliografia"/>
        <w:rPr>
          <w:color w:val="000000" w:themeColor="text1"/>
        </w:rPr>
      </w:pPr>
      <w:r w:rsidRPr="00CF1CF9">
        <w:rPr>
          <w:color w:val="000000" w:themeColor="text1"/>
          <w:lang w:val="en-US"/>
        </w:rPr>
        <w:t>14.</w:t>
      </w:r>
      <w:r w:rsidRPr="00CF1CF9">
        <w:rPr>
          <w:color w:val="000000" w:themeColor="text1"/>
          <w:lang w:val="en-US"/>
        </w:rPr>
        <w:tab/>
        <w:t xml:space="preserve">Casula EP, Bertoldo A, Tarantino V, Maiella M, Koch G, Rothwell JC, et al. TMS-evoked long-lasting artefacts: A new adaptive algorithm for EEG signal correction. </w:t>
      </w:r>
      <w:r w:rsidRPr="00CF1CF9">
        <w:rPr>
          <w:color w:val="000000" w:themeColor="text1"/>
        </w:rPr>
        <w:t xml:space="preserve">Clin Neurophysiol. 2017;128(9):1563–74. </w:t>
      </w:r>
    </w:p>
    <w:p w14:paraId="0374913E" w14:textId="63BCDD77" w:rsidR="000F2CFE" w:rsidRPr="00CF1CF9" w:rsidRDefault="000F2CFE" w:rsidP="000F2CFE">
      <w:pPr>
        <w:pStyle w:val="Bibliografia"/>
        <w:rPr>
          <w:color w:val="000000" w:themeColor="text1"/>
        </w:rPr>
      </w:pPr>
      <w:r w:rsidRPr="00CF1CF9">
        <w:rPr>
          <w:color w:val="000000" w:themeColor="text1"/>
        </w:rPr>
        <w:lastRenderedPageBreak/>
        <w:t>15.</w:t>
      </w:r>
      <w:r w:rsidRPr="00CF1CF9">
        <w:rPr>
          <w:color w:val="000000" w:themeColor="text1"/>
        </w:rPr>
        <w:tab/>
        <w:t xml:space="preserve">Casula EP, Pezzopane V, Roncaioli A, Battaglini L, Rumiati R, Rothwell J, et al. Real-time cortical dynamics during motor inhibition. Sci Rep. 2024;14(1):7871. </w:t>
      </w:r>
    </w:p>
    <w:p w14:paraId="29F4B3FE" w14:textId="045958F0" w:rsidR="000F2CFE" w:rsidRPr="00CF1CF9" w:rsidRDefault="000F2CFE" w:rsidP="000F2CFE">
      <w:pPr>
        <w:pStyle w:val="Bibliografia"/>
        <w:rPr>
          <w:color w:val="000000" w:themeColor="text1"/>
        </w:rPr>
      </w:pPr>
      <w:r w:rsidRPr="00CF1CF9">
        <w:rPr>
          <w:color w:val="000000" w:themeColor="text1"/>
        </w:rPr>
        <w:t>16.</w:t>
      </w:r>
      <w:r w:rsidRPr="00CF1CF9">
        <w:rPr>
          <w:color w:val="000000" w:themeColor="text1"/>
        </w:rPr>
        <w:tab/>
        <w:t xml:space="preserve">Casula EP, Tieri G, Rocchi L, Pezzetta R, Maiella M, Pavone EF, et al. </w:t>
      </w:r>
      <w:r w:rsidRPr="00CF1CF9">
        <w:rPr>
          <w:color w:val="000000" w:themeColor="text1"/>
          <w:lang w:val="en-US"/>
        </w:rPr>
        <w:t xml:space="preserve">Feeling of ownership over an embodied avatar’s hand brings about fast changes of fronto-parietal cortical dynamics. </w:t>
      </w:r>
      <w:r w:rsidRPr="00CF1CF9">
        <w:rPr>
          <w:color w:val="000000" w:themeColor="text1"/>
        </w:rPr>
        <w:t>J Neurosci [Internet]. 2021 https://www.jneurosci.org/content/early/2021/12/02/JNEUROSCI.0636-21.2021</w:t>
      </w:r>
    </w:p>
    <w:p w14:paraId="0880A343" w14:textId="4A522AEF" w:rsidR="00EB58BE" w:rsidRPr="00CF1CF9" w:rsidRDefault="00A82103" w:rsidP="000C5465">
      <w:pPr>
        <w:autoSpaceDE w:val="0"/>
        <w:autoSpaceDN w:val="0"/>
        <w:adjustRightInd w:val="0"/>
        <w:spacing w:line="480" w:lineRule="auto"/>
        <w:contextualSpacing/>
        <w:jc w:val="both"/>
        <w:rPr>
          <w:rStyle w:val="eop"/>
          <w:color w:val="000000" w:themeColor="text1"/>
        </w:rPr>
      </w:pPr>
      <w:r w:rsidRPr="00CF1CF9">
        <w:rPr>
          <w:rStyle w:val="eop"/>
          <w:color w:val="000000" w:themeColor="text1"/>
          <w:lang w:val="en-US"/>
        </w:rPr>
        <w:fldChar w:fldCharType="end"/>
      </w:r>
    </w:p>
    <w:p w14:paraId="675B7308" w14:textId="77777777" w:rsidR="00507950" w:rsidRPr="00CF1CF9" w:rsidRDefault="00507950" w:rsidP="00302D9E">
      <w:pPr>
        <w:spacing w:line="480" w:lineRule="auto"/>
        <w:contextualSpacing/>
        <w:mirrorIndents/>
        <w:jc w:val="both"/>
        <w:rPr>
          <w:color w:val="000000" w:themeColor="text1"/>
        </w:rPr>
      </w:pPr>
    </w:p>
    <w:sectPr w:rsidR="00507950" w:rsidRPr="00CF1CF9">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F97"/>
    <w:rsid w:val="000014DE"/>
    <w:rsid w:val="000C5465"/>
    <w:rsid w:val="000F2CFE"/>
    <w:rsid w:val="00141F33"/>
    <w:rsid w:val="001835CF"/>
    <w:rsid w:val="001C301D"/>
    <w:rsid w:val="002057B1"/>
    <w:rsid w:val="00267ACB"/>
    <w:rsid w:val="00302D9E"/>
    <w:rsid w:val="0034437C"/>
    <w:rsid w:val="003D7F97"/>
    <w:rsid w:val="00507950"/>
    <w:rsid w:val="005A3026"/>
    <w:rsid w:val="006046BC"/>
    <w:rsid w:val="00647808"/>
    <w:rsid w:val="00662B50"/>
    <w:rsid w:val="006F12B0"/>
    <w:rsid w:val="007C4276"/>
    <w:rsid w:val="007F5CE1"/>
    <w:rsid w:val="00816FC6"/>
    <w:rsid w:val="0084211E"/>
    <w:rsid w:val="008B2E69"/>
    <w:rsid w:val="009B4855"/>
    <w:rsid w:val="009F45FF"/>
    <w:rsid w:val="00A45C14"/>
    <w:rsid w:val="00A82103"/>
    <w:rsid w:val="00BB699D"/>
    <w:rsid w:val="00BF6899"/>
    <w:rsid w:val="00C37028"/>
    <w:rsid w:val="00CE3CE1"/>
    <w:rsid w:val="00CF1CF9"/>
    <w:rsid w:val="00D779B4"/>
    <w:rsid w:val="00DE429C"/>
    <w:rsid w:val="00E111E3"/>
    <w:rsid w:val="00EB58BE"/>
    <w:rsid w:val="00ED7134"/>
    <w:rsid w:val="00ED7919"/>
    <w:rsid w:val="00F01F69"/>
    <w:rsid w:val="00F17ADB"/>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D0243"/>
  <w15:chartTrackingRefBased/>
  <w15:docId w15:val="{069D81F8-A646-47FD-85AB-E223C4E29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D7F97"/>
    <w:pPr>
      <w:spacing w:after="0" w:line="240" w:lineRule="auto"/>
    </w:pPr>
    <w:rPr>
      <w:rFonts w:ascii="Times New Roman" w:eastAsia="Times New Roman" w:hAnsi="Times New Roman" w:cs="Times New Roman"/>
      <w:kern w:val="0"/>
      <w:lang w:eastAsia="it-IT"/>
      <w14:ligatures w14:val="none"/>
    </w:rPr>
  </w:style>
  <w:style w:type="paragraph" w:styleId="Titolo1">
    <w:name w:val="heading 1"/>
    <w:basedOn w:val="Normale"/>
    <w:next w:val="Normale"/>
    <w:link w:val="Titolo1Carattere"/>
    <w:uiPriority w:val="9"/>
    <w:qFormat/>
    <w:rsid w:val="003D7F97"/>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Titolo2">
    <w:name w:val="heading 2"/>
    <w:basedOn w:val="Normale"/>
    <w:next w:val="Normale"/>
    <w:link w:val="Titolo2Carattere"/>
    <w:uiPriority w:val="9"/>
    <w:semiHidden/>
    <w:unhideWhenUsed/>
    <w:qFormat/>
    <w:rsid w:val="003D7F97"/>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Titolo3">
    <w:name w:val="heading 3"/>
    <w:basedOn w:val="Normale"/>
    <w:next w:val="Normale"/>
    <w:link w:val="Titolo3Carattere"/>
    <w:uiPriority w:val="9"/>
    <w:semiHidden/>
    <w:unhideWhenUsed/>
    <w:qFormat/>
    <w:rsid w:val="003D7F97"/>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Titolo4">
    <w:name w:val="heading 4"/>
    <w:basedOn w:val="Normale"/>
    <w:next w:val="Normale"/>
    <w:link w:val="Titolo4Carattere"/>
    <w:uiPriority w:val="9"/>
    <w:semiHidden/>
    <w:unhideWhenUsed/>
    <w:qFormat/>
    <w:rsid w:val="003D7F97"/>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Titolo5">
    <w:name w:val="heading 5"/>
    <w:basedOn w:val="Normale"/>
    <w:next w:val="Normale"/>
    <w:link w:val="Titolo5Carattere"/>
    <w:uiPriority w:val="9"/>
    <w:semiHidden/>
    <w:unhideWhenUsed/>
    <w:qFormat/>
    <w:rsid w:val="003D7F97"/>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Titolo6">
    <w:name w:val="heading 6"/>
    <w:basedOn w:val="Normale"/>
    <w:next w:val="Normale"/>
    <w:link w:val="Titolo6Carattere"/>
    <w:uiPriority w:val="9"/>
    <w:semiHidden/>
    <w:unhideWhenUsed/>
    <w:qFormat/>
    <w:rsid w:val="003D7F97"/>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Titolo7">
    <w:name w:val="heading 7"/>
    <w:basedOn w:val="Normale"/>
    <w:next w:val="Normale"/>
    <w:link w:val="Titolo7Carattere"/>
    <w:uiPriority w:val="9"/>
    <w:semiHidden/>
    <w:unhideWhenUsed/>
    <w:qFormat/>
    <w:rsid w:val="003D7F97"/>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Titolo8">
    <w:name w:val="heading 8"/>
    <w:basedOn w:val="Normale"/>
    <w:next w:val="Normale"/>
    <w:link w:val="Titolo8Carattere"/>
    <w:uiPriority w:val="9"/>
    <w:semiHidden/>
    <w:unhideWhenUsed/>
    <w:qFormat/>
    <w:rsid w:val="003D7F97"/>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Titolo9">
    <w:name w:val="heading 9"/>
    <w:basedOn w:val="Normale"/>
    <w:next w:val="Normale"/>
    <w:link w:val="Titolo9Carattere"/>
    <w:uiPriority w:val="9"/>
    <w:semiHidden/>
    <w:unhideWhenUsed/>
    <w:qFormat/>
    <w:rsid w:val="003D7F97"/>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3D7F97"/>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3D7F97"/>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3D7F97"/>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3D7F97"/>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3D7F97"/>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3D7F97"/>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3D7F97"/>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3D7F97"/>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3D7F97"/>
    <w:rPr>
      <w:rFonts w:eastAsiaTheme="majorEastAsia" w:cstheme="majorBidi"/>
      <w:color w:val="272727" w:themeColor="text1" w:themeTint="D8"/>
    </w:rPr>
  </w:style>
  <w:style w:type="paragraph" w:styleId="Titolo">
    <w:name w:val="Title"/>
    <w:basedOn w:val="Normale"/>
    <w:next w:val="Normale"/>
    <w:link w:val="TitoloCarattere"/>
    <w:uiPriority w:val="10"/>
    <w:qFormat/>
    <w:rsid w:val="003D7F97"/>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oloCarattere">
    <w:name w:val="Titolo Carattere"/>
    <w:basedOn w:val="Carpredefinitoparagrafo"/>
    <w:link w:val="Titolo"/>
    <w:uiPriority w:val="10"/>
    <w:rsid w:val="003D7F97"/>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3D7F97"/>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ottotitoloCarattere">
    <w:name w:val="Sottotitolo Carattere"/>
    <w:basedOn w:val="Carpredefinitoparagrafo"/>
    <w:link w:val="Sottotitolo"/>
    <w:uiPriority w:val="11"/>
    <w:rsid w:val="003D7F97"/>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3D7F97"/>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CitazioneCarattere">
    <w:name w:val="Citazione Carattere"/>
    <w:basedOn w:val="Carpredefinitoparagrafo"/>
    <w:link w:val="Citazione"/>
    <w:uiPriority w:val="29"/>
    <w:rsid w:val="003D7F97"/>
    <w:rPr>
      <w:i/>
      <w:iCs/>
      <w:color w:val="404040" w:themeColor="text1" w:themeTint="BF"/>
    </w:rPr>
  </w:style>
  <w:style w:type="paragraph" w:styleId="Paragrafoelenco">
    <w:name w:val="List Paragraph"/>
    <w:basedOn w:val="Normale"/>
    <w:uiPriority w:val="34"/>
    <w:qFormat/>
    <w:rsid w:val="003D7F97"/>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Enfasiintensa">
    <w:name w:val="Intense Emphasis"/>
    <w:basedOn w:val="Carpredefinitoparagrafo"/>
    <w:uiPriority w:val="21"/>
    <w:qFormat/>
    <w:rsid w:val="003D7F97"/>
    <w:rPr>
      <w:i/>
      <w:iCs/>
      <w:color w:val="0F4761" w:themeColor="accent1" w:themeShade="BF"/>
    </w:rPr>
  </w:style>
  <w:style w:type="paragraph" w:styleId="Citazioneintensa">
    <w:name w:val="Intense Quote"/>
    <w:basedOn w:val="Normale"/>
    <w:next w:val="Normale"/>
    <w:link w:val="CitazioneintensaCarattere"/>
    <w:uiPriority w:val="30"/>
    <w:qFormat/>
    <w:rsid w:val="003D7F97"/>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CitazioneintensaCarattere">
    <w:name w:val="Citazione intensa Carattere"/>
    <w:basedOn w:val="Carpredefinitoparagrafo"/>
    <w:link w:val="Citazioneintensa"/>
    <w:uiPriority w:val="30"/>
    <w:rsid w:val="003D7F97"/>
    <w:rPr>
      <w:i/>
      <w:iCs/>
      <w:color w:val="0F4761" w:themeColor="accent1" w:themeShade="BF"/>
    </w:rPr>
  </w:style>
  <w:style w:type="character" w:styleId="Riferimentointenso">
    <w:name w:val="Intense Reference"/>
    <w:basedOn w:val="Carpredefinitoparagrafo"/>
    <w:uiPriority w:val="32"/>
    <w:qFormat/>
    <w:rsid w:val="003D7F97"/>
    <w:rPr>
      <w:b/>
      <w:bCs/>
      <w:smallCaps/>
      <w:color w:val="0F4761" w:themeColor="accent1" w:themeShade="BF"/>
      <w:spacing w:val="5"/>
    </w:rPr>
  </w:style>
  <w:style w:type="character" w:customStyle="1" w:styleId="eop">
    <w:name w:val="eop"/>
    <w:basedOn w:val="Carpredefinitoparagrafo"/>
    <w:rsid w:val="003D7F97"/>
  </w:style>
  <w:style w:type="character" w:styleId="Rimandocommento">
    <w:name w:val="annotation reference"/>
    <w:basedOn w:val="Carpredefinitoparagrafo"/>
    <w:uiPriority w:val="99"/>
    <w:semiHidden/>
    <w:unhideWhenUsed/>
    <w:rsid w:val="00507950"/>
    <w:rPr>
      <w:sz w:val="16"/>
      <w:szCs w:val="16"/>
    </w:rPr>
  </w:style>
  <w:style w:type="paragraph" w:styleId="Testocommento">
    <w:name w:val="annotation text"/>
    <w:basedOn w:val="Normale"/>
    <w:link w:val="TestocommentoCarattere"/>
    <w:uiPriority w:val="99"/>
    <w:unhideWhenUsed/>
    <w:rsid w:val="00507950"/>
    <w:rPr>
      <w:sz w:val="20"/>
      <w:szCs w:val="20"/>
    </w:rPr>
  </w:style>
  <w:style w:type="character" w:customStyle="1" w:styleId="TestocommentoCarattere">
    <w:name w:val="Testo commento Carattere"/>
    <w:basedOn w:val="Carpredefinitoparagrafo"/>
    <w:link w:val="Testocommento"/>
    <w:uiPriority w:val="99"/>
    <w:rsid w:val="00507950"/>
    <w:rPr>
      <w:rFonts w:ascii="Times New Roman" w:eastAsia="Times New Roman" w:hAnsi="Times New Roman" w:cs="Times New Roman"/>
      <w:kern w:val="0"/>
      <w:sz w:val="20"/>
      <w:szCs w:val="20"/>
      <w:lang w:eastAsia="it-IT"/>
      <w14:ligatures w14:val="none"/>
    </w:rPr>
  </w:style>
  <w:style w:type="paragraph" w:styleId="Soggettocommento">
    <w:name w:val="annotation subject"/>
    <w:basedOn w:val="Testocommento"/>
    <w:next w:val="Testocommento"/>
    <w:link w:val="SoggettocommentoCarattere"/>
    <w:uiPriority w:val="99"/>
    <w:semiHidden/>
    <w:unhideWhenUsed/>
    <w:rsid w:val="00507950"/>
    <w:rPr>
      <w:b/>
      <w:bCs/>
    </w:rPr>
  </w:style>
  <w:style w:type="character" w:customStyle="1" w:styleId="SoggettocommentoCarattere">
    <w:name w:val="Soggetto commento Carattere"/>
    <w:basedOn w:val="TestocommentoCarattere"/>
    <w:link w:val="Soggettocommento"/>
    <w:uiPriority w:val="99"/>
    <w:semiHidden/>
    <w:rsid w:val="00507950"/>
    <w:rPr>
      <w:rFonts w:ascii="Times New Roman" w:eastAsia="Times New Roman" w:hAnsi="Times New Roman" w:cs="Times New Roman"/>
      <w:b/>
      <w:bCs/>
      <w:kern w:val="0"/>
      <w:sz w:val="20"/>
      <w:szCs w:val="20"/>
      <w:lang w:eastAsia="it-IT"/>
      <w14:ligatures w14:val="none"/>
    </w:rPr>
  </w:style>
  <w:style w:type="paragraph" w:styleId="Testofumetto">
    <w:name w:val="Balloon Text"/>
    <w:basedOn w:val="Normale"/>
    <w:link w:val="TestofumettoCarattere"/>
    <w:uiPriority w:val="99"/>
    <w:semiHidden/>
    <w:unhideWhenUsed/>
    <w:rsid w:val="00CE3CE1"/>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CE3CE1"/>
    <w:rPr>
      <w:rFonts w:ascii="Segoe UI" w:eastAsia="Times New Roman" w:hAnsi="Segoe UI" w:cs="Segoe UI"/>
      <w:kern w:val="0"/>
      <w:sz w:val="18"/>
      <w:szCs w:val="18"/>
      <w:lang w:eastAsia="it-IT"/>
      <w14:ligatures w14:val="none"/>
    </w:rPr>
  </w:style>
  <w:style w:type="paragraph" w:customStyle="1" w:styleId="Default">
    <w:name w:val="Default"/>
    <w:rsid w:val="00CE3CE1"/>
    <w:pPr>
      <w:autoSpaceDE w:val="0"/>
      <w:autoSpaceDN w:val="0"/>
      <w:adjustRightInd w:val="0"/>
      <w:spacing w:after="0" w:line="240" w:lineRule="auto"/>
    </w:pPr>
    <w:rPr>
      <w:rFonts w:ascii="Calibri" w:eastAsia="Calibri" w:hAnsi="Calibri" w:cs="Calibri"/>
      <w:color w:val="000000"/>
      <w:kern w:val="0"/>
      <w:lang w:val="en-US"/>
      <w14:ligatures w14:val="none"/>
    </w:rPr>
  </w:style>
  <w:style w:type="paragraph" w:styleId="Bibliografia">
    <w:name w:val="Bibliography"/>
    <w:basedOn w:val="Normale"/>
    <w:next w:val="Normale"/>
    <w:uiPriority w:val="37"/>
    <w:unhideWhenUsed/>
    <w:rsid w:val="00A82103"/>
    <w:pPr>
      <w:tabs>
        <w:tab w:val="left" w:pos="384"/>
      </w:tabs>
      <w:spacing w:after="240"/>
      <w:ind w:left="384" w:hanging="3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9107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24D8BA-E6DA-41C6-BEE0-68C0A53415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10003</Words>
  <Characters>57023</Characters>
  <Application>Microsoft Office Word</Application>
  <DocSecurity>0</DocSecurity>
  <Lines>475</Lines>
  <Paragraphs>133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66893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Elias Casula</dc:creator>
  <cp:keywords/>
  <dc:description/>
  <cp:lastModifiedBy>Giacomo Koch</cp:lastModifiedBy>
  <cp:revision>2</cp:revision>
  <dcterms:created xsi:type="dcterms:W3CDTF">2025-01-23T17:30:00Z</dcterms:created>
  <dcterms:modified xsi:type="dcterms:W3CDTF">2025-01-23T17:30:00Z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id="4O7qyJk2"/&gt;&lt;style id="http://www.zotero.org/styles/vancouver" locale="it-IT" hasBibliography="1" bibliographyStyleHasBeenSet="1"/&gt;&lt;prefs&gt;&lt;pref name="fieldType" value="Field"/&gt;&lt;/prefs&gt;&lt;/data&gt;</vt:lpwstr>
  </property>
</Properties>
</file>