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8A09" w14:textId="77777777" w:rsidR="00672061" w:rsidRDefault="00672061"/>
    <w:p w14:paraId="6E2D2A2E" w14:textId="77777777" w:rsidR="00DF6768" w:rsidRDefault="00DF6768" w:rsidP="00DF6768">
      <w:pPr>
        <w:spacing w:line="480" w:lineRule="auto"/>
        <w:jc w:val="center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>Supplementary Materials</w:t>
      </w:r>
    </w:p>
    <w:p w14:paraId="3C61B0BE" w14:textId="77777777" w:rsidR="00DF6768" w:rsidRDefault="00DF6768"/>
    <w:tbl>
      <w:tblPr>
        <w:tblW w:w="0" w:type="auto"/>
        <w:tblInd w:w="9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118"/>
        <w:gridCol w:w="896"/>
        <w:gridCol w:w="1486"/>
        <w:gridCol w:w="1675"/>
        <w:gridCol w:w="896"/>
        <w:gridCol w:w="934"/>
        <w:gridCol w:w="1351"/>
        <w:gridCol w:w="1319"/>
      </w:tblGrid>
      <w:tr w:rsidR="00DF6768" w14:paraId="4EADE834" w14:textId="77777777" w:rsidTr="00C2031F">
        <w:trPr>
          <w:trHeight w:val="312"/>
        </w:trPr>
        <w:tc>
          <w:tcPr>
            <w:tcW w:w="0" w:type="auto"/>
            <w:gridSpan w:val="8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9460801" w14:textId="141D8764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Table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 xml:space="preserve"> S1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 Associations between plasma amyloid markers and WMH characteristics</w:t>
            </w:r>
          </w:p>
        </w:tc>
      </w:tr>
      <w:tr w:rsidR="00DF6768" w14:paraId="439A41B4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B1E491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553BD89D" w14:textId="77777777" w:rsidTr="00C2031F">
        <w:trPr>
          <w:trHeight w:val="312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FD7649F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A. Associations with WMH Susceptibility</w:t>
            </w:r>
          </w:p>
        </w:tc>
      </w:tr>
      <w:tr w:rsidR="00DF6768" w14:paraId="22923E99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F1E95B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1E18FB71" w14:textId="77777777" w:rsidTr="00C2031F">
        <w:trPr>
          <w:trHeight w:val="84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7834D8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Plasma fields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902454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CE6689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Standard Error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405C33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Standardized β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E1E06D6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F938AD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4002548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95% CI Lower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A30C3B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95% CI Upper</w:t>
            </w:r>
          </w:p>
        </w:tc>
      </w:tr>
      <w:tr w:rsidR="00DF6768" w14:paraId="066546B6" w14:textId="77777777" w:rsidTr="00C2031F">
        <w:trPr>
          <w:trHeight w:val="56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72E6E2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Aβ42/40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1034DC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1.719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C89DB6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571506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CE7314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2.068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218F52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0.040*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841A74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F78990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3.357</w:t>
            </w:r>
          </w:p>
        </w:tc>
      </w:tr>
      <w:tr w:rsidR="00DF6768" w14:paraId="655ABC4F" w14:textId="77777777" w:rsidTr="00C2031F">
        <w:trPr>
          <w:trHeight w:val="280"/>
        </w:trPr>
        <w:tc>
          <w:tcPr>
            <w:tcW w:w="0" w:type="auto"/>
            <w:shd w:val="clear" w:color="auto" w:fill="auto"/>
            <w:vAlign w:val="center"/>
          </w:tcPr>
          <w:p w14:paraId="76566F15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Aβ40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F076F5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-1.074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0786F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915A9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F0DE57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-1.319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8EA9D1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15744C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-2.679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1B3205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0.530</w:t>
            </w:r>
          </w:p>
        </w:tc>
      </w:tr>
      <w:tr w:rsidR="00DF6768" w14:paraId="747BDCED" w14:textId="77777777" w:rsidTr="00C2031F">
        <w:trPr>
          <w:trHeight w:val="28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F72260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Aβ42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EEAA7E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F9A03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9430D7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0.091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229A72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1.431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BE84D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5B8021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-0.471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4F47A1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2.974</w:t>
            </w:r>
          </w:p>
        </w:tc>
      </w:tr>
      <w:tr w:rsidR="00DF6768" w14:paraId="3A01CB76" w14:textId="77777777" w:rsidTr="00C2031F">
        <w:trPr>
          <w:trHeight w:val="312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ED77073" w14:textId="77777777" w:rsidR="00DF6768" w:rsidRDefault="00DF6768" w:rsidP="00C2031F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B. Associations with WMH Volume (normalized to ICV)</w:t>
            </w:r>
          </w:p>
        </w:tc>
      </w:tr>
      <w:tr w:rsidR="00DF6768" w14:paraId="50749F66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E745FB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26CB499B" w14:textId="77777777" w:rsidTr="00C2031F">
        <w:trPr>
          <w:trHeight w:val="84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513F794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Plasma fields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0DB559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AF2BCDF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Standard Error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D4490ED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Standardized β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A78ACBD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87A3ED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8A8B00F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95% CI Lower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771E1E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95% CI Upper</w:t>
            </w:r>
          </w:p>
        </w:tc>
      </w:tr>
      <w:tr w:rsidR="00DF6768" w14:paraId="70F9FFE5" w14:textId="77777777" w:rsidTr="00C2031F">
        <w:trPr>
          <w:trHeight w:val="56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D37794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Aβ42/40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9F526A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-0.202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298AB1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0.194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BA8E81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-0.066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F9BB6A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-1.041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978F1A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0.299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5997C2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-0.583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1FD9F9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0.180</w:t>
            </w:r>
          </w:p>
        </w:tc>
      </w:tr>
      <w:tr w:rsidR="00DF6768" w14:paraId="60AA91BF" w14:textId="77777777" w:rsidTr="00C2031F">
        <w:trPr>
          <w:trHeight w:val="280"/>
        </w:trPr>
        <w:tc>
          <w:tcPr>
            <w:tcW w:w="0" w:type="auto"/>
            <w:shd w:val="clear" w:color="auto" w:fill="auto"/>
            <w:vAlign w:val="center"/>
          </w:tcPr>
          <w:p w14:paraId="41DAD73F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Aβ40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06AD3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8ED972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38DE7B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BBD619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14682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AE9BA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-0.386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757231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0.358</w:t>
            </w:r>
          </w:p>
        </w:tc>
      </w:tr>
      <w:tr w:rsidR="00DF6768" w14:paraId="2624E568" w14:textId="77777777" w:rsidTr="00C2031F">
        <w:trPr>
          <w:trHeight w:val="28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A64553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Aβ42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E3B13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-0.325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ED0B0A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D4EE1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-0.104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7FC2F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-1.626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726706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723C0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-0.719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35D08" w14:textId="77777777" w:rsidR="00DF6768" w:rsidRDefault="00DF6768" w:rsidP="00C203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0.069</w:t>
            </w:r>
          </w:p>
        </w:tc>
      </w:tr>
      <w:tr w:rsidR="00DF6768" w14:paraId="368BD5FD" w14:textId="77777777" w:rsidTr="00C2031F">
        <w:trPr>
          <w:trHeight w:val="467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011A627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Models were adjusted for age, gender, educational level, diabetes, and hypertension.</w:t>
            </w:r>
            <w:r>
              <w:rPr>
                <w:rFonts w:ascii="Times New Roman" w:hAnsi="Times New Roman" w:cs="Times New Roman"/>
                <w:sz w:val="24"/>
              </w:rPr>
              <w:br/>
              <w:t>*P &lt; 0.05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Abbreviations: WMH = white matter hyperintensity; ICV = intracranial volume; CI = confidence interval; Aβ = amyloid beta; </w:t>
            </w:r>
          </w:p>
          <w:p w14:paraId="1E91BBC7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545C1B4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631C14F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60EAA10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C93C66A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33E41D4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6F7DD4C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045E2B5C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C0D2AE7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0B9BBFA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B359C73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F03D822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4BC578F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13D5C8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5877FF6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CBF0896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45E47D0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7A72A4A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71DC272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DD1F04B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D4E7388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9BB7E00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583F83A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56D0EBE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71B6C60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4FF8440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2526912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36E9D9F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071AECCE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7C1DE35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87A8B37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D34B880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6AB17FC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06DE611A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W w:w="5000" w:type="pct"/>
              <w:tblBorders>
                <w:top w:val="single" w:sz="12" w:space="0" w:color="auto"/>
                <w:bottom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2527"/>
              <w:gridCol w:w="1622"/>
              <w:gridCol w:w="1167"/>
              <w:gridCol w:w="1171"/>
              <w:gridCol w:w="1622"/>
              <w:gridCol w:w="1166"/>
              <w:gridCol w:w="1184"/>
            </w:tblGrid>
            <w:tr w:rsidR="00DF6768" w14:paraId="568EA0F5" w14:textId="77777777" w:rsidTr="00C2031F">
              <w:trPr>
                <w:trHeight w:val="312"/>
              </w:trPr>
              <w:tc>
                <w:tcPr>
                  <w:tcW w:w="5000" w:type="pct"/>
                  <w:gridSpan w:val="7"/>
                  <w:vMerge w:val="restart"/>
                  <w:tcBorders>
                    <w:top w:val="single" w:sz="12" w:space="0" w:color="auto"/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C3FCC55" w14:textId="77777777" w:rsidR="00DF6768" w:rsidRDefault="00DF6768" w:rsidP="00DF676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 xml:space="preserve">Table </w:t>
                  </w:r>
                  <w:r>
                    <w:rPr>
                      <w:rFonts w:ascii="Times New Roman" w:hAnsi="Times New Roman" w:cs="Times New Roman" w:hint="eastAsia"/>
                      <w:b/>
                      <w:bCs/>
                      <w:sz w:val="24"/>
                    </w:rPr>
                    <w:t>S2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. Association between choroid plexus volume and white matter hyperintensity characteristics before and after adjustment for cardiovascular risk factors</w:t>
                  </w:r>
                </w:p>
              </w:tc>
            </w:tr>
            <w:tr w:rsidR="00DF6768" w14:paraId="7DE8AF41" w14:textId="77777777" w:rsidTr="00C2031F">
              <w:trPr>
                <w:trHeight w:val="312"/>
              </w:trPr>
              <w:tc>
                <w:tcPr>
                  <w:tcW w:w="5000" w:type="pct"/>
                  <w:gridSpan w:val="7"/>
                  <w:vMerge/>
                  <w:tcBorders>
                    <w:top w:val="nil"/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8C1CD2B" w14:textId="77777777" w:rsidR="00DF6768" w:rsidRDefault="00DF6768" w:rsidP="00DF6768">
                  <w:pPr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DF6768" w14:paraId="06A08181" w14:textId="77777777" w:rsidTr="00C2031F">
              <w:trPr>
                <w:trHeight w:val="280"/>
              </w:trPr>
              <w:tc>
                <w:tcPr>
                  <w:tcW w:w="1239" w:type="pct"/>
                  <w:vMerge w:val="restart"/>
                  <w:tcBorders>
                    <w:top w:val="single" w:sz="8" w:space="0" w:color="auto"/>
                    <w:bottom w:val="nil"/>
                  </w:tcBorders>
                  <w:shd w:val="clear" w:color="auto" w:fill="auto"/>
                  <w:vAlign w:val="center"/>
                </w:tcPr>
                <w:p w14:paraId="62983923" w14:textId="77777777" w:rsidR="00DF6768" w:rsidRDefault="00DF6768" w:rsidP="00DF676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Outcome</w:t>
                  </w:r>
                </w:p>
              </w:tc>
              <w:tc>
                <w:tcPr>
                  <w:tcW w:w="1877" w:type="pct"/>
                  <w:gridSpan w:val="3"/>
                  <w:tcBorders>
                    <w:top w:val="single" w:sz="8" w:space="0" w:color="auto"/>
                    <w:bottom w:val="nil"/>
                  </w:tcBorders>
                  <w:shd w:val="clear" w:color="auto" w:fill="auto"/>
                  <w:vAlign w:val="center"/>
                </w:tcPr>
                <w:p w14:paraId="04D4DC8B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Model 1</w:t>
                  </w:r>
                </w:p>
              </w:tc>
              <w:tc>
                <w:tcPr>
                  <w:tcW w:w="1883" w:type="pct"/>
                  <w:gridSpan w:val="3"/>
                  <w:tcBorders>
                    <w:top w:val="single" w:sz="8" w:space="0" w:color="auto"/>
                    <w:bottom w:val="nil"/>
                  </w:tcBorders>
                  <w:shd w:val="clear" w:color="auto" w:fill="auto"/>
                  <w:vAlign w:val="center"/>
                </w:tcPr>
                <w:p w14:paraId="751D7864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Model 2</w:t>
                  </w:r>
                </w:p>
              </w:tc>
            </w:tr>
            <w:tr w:rsidR="00DF6768" w14:paraId="50869A4E" w14:textId="77777777" w:rsidTr="00C2031F">
              <w:trPr>
                <w:trHeight w:val="560"/>
              </w:trPr>
              <w:tc>
                <w:tcPr>
                  <w:tcW w:w="1239" w:type="pct"/>
                  <w:vMerge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94D800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779" w:type="pct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2F634D" w14:textId="77777777" w:rsidR="00DF6768" w:rsidRDefault="00DF6768" w:rsidP="00DF6768">
                  <w:pPr>
                    <w:widowControl/>
                    <w:jc w:val="center"/>
                    <w:textAlignment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β</w:t>
                  </w:r>
                </w:p>
              </w:tc>
              <w:tc>
                <w:tcPr>
                  <w:tcW w:w="548" w:type="pct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00138A5" w14:textId="77777777" w:rsidR="00DF6768" w:rsidRDefault="00DF6768" w:rsidP="00DF6768">
                  <w:pPr>
                    <w:widowControl/>
                    <w:jc w:val="center"/>
                    <w:textAlignment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t </w:t>
                  </w:r>
                </w:p>
              </w:tc>
              <w:tc>
                <w:tcPr>
                  <w:tcW w:w="549" w:type="pct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E6EA35" w14:textId="77777777" w:rsidR="00DF6768" w:rsidRDefault="00DF6768" w:rsidP="00DF6768">
                  <w:pPr>
                    <w:widowControl/>
                    <w:jc w:val="center"/>
                    <w:textAlignment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P </w:t>
                  </w:r>
                </w:p>
              </w:tc>
              <w:tc>
                <w:tcPr>
                  <w:tcW w:w="779" w:type="pct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AB3CC0C" w14:textId="77777777" w:rsidR="00DF6768" w:rsidRDefault="00DF6768" w:rsidP="00DF6768">
                  <w:pPr>
                    <w:widowControl/>
                    <w:jc w:val="center"/>
                    <w:textAlignment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β</w:t>
                  </w:r>
                </w:p>
              </w:tc>
              <w:tc>
                <w:tcPr>
                  <w:tcW w:w="548" w:type="pct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EA7A533" w14:textId="77777777" w:rsidR="00DF6768" w:rsidRDefault="00DF6768" w:rsidP="00DF6768">
                  <w:pPr>
                    <w:widowControl/>
                    <w:jc w:val="center"/>
                    <w:textAlignment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t </w:t>
                  </w:r>
                </w:p>
              </w:tc>
              <w:tc>
                <w:tcPr>
                  <w:tcW w:w="555" w:type="pct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0798241" w14:textId="77777777" w:rsidR="00DF6768" w:rsidRDefault="00DF6768" w:rsidP="00DF6768">
                  <w:pPr>
                    <w:widowControl/>
                    <w:jc w:val="center"/>
                    <w:textAlignment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P </w:t>
                  </w:r>
                </w:p>
              </w:tc>
            </w:tr>
            <w:tr w:rsidR="00DF6768" w14:paraId="176D40E4" w14:textId="77777777" w:rsidTr="00C2031F">
              <w:trPr>
                <w:trHeight w:val="280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6DA7FFF" w14:textId="77777777" w:rsidR="00DF6768" w:rsidRDefault="00DF6768" w:rsidP="00DF6768">
                  <w:pPr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Cross-sectional analysis</w:t>
                  </w:r>
                </w:p>
              </w:tc>
            </w:tr>
            <w:tr w:rsidR="00DF6768" w14:paraId="6FCC2BDA" w14:textId="77777777" w:rsidTr="00C2031F">
              <w:trPr>
                <w:trHeight w:val="840"/>
              </w:trPr>
              <w:tc>
                <w:tcPr>
                  <w:tcW w:w="1239" w:type="pct"/>
                  <w:shd w:val="clear" w:color="auto" w:fill="auto"/>
                  <w:vAlign w:val="center"/>
                </w:tcPr>
                <w:p w14:paraId="555F29D8" w14:textId="77777777" w:rsidR="00DF6768" w:rsidRDefault="00DF6768" w:rsidP="00DF676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WMH volume</w:t>
                  </w:r>
                </w:p>
              </w:tc>
              <w:tc>
                <w:tcPr>
                  <w:tcW w:w="779" w:type="pct"/>
                  <w:shd w:val="clear" w:color="auto" w:fill="auto"/>
                  <w:vAlign w:val="center"/>
                </w:tcPr>
                <w:p w14:paraId="3ED51418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0.191</w:t>
                  </w:r>
                </w:p>
              </w:tc>
              <w:tc>
                <w:tcPr>
                  <w:tcW w:w="548" w:type="pct"/>
                  <w:shd w:val="clear" w:color="auto" w:fill="auto"/>
                  <w:vAlign w:val="center"/>
                </w:tcPr>
                <w:p w14:paraId="0F70A148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2.57</w:t>
                  </w:r>
                </w:p>
              </w:tc>
              <w:tc>
                <w:tcPr>
                  <w:tcW w:w="549" w:type="pct"/>
                  <w:shd w:val="clear" w:color="auto" w:fill="auto"/>
                  <w:vAlign w:val="center"/>
                </w:tcPr>
                <w:p w14:paraId="6EE80259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0.011</w:t>
                  </w:r>
                </w:p>
              </w:tc>
              <w:tc>
                <w:tcPr>
                  <w:tcW w:w="779" w:type="pct"/>
                  <w:shd w:val="clear" w:color="auto" w:fill="auto"/>
                  <w:vAlign w:val="center"/>
                </w:tcPr>
                <w:p w14:paraId="55AEFD34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0.163</w:t>
                  </w:r>
                </w:p>
              </w:tc>
              <w:tc>
                <w:tcPr>
                  <w:tcW w:w="548" w:type="pct"/>
                  <w:shd w:val="clear" w:color="auto" w:fill="auto"/>
                  <w:vAlign w:val="center"/>
                </w:tcPr>
                <w:p w14:paraId="35348AE2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2.3</w:t>
                  </w:r>
                </w:p>
              </w:tc>
              <w:tc>
                <w:tcPr>
                  <w:tcW w:w="555" w:type="pct"/>
                  <w:shd w:val="clear" w:color="auto" w:fill="auto"/>
                  <w:vAlign w:val="center"/>
                </w:tcPr>
                <w:p w14:paraId="3BC0D585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0.022</w:t>
                  </w:r>
                </w:p>
              </w:tc>
            </w:tr>
            <w:tr w:rsidR="00DF6768" w14:paraId="0A4C379D" w14:textId="77777777" w:rsidTr="00C2031F">
              <w:trPr>
                <w:trHeight w:val="840"/>
              </w:trPr>
              <w:tc>
                <w:tcPr>
                  <w:tcW w:w="1239" w:type="pct"/>
                  <w:shd w:val="clear" w:color="auto" w:fill="auto"/>
                  <w:vAlign w:val="center"/>
                </w:tcPr>
                <w:p w14:paraId="06BB308D" w14:textId="77777777" w:rsidR="00DF6768" w:rsidRDefault="00DF6768" w:rsidP="00DF676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WMH susceptibility</w:t>
                  </w:r>
                </w:p>
              </w:tc>
              <w:tc>
                <w:tcPr>
                  <w:tcW w:w="779" w:type="pct"/>
                  <w:shd w:val="clear" w:color="auto" w:fill="auto"/>
                  <w:vAlign w:val="center"/>
                </w:tcPr>
                <w:p w14:paraId="5642497E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-0.192</w:t>
                  </w:r>
                </w:p>
              </w:tc>
              <w:tc>
                <w:tcPr>
                  <w:tcW w:w="548" w:type="pct"/>
                  <w:shd w:val="clear" w:color="auto" w:fill="auto"/>
                  <w:vAlign w:val="center"/>
                </w:tcPr>
                <w:p w14:paraId="480A506C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-2.54</w:t>
                  </w:r>
                </w:p>
              </w:tc>
              <w:tc>
                <w:tcPr>
                  <w:tcW w:w="549" w:type="pct"/>
                  <w:shd w:val="clear" w:color="auto" w:fill="auto"/>
                  <w:vAlign w:val="center"/>
                </w:tcPr>
                <w:p w14:paraId="4EBC1D6B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0.012</w:t>
                  </w:r>
                </w:p>
              </w:tc>
              <w:tc>
                <w:tcPr>
                  <w:tcW w:w="779" w:type="pct"/>
                  <w:shd w:val="clear" w:color="auto" w:fill="auto"/>
                  <w:vAlign w:val="center"/>
                </w:tcPr>
                <w:p w14:paraId="21C17813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-0.215</w:t>
                  </w:r>
                </w:p>
              </w:tc>
              <w:tc>
                <w:tcPr>
                  <w:tcW w:w="548" w:type="pct"/>
                  <w:shd w:val="clear" w:color="auto" w:fill="auto"/>
                  <w:vAlign w:val="center"/>
                </w:tcPr>
                <w:p w14:paraId="16284174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-2.78</w:t>
                  </w:r>
                </w:p>
              </w:tc>
              <w:tc>
                <w:tcPr>
                  <w:tcW w:w="555" w:type="pct"/>
                  <w:shd w:val="clear" w:color="auto" w:fill="auto"/>
                  <w:vAlign w:val="center"/>
                </w:tcPr>
                <w:p w14:paraId="2163BCBC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0.006</w:t>
                  </w:r>
                </w:p>
              </w:tc>
            </w:tr>
            <w:tr w:rsidR="00DF6768" w14:paraId="3E23740F" w14:textId="77777777" w:rsidTr="00C2031F">
              <w:trPr>
                <w:trHeight w:val="280"/>
              </w:trPr>
              <w:tc>
                <w:tcPr>
                  <w:tcW w:w="5000" w:type="pct"/>
                  <w:gridSpan w:val="7"/>
                  <w:shd w:val="clear" w:color="auto" w:fill="auto"/>
                  <w:vAlign w:val="center"/>
                </w:tcPr>
                <w:p w14:paraId="28FE482B" w14:textId="77777777" w:rsidR="00DF6768" w:rsidRDefault="00DF6768" w:rsidP="00DF6768">
                  <w:pPr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Longitudinal analysis</w:t>
                  </w:r>
                </w:p>
              </w:tc>
            </w:tr>
            <w:tr w:rsidR="00DF6768" w14:paraId="651562FF" w14:textId="77777777" w:rsidTr="00C2031F">
              <w:trPr>
                <w:trHeight w:val="840"/>
              </w:trPr>
              <w:tc>
                <w:tcPr>
                  <w:tcW w:w="1239" w:type="pct"/>
                  <w:shd w:val="clear" w:color="auto" w:fill="auto"/>
                  <w:vAlign w:val="center"/>
                </w:tcPr>
                <w:p w14:paraId="71284680" w14:textId="77777777" w:rsidR="00DF6768" w:rsidRDefault="00DF6768" w:rsidP="00DF676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WMH volume </w:t>
                  </w:r>
                </w:p>
              </w:tc>
              <w:tc>
                <w:tcPr>
                  <w:tcW w:w="779" w:type="pct"/>
                  <w:shd w:val="clear" w:color="auto" w:fill="auto"/>
                  <w:vAlign w:val="center"/>
                </w:tcPr>
                <w:p w14:paraId="3125A1A6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0.025</w:t>
                  </w:r>
                </w:p>
              </w:tc>
              <w:tc>
                <w:tcPr>
                  <w:tcW w:w="548" w:type="pct"/>
                  <w:shd w:val="clear" w:color="auto" w:fill="auto"/>
                  <w:vAlign w:val="center"/>
                </w:tcPr>
                <w:p w14:paraId="0BB72E9B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0.08</w:t>
                  </w:r>
                </w:p>
              </w:tc>
              <w:tc>
                <w:tcPr>
                  <w:tcW w:w="549" w:type="pct"/>
                  <w:shd w:val="clear" w:color="auto" w:fill="auto"/>
                  <w:vAlign w:val="center"/>
                </w:tcPr>
                <w:p w14:paraId="0D83A6DC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0.936</w:t>
                  </w:r>
                </w:p>
              </w:tc>
              <w:tc>
                <w:tcPr>
                  <w:tcW w:w="779" w:type="pct"/>
                  <w:shd w:val="clear" w:color="auto" w:fill="auto"/>
                  <w:vAlign w:val="center"/>
                </w:tcPr>
                <w:p w14:paraId="0EA50264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0.021</w:t>
                  </w:r>
                </w:p>
              </w:tc>
              <w:tc>
                <w:tcPr>
                  <w:tcW w:w="548" w:type="pct"/>
                  <w:shd w:val="clear" w:color="auto" w:fill="auto"/>
                  <w:vAlign w:val="center"/>
                </w:tcPr>
                <w:p w14:paraId="6B598035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0.07</w:t>
                  </w:r>
                </w:p>
              </w:tc>
              <w:tc>
                <w:tcPr>
                  <w:tcW w:w="555" w:type="pct"/>
                  <w:shd w:val="clear" w:color="auto" w:fill="auto"/>
                  <w:vAlign w:val="center"/>
                </w:tcPr>
                <w:p w14:paraId="63984ED6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0.93</w:t>
                  </w:r>
                </w:p>
              </w:tc>
            </w:tr>
            <w:tr w:rsidR="00DF6768" w14:paraId="2F84CC7F" w14:textId="77777777" w:rsidTr="00C2031F">
              <w:trPr>
                <w:trHeight w:val="1120"/>
              </w:trPr>
              <w:tc>
                <w:tcPr>
                  <w:tcW w:w="123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083C920" w14:textId="77777777" w:rsidR="00DF6768" w:rsidRDefault="00DF6768" w:rsidP="00DF676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WMH susceptibility </w:t>
                  </w:r>
                </w:p>
              </w:tc>
              <w:tc>
                <w:tcPr>
                  <w:tcW w:w="77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AC78719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-0.274</w:t>
                  </w:r>
                </w:p>
              </w:tc>
              <w:tc>
                <w:tcPr>
                  <w:tcW w:w="54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396A5F2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-2.19</w:t>
                  </w:r>
                </w:p>
              </w:tc>
              <w:tc>
                <w:tcPr>
                  <w:tcW w:w="54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5690E61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0.03</w:t>
                  </w:r>
                </w:p>
              </w:tc>
              <w:tc>
                <w:tcPr>
                  <w:tcW w:w="77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A59746F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-0.291</w:t>
                  </w:r>
                </w:p>
              </w:tc>
              <w:tc>
                <w:tcPr>
                  <w:tcW w:w="54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D48DF4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-2.27</w:t>
                  </w:r>
                </w:p>
              </w:tc>
              <w:tc>
                <w:tcPr>
                  <w:tcW w:w="55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56BC5C" w14:textId="77777777" w:rsidR="00DF6768" w:rsidRDefault="00DF6768" w:rsidP="00DF676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0.024</w:t>
                  </w:r>
                </w:p>
              </w:tc>
            </w:tr>
            <w:tr w:rsidR="00DF6768" w14:paraId="3C35F236" w14:textId="77777777" w:rsidTr="00C2031F">
              <w:trPr>
                <w:trHeight w:val="312"/>
              </w:trPr>
              <w:tc>
                <w:tcPr>
                  <w:tcW w:w="5000" w:type="pct"/>
                  <w:gridSpan w:val="7"/>
                  <w:vMerge w:val="restart"/>
                  <w:tcBorders>
                    <w:top w:val="single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14A5EB06" w14:textId="77777777" w:rsidR="00DF6768" w:rsidRDefault="00DF6768" w:rsidP="00DF6768">
                  <w:pPr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Model 1: Adjusted for age, sex, educational level, bilateral ventricular volume, and follow-up time (for longitudinal analysis).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br/>
                    <w:t>Model 2: Adjusted for age, sex, educational level, bilateral ventricular volume, follow-up time (for longitudinal analysis), hypertension, and diabetes.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br/>
                    <w:t>WMH = white matter hyperintensity.</w:t>
                  </w:r>
                </w:p>
              </w:tc>
            </w:tr>
            <w:tr w:rsidR="00DF6768" w14:paraId="36793E2F" w14:textId="77777777" w:rsidTr="00C2031F">
              <w:trPr>
                <w:trHeight w:val="312"/>
              </w:trPr>
              <w:tc>
                <w:tcPr>
                  <w:tcW w:w="5000" w:type="pct"/>
                  <w:gridSpan w:val="7"/>
                  <w:vMerge/>
                  <w:tcBorders>
                    <w:top w:val="nil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7C99E1D2" w14:textId="77777777" w:rsidR="00DF6768" w:rsidRDefault="00DF6768" w:rsidP="00DF6768">
                  <w:pP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F6768" w14:paraId="6E6A6DFD" w14:textId="77777777" w:rsidTr="00C2031F">
              <w:trPr>
                <w:trHeight w:val="312"/>
              </w:trPr>
              <w:tc>
                <w:tcPr>
                  <w:tcW w:w="5000" w:type="pct"/>
                  <w:gridSpan w:val="7"/>
                  <w:vMerge/>
                  <w:tcBorders>
                    <w:top w:val="nil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64536584" w14:textId="77777777" w:rsidR="00DF6768" w:rsidRDefault="00DF6768" w:rsidP="00DF6768">
                  <w:pP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F6768" w14:paraId="20BC93A6" w14:textId="77777777" w:rsidTr="00C2031F">
              <w:trPr>
                <w:trHeight w:val="312"/>
              </w:trPr>
              <w:tc>
                <w:tcPr>
                  <w:tcW w:w="5000" w:type="pct"/>
                  <w:gridSpan w:val="7"/>
                  <w:vMerge/>
                  <w:tcBorders>
                    <w:top w:val="nil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040A787A" w14:textId="77777777" w:rsidR="00DF6768" w:rsidRDefault="00DF6768" w:rsidP="00DF6768">
                  <w:pP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F6768" w14:paraId="27A96044" w14:textId="77777777" w:rsidTr="00C2031F">
              <w:trPr>
                <w:trHeight w:val="312"/>
              </w:trPr>
              <w:tc>
                <w:tcPr>
                  <w:tcW w:w="5000" w:type="pct"/>
                  <w:gridSpan w:val="7"/>
                  <w:vMerge/>
                  <w:tcBorders>
                    <w:top w:val="nil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7D790B09" w14:textId="77777777" w:rsidR="00DF6768" w:rsidRDefault="00DF6768" w:rsidP="00DF6768">
                  <w:pP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70819707" w14:textId="77777777" w:rsidR="00DF6768" w:rsidRDefault="00DF6768" w:rsidP="00DF676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7F1C3C7D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9D1ADC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15DB98AA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498E0E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52E2C4DD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7C62B0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0C036EE2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A744B3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F6768" w14:paraId="6C10DABB" w14:textId="77777777" w:rsidTr="00C2031F">
        <w:trPr>
          <w:trHeight w:val="312"/>
        </w:trPr>
        <w:tc>
          <w:tcPr>
            <w:tcW w:w="0" w:type="auto"/>
            <w:gridSpan w:val="8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C17E22" w14:textId="77777777" w:rsidR="00DF6768" w:rsidRDefault="00DF6768" w:rsidP="00C2031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5905F2" w14:textId="77777777" w:rsidR="00DF6768" w:rsidRDefault="00DF6768">
      <w:pPr>
        <w:rPr>
          <w:rFonts w:hint="eastAsia"/>
        </w:rPr>
      </w:pPr>
    </w:p>
    <w:sectPr w:rsidR="00DF6768" w:rsidSect="00587B0C">
      <w:pgSz w:w="11907" w:h="16840" w:orient="landscape" w:code="9"/>
      <w:pgMar w:top="0" w:right="567" w:bottom="0" w:left="56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ztrA0MTIwNTI0MTBT0lEKTi0uzszPAykwrAUAjm68xSwAAAA="/>
  </w:docVars>
  <w:rsids>
    <w:rsidRoot w:val="00DF6768"/>
    <w:rsid w:val="003B0290"/>
    <w:rsid w:val="003E4404"/>
    <w:rsid w:val="005419E8"/>
    <w:rsid w:val="00587B0C"/>
    <w:rsid w:val="005F4A73"/>
    <w:rsid w:val="00672061"/>
    <w:rsid w:val="008B6387"/>
    <w:rsid w:val="008F2EA7"/>
    <w:rsid w:val="00DF6768"/>
    <w:rsid w:val="00E141A3"/>
    <w:rsid w:val="00F6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157F"/>
  <w15:chartTrackingRefBased/>
  <w15:docId w15:val="{8A743913-981C-4942-A49F-5949E6AD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768"/>
    <w:pPr>
      <w:widowControl w:val="0"/>
      <w:spacing w:after="0" w:line="240" w:lineRule="auto"/>
      <w:jc w:val="both"/>
    </w:pPr>
    <w:rPr>
      <w:sz w:val="21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676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76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76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76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76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768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768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768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768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6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DF6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DF6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F6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DF6768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DF6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DF6768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6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DF6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67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F6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76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F6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6768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F67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6768"/>
    <w:pPr>
      <w:spacing w:after="160" w:line="259" w:lineRule="auto"/>
      <w:ind w:left="720"/>
      <w:contextualSpacing/>
    </w:pPr>
    <w:rPr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DF67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6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F67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67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292375388@qq.com</dc:creator>
  <cp:keywords/>
  <dc:description/>
  <cp:lastModifiedBy>292375388@qq.com</cp:lastModifiedBy>
  <cp:revision>1</cp:revision>
  <dcterms:created xsi:type="dcterms:W3CDTF">2025-03-05T09:02:00Z</dcterms:created>
  <dcterms:modified xsi:type="dcterms:W3CDTF">2025-03-05T10:45:00Z</dcterms:modified>
</cp:coreProperties>
</file>