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B6331" w14:textId="77993992" w:rsidR="005304F0" w:rsidRDefault="005304F0" w:rsidP="005304F0">
      <w:pPr>
        <w:spacing w:line="360" w:lineRule="auto"/>
        <w:contextualSpacing/>
        <w:rPr>
          <w:rFonts w:ascii="Times New Roman" w:eastAsia="Aptos" w:hAnsi="Times New Roman" w:cs="Times New Roman"/>
          <w:kern w:val="2"/>
          <w14:ligatures w14:val="standardContextual"/>
        </w:rPr>
      </w:pPr>
      <w:r>
        <w:rPr>
          <w:rFonts w:ascii="Times New Roman" w:eastAsia="Aptos" w:hAnsi="Times New Roman" w:cs="Times New Roman"/>
          <w:b/>
          <w:bCs/>
          <w:kern w:val="2"/>
          <w14:ligatures w14:val="standardContextual"/>
        </w:rPr>
        <w:t>e</w:t>
      </w:r>
      <w:r w:rsidRPr="005304F0">
        <w:rPr>
          <w:rFonts w:ascii="Times New Roman" w:eastAsia="Aptos" w:hAnsi="Times New Roman" w:cs="Times New Roman"/>
          <w:b/>
          <w:bCs/>
          <w:kern w:val="2"/>
          <w14:ligatures w14:val="standardContextual"/>
        </w:rPr>
        <w:t>Figure-1:</w:t>
      </w:r>
      <w:r w:rsidRPr="005304F0">
        <w:rPr>
          <w:rFonts w:ascii="Times New Roman" w:eastAsia="Aptos" w:hAnsi="Times New Roman" w:cs="Times New Roman"/>
          <w:kern w:val="2"/>
          <w14:ligatures w14:val="standardContextual"/>
        </w:rPr>
        <w:t xml:space="preserve"> </w:t>
      </w:r>
      <w:r w:rsidRPr="005304F0">
        <w:rPr>
          <w:rFonts w:ascii="Times New Roman" w:eastAsia="Aptos" w:hAnsi="Times New Roman" w:cs="Times New Roman"/>
          <w:b/>
          <w:bCs/>
          <w:kern w:val="2"/>
          <w14:ligatures w14:val="standardContextual"/>
        </w:rPr>
        <w:t>Flow cytometry gating strategy</w:t>
      </w:r>
      <w:r w:rsidRPr="005304F0">
        <w:rPr>
          <w:rFonts w:ascii="Times New Roman" w:eastAsia="Aptos" w:hAnsi="Times New Roman" w:cs="Times New Roman"/>
          <w:kern w:val="2"/>
          <w14:ligatures w14:val="standardContextual"/>
        </w:rPr>
        <w:t xml:space="preserve">. Lymphocytes were first gated based on size and granularity using FSC and SSC parameters </w:t>
      </w:r>
      <w:r w:rsidRPr="005304F0">
        <w:rPr>
          <w:rFonts w:ascii="Times New Roman" w:eastAsia="Aptos" w:hAnsi="Times New Roman" w:cs="Times New Roman"/>
          <w:b/>
          <w:bCs/>
          <w:kern w:val="2"/>
          <w14:ligatures w14:val="standardContextual"/>
        </w:rPr>
        <w:t>(A)</w:t>
      </w:r>
      <w:r w:rsidRPr="005304F0">
        <w:rPr>
          <w:rFonts w:ascii="Times New Roman" w:eastAsia="Aptos" w:hAnsi="Times New Roman" w:cs="Times New Roman"/>
          <w:kern w:val="2"/>
          <w14:ligatures w14:val="standardContextual"/>
        </w:rPr>
        <w:t xml:space="preserve">, followed by gating on singlets </w:t>
      </w:r>
      <w:r w:rsidRPr="005304F0">
        <w:rPr>
          <w:rFonts w:ascii="Times New Roman" w:eastAsia="Aptos" w:hAnsi="Times New Roman" w:cs="Times New Roman"/>
          <w:b/>
          <w:bCs/>
          <w:kern w:val="2"/>
          <w14:ligatures w14:val="standardContextual"/>
        </w:rPr>
        <w:t>(B)</w:t>
      </w:r>
      <w:r w:rsidRPr="005304F0">
        <w:rPr>
          <w:rFonts w:ascii="Times New Roman" w:eastAsia="Aptos" w:hAnsi="Times New Roman" w:cs="Times New Roman"/>
          <w:kern w:val="2"/>
          <w14:ligatures w14:val="standardContextual"/>
        </w:rPr>
        <w:t xml:space="preserve"> and live cells </w:t>
      </w:r>
      <w:r w:rsidRPr="005304F0">
        <w:rPr>
          <w:rFonts w:ascii="Times New Roman" w:eastAsia="Aptos" w:hAnsi="Times New Roman" w:cs="Times New Roman"/>
          <w:b/>
          <w:bCs/>
          <w:kern w:val="2"/>
          <w14:ligatures w14:val="standardContextual"/>
        </w:rPr>
        <w:t>(C)</w:t>
      </w:r>
      <w:r w:rsidRPr="005304F0">
        <w:rPr>
          <w:rFonts w:ascii="Times New Roman" w:eastAsia="Aptos" w:hAnsi="Times New Roman" w:cs="Times New Roman"/>
          <w:kern w:val="2"/>
          <w14:ligatures w14:val="standardContextual"/>
        </w:rPr>
        <w:t xml:space="preserve">. CD3 was used to distinguish T cells (CD3+) from non-T cells (CD3-) </w:t>
      </w:r>
      <w:r w:rsidRPr="005304F0">
        <w:rPr>
          <w:rFonts w:ascii="Times New Roman" w:eastAsia="Aptos" w:hAnsi="Times New Roman" w:cs="Times New Roman"/>
          <w:b/>
          <w:bCs/>
          <w:kern w:val="2"/>
          <w14:ligatures w14:val="standardContextual"/>
        </w:rPr>
        <w:t>(D)</w:t>
      </w:r>
      <w:r w:rsidRPr="005304F0">
        <w:rPr>
          <w:rFonts w:ascii="Times New Roman" w:eastAsia="Aptos" w:hAnsi="Times New Roman" w:cs="Times New Roman"/>
          <w:kern w:val="2"/>
          <w14:ligatures w14:val="standardContextual"/>
        </w:rPr>
        <w:t xml:space="preserve">. The CD3 negative population was further gated on CD56+ to define CD56NK </w:t>
      </w:r>
      <w:r w:rsidRPr="005304F0">
        <w:rPr>
          <w:rFonts w:ascii="Times New Roman" w:eastAsia="Aptos" w:hAnsi="Times New Roman" w:cs="Times New Roman"/>
          <w:b/>
          <w:bCs/>
          <w:kern w:val="2"/>
          <w14:ligatures w14:val="standardContextual"/>
        </w:rPr>
        <w:t>(E)</w:t>
      </w:r>
      <w:r w:rsidRPr="005304F0">
        <w:rPr>
          <w:rFonts w:ascii="Times New Roman" w:eastAsia="Aptos" w:hAnsi="Times New Roman" w:cs="Times New Roman"/>
          <w:kern w:val="2"/>
          <w14:ligatures w14:val="standardContextual"/>
        </w:rPr>
        <w:t xml:space="preserve">. The CD3 positive population was subsequently divided into CD8 T cells </w:t>
      </w:r>
      <w:r w:rsidRPr="005304F0">
        <w:rPr>
          <w:rFonts w:ascii="Times New Roman" w:eastAsia="Aptos" w:hAnsi="Times New Roman" w:cs="Times New Roman"/>
          <w:b/>
          <w:bCs/>
          <w:kern w:val="2"/>
          <w14:ligatures w14:val="standardContextual"/>
        </w:rPr>
        <w:t>(F)</w:t>
      </w:r>
      <w:r w:rsidRPr="005304F0">
        <w:rPr>
          <w:rFonts w:ascii="Times New Roman" w:eastAsia="Aptos" w:hAnsi="Times New Roman" w:cs="Times New Roman"/>
          <w:kern w:val="2"/>
          <w14:ligatures w14:val="standardContextual"/>
        </w:rPr>
        <w:t xml:space="preserve"> and CD4 T cells </w:t>
      </w:r>
      <w:r w:rsidRPr="005304F0">
        <w:rPr>
          <w:rFonts w:ascii="Times New Roman" w:eastAsia="Aptos" w:hAnsi="Times New Roman" w:cs="Times New Roman"/>
          <w:b/>
          <w:bCs/>
          <w:kern w:val="2"/>
          <w14:ligatures w14:val="standardContextual"/>
        </w:rPr>
        <w:t>(G)</w:t>
      </w:r>
      <w:r w:rsidRPr="005304F0">
        <w:rPr>
          <w:rFonts w:ascii="Times New Roman" w:eastAsia="Aptos" w:hAnsi="Times New Roman" w:cs="Times New Roman"/>
          <w:kern w:val="2"/>
          <w14:ligatures w14:val="standardContextual"/>
        </w:rPr>
        <w:t xml:space="preserve">. The CD4 T population was then gated on CD25+ </w:t>
      </w:r>
      <w:r w:rsidRPr="005304F0">
        <w:rPr>
          <w:rFonts w:ascii="Times New Roman" w:eastAsia="Aptos" w:hAnsi="Times New Roman" w:cs="Times New Roman"/>
          <w:b/>
          <w:bCs/>
          <w:kern w:val="2"/>
          <w14:ligatures w14:val="standardContextual"/>
        </w:rPr>
        <w:t>(I)</w:t>
      </w:r>
      <w:r w:rsidRPr="005304F0">
        <w:rPr>
          <w:rFonts w:ascii="Times New Roman" w:eastAsia="Aptos" w:hAnsi="Times New Roman" w:cs="Times New Roman"/>
          <w:kern w:val="2"/>
          <w14:ligatures w14:val="standardContextual"/>
        </w:rPr>
        <w:t xml:space="preserve">, with gating controlled by a CD25 FMO </w:t>
      </w:r>
      <w:r w:rsidRPr="005304F0">
        <w:rPr>
          <w:rFonts w:ascii="Times New Roman" w:eastAsia="Aptos" w:hAnsi="Times New Roman" w:cs="Times New Roman"/>
          <w:b/>
          <w:bCs/>
          <w:kern w:val="2"/>
          <w14:ligatures w14:val="standardContextual"/>
        </w:rPr>
        <w:t>(H)</w:t>
      </w:r>
      <w:r w:rsidRPr="005304F0">
        <w:rPr>
          <w:rFonts w:ascii="Times New Roman" w:eastAsia="Aptos" w:hAnsi="Times New Roman" w:cs="Times New Roman"/>
          <w:kern w:val="2"/>
          <w14:ligatures w14:val="standardContextual"/>
        </w:rPr>
        <w:t xml:space="preserve">. CD4 Treg were defined by high expression of CD25 and intracellular FOXP3 </w:t>
      </w:r>
      <w:r w:rsidRPr="005304F0">
        <w:rPr>
          <w:rFonts w:ascii="Times New Roman" w:eastAsia="Aptos" w:hAnsi="Times New Roman" w:cs="Times New Roman"/>
          <w:b/>
          <w:bCs/>
          <w:kern w:val="2"/>
          <w14:ligatures w14:val="standardContextual"/>
        </w:rPr>
        <w:t>(K)</w:t>
      </w:r>
      <w:r w:rsidRPr="005304F0">
        <w:rPr>
          <w:rFonts w:ascii="Times New Roman" w:eastAsia="Aptos" w:hAnsi="Times New Roman" w:cs="Times New Roman"/>
          <w:kern w:val="2"/>
          <w14:ligatures w14:val="standardContextual"/>
        </w:rPr>
        <w:t xml:space="preserve">, with gating controlled by a FOXP3 FMO </w:t>
      </w:r>
      <w:r w:rsidRPr="005304F0">
        <w:rPr>
          <w:rFonts w:ascii="Times New Roman" w:eastAsia="Aptos" w:hAnsi="Times New Roman" w:cs="Times New Roman"/>
          <w:b/>
          <w:bCs/>
          <w:kern w:val="2"/>
          <w14:ligatures w14:val="standardContextual"/>
        </w:rPr>
        <w:t>(J)</w:t>
      </w:r>
      <w:r w:rsidRPr="005304F0">
        <w:rPr>
          <w:rFonts w:ascii="Times New Roman" w:eastAsia="Aptos" w:hAnsi="Times New Roman" w:cs="Times New Roman"/>
          <w:kern w:val="2"/>
          <w14:ligatures w14:val="standardContextual"/>
        </w:rPr>
        <w:t>.</w:t>
      </w:r>
    </w:p>
    <w:p w14:paraId="2FC17125" w14:textId="2F28994B" w:rsidR="005304F0" w:rsidRPr="005304F0" w:rsidRDefault="003E0C9B" w:rsidP="005304F0">
      <w:pPr>
        <w:spacing w:line="360" w:lineRule="auto"/>
        <w:contextualSpacing/>
        <w:rPr>
          <w:rFonts w:ascii="Times New Roman" w:eastAsia="Aptos" w:hAnsi="Times New Roman" w:cs="Times New Roman"/>
          <w:kern w:val="2"/>
          <w14:ligatures w14:val="standardContextual"/>
        </w:rPr>
      </w:pPr>
      <w:r>
        <w:rPr>
          <w:noProof/>
        </w:rPr>
        <w:drawing>
          <wp:inline distT="0" distB="0" distL="0" distR="0" wp14:anchorId="438DABA3" wp14:editId="3B11D5DF">
            <wp:extent cx="5410200" cy="6368546"/>
            <wp:effectExtent l="0" t="0" r="0" b="0"/>
            <wp:docPr id="21" name="Picture 20" descr="A screenshot of a diagram&#10;&#10;AI-generated content may be incorrect.">
              <a:extLst xmlns:a="http://schemas.openxmlformats.org/drawingml/2006/main">
                <a:ext uri="{FF2B5EF4-FFF2-40B4-BE49-F238E27FC236}">
                  <a16:creationId xmlns:a16="http://schemas.microsoft.com/office/drawing/2014/main" id="{B2D30AC9-A793-54DE-0DD3-35EAAC6D61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screenshot of a diagram&#10;&#10;AI-generated content may be incorrect.">
                      <a:extLst>
                        <a:ext uri="{FF2B5EF4-FFF2-40B4-BE49-F238E27FC236}">
                          <a16:creationId xmlns:a16="http://schemas.microsoft.com/office/drawing/2014/main" id="{B2D30AC9-A793-54DE-0DD3-35EAAC6D6113}"/>
                        </a:ext>
                      </a:extLst>
                    </pic:cNvPr>
                    <pic:cNvPicPr>
                      <a:picLocks noChangeAspect="1"/>
                    </pic:cNvPicPr>
                  </pic:nvPicPr>
                  <pic:blipFill>
                    <a:blip r:embed="rId4"/>
                    <a:stretch>
                      <a:fillRect/>
                    </a:stretch>
                  </pic:blipFill>
                  <pic:spPr>
                    <a:xfrm>
                      <a:off x="0" y="0"/>
                      <a:ext cx="5427587" cy="6389012"/>
                    </a:xfrm>
                    <a:prstGeom prst="rect">
                      <a:avLst/>
                    </a:prstGeom>
                  </pic:spPr>
                </pic:pic>
              </a:graphicData>
            </a:graphic>
          </wp:inline>
        </w:drawing>
      </w:r>
    </w:p>
    <w:p w14:paraId="23696073" w14:textId="76CD7344" w:rsidR="00F00C2A" w:rsidRDefault="00A7343D" w:rsidP="005304F0">
      <w:pPr>
        <w:spacing w:line="360" w:lineRule="auto"/>
        <w:contextualSpacing/>
        <w:rPr>
          <w:rFonts w:ascii="Times New Roman" w:eastAsia="Aptos" w:hAnsi="Times New Roman" w:cs="Times New Roman"/>
          <w:b/>
          <w:bCs/>
          <w:kern w:val="2"/>
          <w14:ligatures w14:val="standardContextual"/>
        </w:rPr>
      </w:pPr>
      <w:bookmarkStart w:id="0" w:name="_Hlk197502308"/>
      <w:r>
        <w:rPr>
          <w:rFonts w:ascii="Times New Roman" w:eastAsia="Aptos" w:hAnsi="Times New Roman" w:cs="Times New Roman"/>
          <w:b/>
          <w:bCs/>
          <w:kern w:val="2"/>
          <w14:ligatures w14:val="standardContextual"/>
        </w:rPr>
        <w:lastRenderedPageBreak/>
        <w:t>e</w:t>
      </w:r>
      <w:r w:rsidR="00F00C2A">
        <w:rPr>
          <w:rFonts w:ascii="Times New Roman" w:eastAsia="Aptos" w:hAnsi="Times New Roman" w:cs="Times New Roman"/>
          <w:b/>
          <w:bCs/>
          <w:kern w:val="2"/>
          <w14:ligatures w14:val="standardContextual"/>
        </w:rPr>
        <w:t xml:space="preserve">Table-1: Comparison </w:t>
      </w:r>
      <w:bookmarkEnd w:id="0"/>
      <w:r w:rsidR="00F00C2A">
        <w:rPr>
          <w:rFonts w:ascii="Times New Roman" w:eastAsia="Aptos" w:hAnsi="Times New Roman" w:cs="Times New Roman"/>
          <w:b/>
          <w:bCs/>
          <w:kern w:val="2"/>
          <w14:ligatures w14:val="standardContextual"/>
        </w:rPr>
        <w:t xml:space="preserve">of </w:t>
      </w:r>
      <w:r w:rsidR="00F00C2A" w:rsidRPr="00F00C2A">
        <w:rPr>
          <w:rFonts w:ascii="Times New Roman" w:eastAsia="Aptos" w:hAnsi="Times New Roman" w:cs="Times New Roman"/>
          <w:b/>
          <w:bCs/>
          <w:kern w:val="2"/>
          <w14:ligatures w14:val="standardContextual"/>
        </w:rPr>
        <w:t>Baseline demographic characteristics of the clinical trial participants</w:t>
      </w:r>
      <w:r w:rsidR="00F00C2A">
        <w:rPr>
          <w:rFonts w:ascii="Times New Roman" w:eastAsia="Aptos" w:hAnsi="Times New Roman" w:cs="Times New Roman"/>
          <w:b/>
          <w:bCs/>
          <w:kern w:val="2"/>
          <w14:ligatures w14:val="standardContextual"/>
        </w:rPr>
        <w:t xml:space="preserve"> in each treatment arm compared to corresponding placebo group. </w:t>
      </w:r>
    </w:p>
    <w:p w14:paraId="2595E288" w14:textId="77777777" w:rsidR="00F00C2A" w:rsidRDefault="00F00C2A" w:rsidP="005304F0">
      <w:pPr>
        <w:spacing w:line="360" w:lineRule="auto"/>
        <w:contextualSpacing/>
        <w:rPr>
          <w:rFonts w:ascii="Times New Roman" w:eastAsia="Aptos" w:hAnsi="Times New Roman" w:cs="Times New Roman"/>
          <w:b/>
          <w:bCs/>
          <w:kern w:val="2"/>
          <w14:ligatures w14:val="standardContextual"/>
        </w:rPr>
      </w:pPr>
    </w:p>
    <w:tbl>
      <w:tblPr>
        <w:tblW w:w="10080" w:type="dxa"/>
        <w:tblInd w:w="-365" w:type="dxa"/>
        <w:tblLayout w:type="fixed"/>
        <w:tblCellMar>
          <w:left w:w="0" w:type="dxa"/>
          <w:right w:w="0" w:type="dxa"/>
        </w:tblCellMar>
        <w:tblLook w:val="04A0" w:firstRow="1" w:lastRow="0" w:firstColumn="1" w:lastColumn="0" w:noHBand="0" w:noVBand="1"/>
      </w:tblPr>
      <w:tblGrid>
        <w:gridCol w:w="2637"/>
        <w:gridCol w:w="1233"/>
        <w:gridCol w:w="1430"/>
        <w:gridCol w:w="1180"/>
        <w:gridCol w:w="1260"/>
        <w:gridCol w:w="1350"/>
        <w:gridCol w:w="990"/>
      </w:tblGrid>
      <w:tr w:rsidR="00F00C2A" w:rsidRPr="00A10586" w14:paraId="4E5A2BAA" w14:textId="77777777" w:rsidTr="00F00C2A">
        <w:trPr>
          <w:trHeight w:val="619"/>
        </w:trPr>
        <w:tc>
          <w:tcPr>
            <w:tcW w:w="2637" w:type="dxa"/>
            <w:tcBorders>
              <w:top w:val="single" w:sz="4" w:space="0" w:color="auto"/>
              <w:left w:val="single" w:sz="4" w:space="0" w:color="auto"/>
              <w:bottom w:val="nil"/>
              <w:right w:val="single" w:sz="4" w:space="0" w:color="auto"/>
            </w:tcBorders>
            <w:shd w:val="clear" w:color="auto" w:fill="F2F2F2"/>
            <w:tcMar>
              <w:top w:w="15" w:type="dxa"/>
              <w:left w:w="108" w:type="dxa"/>
              <w:bottom w:w="0" w:type="dxa"/>
              <w:right w:w="108" w:type="dxa"/>
            </w:tcMar>
            <w:hideMark/>
          </w:tcPr>
          <w:p w14:paraId="6B0A9E5D"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Characteristics</w:t>
            </w:r>
          </w:p>
        </w:tc>
        <w:tc>
          <w:tcPr>
            <w:tcW w:w="1233" w:type="dxa"/>
            <w:tcBorders>
              <w:top w:val="single" w:sz="4" w:space="0" w:color="auto"/>
              <w:left w:val="single" w:sz="4" w:space="0" w:color="auto"/>
              <w:bottom w:val="nil"/>
              <w:right w:val="single" w:sz="4" w:space="0" w:color="auto"/>
            </w:tcBorders>
            <w:shd w:val="clear" w:color="auto" w:fill="F2F2F2"/>
            <w:tcMar>
              <w:top w:w="15" w:type="dxa"/>
              <w:left w:w="108" w:type="dxa"/>
              <w:bottom w:w="0" w:type="dxa"/>
              <w:right w:w="108" w:type="dxa"/>
            </w:tcMar>
            <w:hideMark/>
          </w:tcPr>
          <w:p w14:paraId="116A4DE6"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b/>
                <w:bCs/>
                <w:color w:val="000000"/>
              </w:rPr>
              <w:t>IL-2 q 4wks (n=9)</w:t>
            </w:r>
          </w:p>
        </w:tc>
        <w:tc>
          <w:tcPr>
            <w:tcW w:w="1430" w:type="dxa"/>
            <w:tcBorders>
              <w:top w:val="single" w:sz="4" w:space="0" w:color="auto"/>
              <w:left w:val="single" w:sz="4" w:space="0" w:color="auto"/>
              <w:bottom w:val="nil"/>
              <w:right w:val="single" w:sz="4" w:space="0" w:color="auto"/>
            </w:tcBorders>
            <w:shd w:val="clear" w:color="auto" w:fill="F2F2F2"/>
          </w:tcPr>
          <w:p w14:paraId="363B2AA0" w14:textId="77777777" w:rsidR="00F00C2A" w:rsidRDefault="00F00C2A" w:rsidP="00733378">
            <w:pPr>
              <w:spacing w:after="0" w:line="25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Corresponding Placebo</w:t>
            </w:r>
          </w:p>
          <w:p w14:paraId="16DF0D33" w14:textId="77777777" w:rsidR="00F00C2A" w:rsidRPr="002E30F1" w:rsidRDefault="00F00C2A" w:rsidP="00733378">
            <w:pPr>
              <w:spacing w:after="0" w:line="25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(n=13)</w:t>
            </w:r>
          </w:p>
        </w:tc>
        <w:tc>
          <w:tcPr>
            <w:tcW w:w="1180" w:type="dxa"/>
            <w:tcBorders>
              <w:top w:val="single" w:sz="4" w:space="0" w:color="auto"/>
              <w:left w:val="single" w:sz="4" w:space="0" w:color="auto"/>
              <w:bottom w:val="nil"/>
              <w:right w:val="single" w:sz="4" w:space="0" w:color="auto"/>
            </w:tcBorders>
            <w:shd w:val="clear" w:color="auto" w:fill="F2F2F2"/>
          </w:tcPr>
          <w:p w14:paraId="060A258A" w14:textId="77777777" w:rsidR="00F00C2A" w:rsidRPr="002E30F1" w:rsidRDefault="00F00C2A" w:rsidP="00733378">
            <w:pPr>
              <w:spacing w:after="0" w:line="256" w:lineRule="auto"/>
              <w:jc w:val="center"/>
              <w:rPr>
                <w:rFonts w:ascii="Times New Roman" w:eastAsia="Times New Roman" w:hAnsi="Times New Roman" w:cs="Times New Roman"/>
                <w:b/>
                <w:bCs/>
                <w:color w:val="000000"/>
              </w:rPr>
            </w:pPr>
            <w:r w:rsidRPr="00AB6930">
              <w:rPr>
                <w:rFonts w:ascii="Times New Roman" w:eastAsia="Times New Roman" w:hAnsi="Times New Roman" w:cs="Times New Roman"/>
                <w:b/>
                <w:bCs/>
                <w:color w:val="000000"/>
              </w:rPr>
              <w:t>p-Value</w:t>
            </w:r>
            <w:r>
              <w:rPr>
                <w:rFonts w:ascii="Times New Roman" w:eastAsia="Times New Roman" w:hAnsi="Times New Roman" w:cs="Times New Roman"/>
                <w:b/>
                <w:bCs/>
                <w:color w:val="000000"/>
              </w:rPr>
              <w:t xml:space="preserve"> q4wks vs. placebo </w:t>
            </w:r>
          </w:p>
        </w:tc>
        <w:tc>
          <w:tcPr>
            <w:tcW w:w="1260" w:type="dxa"/>
            <w:tcBorders>
              <w:top w:val="single" w:sz="4" w:space="0" w:color="auto"/>
              <w:left w:val="single" w:sz="4" w:space="0" w:color="auto"/>
              <w:bottom w:val="nil"/>
              <w:right w:val="single" w:sz="4" w:space="0" w:color="auto"/>
            </w:tcBorders>
            <w:shd w:val="clear" w:color="auto" w:fill="F2F2F2"/>
            <w:tcMar>
              <w:top w:w="15" w:type="dxa"/>
              <w:left w:w="108" w:type="dxa"/>
              <w:bottom w:w="0" w:type="dxa"/>
              <w:right w:w="108" w:type="dxa"/>
            </w:tcMar>
            <w:hideMark/>
          </w:tcPr>
          <w:p w14:paraId="4E4EC199"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b/>
                <w:bCs/>
                <w:color w:val="000000"/>
              </w:rPr>
              <w:t>IL-2 q 2wks</w:t>
            </w:r>
          </w:p>
          <w:p w14:paraId="3E65F9B3"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b/>
                <w:bCs/>
                <w:color w:val="000000"/>
              </w:rPr>
              <w:t xml:space="preserve"> (n=10)</w:t>
            </w:r>
          </w:p>
        </w:tc>
        <w:tc>
          <w:tcPr>
            <w:tcW w:w="1350" w:type="dxa"/>
            <w:tcBorders>
              <w:top w:val="single" w:sz="4" w:space="0" w:color="auto"/>
              <w:left w:val="single" w:sz="4" w:space="0" w:color="auto"/>
              <w:bottom w:val="nil"/>
              <w:right w:val="single" w:sz="4" w:space="0" w:color="auto"/>
            </w:tcBorders>
            <w:shd w:val="clear" w:color="auto" w:fill="F2F2F2"/>
            <w:tcMar>
              <w:top w:w="15" w:type="dxa"/>
              <w:left w:w="108" w:type="dxa"/>
              <w:bottom w:w="0" w:type="dxa"/>
              <w:right w:w="108" w:type="dxa"/>
            </w:tcMar>
            <w:hideMark/>
          </w:tcPr>
          <w:p w14:paraId="6929302D"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b/>
                <w:bCs/>
                <w:color w:val="000000"/>
              </w:rPr>
              <w:t xml:space="preserve">Corresponding </w:t>
            </w:r>
            <w:r w:rsidRPr="002E30F1">
              <w:rPr>
                <w:rFonts w:ascii="Times New Roman" w:eastAsia="Times New Roman" w:hAnsi="Times New Roman" w:cs="Times New Roman"/>
                <w:b/>
                <w:bCs/>
                <w:color w:val="000000"/>
              </w:rPr>
              <w:t xml:space="preserve">Placebo </w:t>
            </w:r>
          </w:p>
          <w:p w14:paraId="6C2A1A9E"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b/>
                <w:bCs/>
                <w:color w:val="000000"/>
              </w:rPr>
              <w:t>(n=</w:t>
            </w:r>
            <w:r>
              <w:rPr>
                <w:rFonts w:ascii="Times New Roman" w:eastAsia="Times New Roman" w:hAnsi="Times New Roman" w:cs="Times New Roman"/>
                <w:b/>
                <w:bCs/>
                <w:color w:val="000000"/>
              </w:rPr>
              <w:t>6</w:t>
            </w:r>
            <w:r w:rsidRPr="002E30F1">
              <w:rPr>
                <w:rFonts w:ascii="Times New Roman" w:eastAsia="Times New Roman" w:hAnsi="Times New Roman" w:cs="Times New Roman"/>
                <w:b/>
                <w:bCs/>
                <w:color w:val="000000"/>
              </w:rPr>
              <w:t>)</w:t>
            </w:r>
          </w:p>
        </w:tc>
        <w:tc>
          <w:tcPr>
            <w:tcW w:w="990" w:type="dxa"/>
            <w:tcBorders>
              <w:top w:val="single" w:sz="4" w:space="0" w:color="auto"/>
              <w:left w:val="single" w:sz="4" w:space="0" w:color="auto"/>
              <w:bottom w:val="nil"/>
              <w:right w:val="single" w:sz="4" w:space="0" w:color="auto"/>
            </w:tcBorders>
            <w:shd w:val="clear" w:color="auto" w:fill="F2F2F2"/>
          </w:tcPr>
          <w:p w14:paraId="264C0B4C" w14:textId="77777777" w:rsidR="00F00C2A" w:rsidRPr="002E30F1" w:rsidRDefault="00F00C2A" w:rsidP="00733378">
            <w:pPr>
              <w:spacing w:after="0" w:line="256" w:lineRule="auto"/>
              <w:jc w:val="center"/>
              <w:rPr>
                <w:rFonts w:ascii="Times New Roman" w:eastAsia="Times New Roman" w:hAnsi="Times New Roman" w:cs="Times New Roman"/>
                <w:b/>
                <w:bCs/>
                <w:color w:val="000000"/>
              </w:rPr>
            </w:pPr>
            <w:r w:rsidRPr="002E30F1">
              <w:rPr>
                <w:rFonts w:ascii="Times New Roman" w:eastAsia="Times New Roman" w:hAnsi="Times New Roman" w:cs="Times New Roman"/>
                <w:b/>
                <w:bCs/>
                <w:color w:val="000000"/>
              </w:rPr>
              <w:t>p-Value</w:t>
            </w:r>
          </w:p>
        </w:tc>
      </w:tr>
      <w:tr w:rsidR="00F00C2A" w:rsidRPr="00A10586" w14:paraId="3FE400F1"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7449F66A"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Age-yr (MEAN)</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547F42A8"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68.7</w:t>
            </w:r>
          </w:p>
        </w:tc>
        <w:tc>
          <w:tcPr>
            <w:tcW w:w="1430" w:type="dxa"/>
            <w:tcBorders>
              <w:top w:val="nil"/>
              <w:left w:val="single" w:sz="4" w:space="0" w:color="auto"/>
              <w:bottom w:val="nil"/>
              <w:right w:val="single" w:sz="4" w:space="0" w:color="auto"/>
            </w:tcBorders>
          </w:tcPr>
          <w:p w14:paraId="312D1481"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sidRPr="008E267E">
              <w:rPr>
                <w:rFonts w:ascii="Times New Roman" w:eastAsia="Times New Roman" w:hAnsi="Times New Roman" w:cs="Times New Roman"/>
                <w:color w:val="000000"/>
              </w:rPr>
              <w:t xml:space="preserve">68.8      </w:t>
            </w:r>
          </w:p>
        </w:tc>
        <w:tc>
          <w:tcPr>
            <w:tcW w:w="1180" w:type="dxa"/>
            <w:tcBorders>
              <w:top w:val="nil"/>
              <w:left w:val="single" w:sz="4" w:space="0" w:color="auto"/>
              <w:bottom w:val="nil"/>
              <w:right w:val="single" w:sz="4" w:space="0" w:color="auto"/>
            </w:tcBorders>
          </w:tcPr>
          <w:p w14:paraId="29785ACD"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sidRPr="008E267E">
              <w:rPr>
                <w:rFonts w:ascii="Times New Roman" w:eastAsia="Times New Roman" w:hAnsi="Times New Roman" w:cs="Times New Roman"/>
                <w:color w:val="000000"/>
              </w:rPr>
              <w:t>0.975</w:t>
            </w: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09403E52"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75.9</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00A38D16" w14:textId="77777777" w:rsidR="00F00C2A" w:rsidRPr="002E30F1" w:rsidRDefault="00F00C2A" w:rsidP="00733378">
            <w:pPr>
              <w:spacing w:after="0" w:line="256" w:lineRule="auto"/>
              <w:jc w:val="center"/>
              <w:rPr>
                <w:rFonts w:ascii="Times New Roman" w:eastAsia="Times New Roman" w:hAnsi="Times New Roman" w:cs="Times New Roman"/>
              </w:rPr>
            </w:pPr>
            <w:r w:rsidRPr="008E267E">
              <w:rPr>
                <w:rFonts w:ascii="Times New Roman" w:eastAsia="Times New Roman" w:hAnsi="Times New Roman" w:cs="Times New Roman"/>
              </w:rPr>
              <w:t xml:space="preserve">68.5      </w:t>
            </w:r>
          </w:p>
        </w:tc>
        <w:tc>
          <w:tcPr>
            <w:tcW w:w="990" w:type="dxa"/>
            <w:tcBorders>
              <w:top w:val="nil"/>
              <w:left w:val="single" w:sz="4" w:space="0" w:color="auto"/>
              <w:bottom w:val="nil"/>
              <w:right w:val="single" w:sz="4" w:space="0" w:color="auto"/>
            </w:tcBorders>
          </w:tcPr>
          <w:p w14:paraId="1D682870"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sidRPr="008E267E">
              <w:rPr>
                <w:rFonts w:ascii="Times New Roman" w:eastAsia="Times New Roman" w:hAnsi="Times New Roman" w:cs="Times New Roman"/>
                <w:color w:val="000000"/>
              </w:rPr>
              <w:t>0.068</w:t>
            </w:r>
          </w:p>
        </w:tc>
      </w:tr>
      <w:tr w:rsidR="00F00C2A" w:rsidRPr="00A10586" w14:paraId="7064C94D"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290501FE"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Sex- no. (%)</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402A46BD"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430" w:type="dxa"/>
            <w:tcBorders>
              <w:top w:val="nil"/>
              <w:left w:val="single" w:sz="4" w:space="0" w:color="auto"/>
              <w:bottom w:val="nil"/>
              <w:right w:val="single" w:sz="4" w:space="0" w:color="auto"/>
            </w:tcBorders>
            <w:shd w:val="clear" w:color="auto" w:fill="F2F2F2"/>
          </w:tcPr>
          <w:p w14:paraId="30E895DB"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180" w:type="dxa"/>
            <w:tcBorders>
              <w:top w:val="nil"/>
              <w:left w:val="single" w:sz="4" w:space="0" w:color="auto"/>
              <w:bottom w:val="nil"/>
              <w:right w:val="single" w:sz="4" w:space="0" w:color="auto"/>
            </w:tcBorders>
            <w:shd w:val="clear" w:color="auto" w:fill="F2F2F2"/>
          </w:tcPr>
          <w:p w14:paraId="65C9BA30"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06F8B628"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0E70D388" w14:textId="77777777" w:rsidR="00F00C2A" w:rsidRPr="002E30F1" w:rsidRDefault="00F00C2A" w:rsidP="00733378">
            <w:pPr>
              <w:spacing w:after="0" w:line="256" w:lineRule="auto"/>
              <w:jc w:val="center"/>
              <w:rPr>
                <w:rFonts w:ascii="Times New Roman" w:eastAsia="Times New Roman" w:hAnsi="Times New Roman" w:cs="Times New Roman"/>
              </w:rPr>
            </w:pPr>
          </w:p>
        </w:tc>
        <w:tc>
          <w:tcPr>
            <w:tcW w:w="990" w:type="dxa"/>
            <w:tcBorders>
              <w:top w:val="nil"/>
              <w:left w:val="single" w:sz="4" w:space="0" w:color="auto"/>
              <w:bottom w:val="nil"/>
              <w:right w:val="single" w:sz="4" w:space="0" w:color="auto"/>
            </w:tcBorders>
            <w:shd w:val="clear" w:color="auto" w:fill="F2F2F2"/>
          </w:tcPr>
          <w:p w14:paraId="196FC853"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7B0F78F8"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658B952B"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Female</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36E678C0"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 (66.6%)</w:t>
            </w:r>
          </w:p>
        </w:tc>
        <w:tc>
          <w:tcPr>
            <w:tcW w:w="1430" w:type="dxa"/>
            <w:tcBorders>
              <w:top w:val="nil"/>
              <w:left w:val="single" w:sz="4" w:space="0" w:color="auto"/>
              <w:bottom w:val="nil"/>
              <w:right w:val="single" w:sz="4" w:space="0" w:color="auto"/>
            </w:tcBorders>
          </w:tcPr>
          <w:p w14:paraId="42B32754"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 (61.54%)</w:t>
            </w:r>
          </w:p>
        </w:tc>
        <w:tc>
          <w:tcPr>
            <w:tcW w:w="1180" w:type="dxa"/>
            <w:tcBorders>
              <w:top w:val="nil"/>
              <w:left w:val="single" w:sz="4" w:space="0" w:color="auto"/>
              <w:bottom w:val="nil"/>
              <w:right w:val="single" w:sz="4" w:space="0" w:color="auto"/>
            </w:tcBorders>
          </w:tcPr>
          <w:p w14:paraId="6DF8A997"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778EEB28"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 (60.0%)</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40E04D8D"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3 (50%)</w:t>
            </w:r>
          </w:p>
        </w:tc>
        <w:tc>
          <w:tcPr>
            <w:tcW w:w="990" w:type="dxa"/>
            <w:tcBorders>
              <w:top w:val="nil"/>
              <w:left w:val="single" w:sz="4" w:space="0" w:color="auto"/>
              <w:bottom w:val="nil"/>
              <w:right w:val="single" w:sz="4" w:space="0" w:color="auto"/>
            </w:tcBorders>
          </w:tcPr>
          <w:p w14:paraId="780BE2FA"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tc>
      </w:tr>
      <w:tr w:rsidR="00F00C2A" w:rsidRPr="00A10586" w14:paraId="2F8DFD0A"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BA0AE84"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Male</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7E53D17F"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3 (33.3%)</w:t>
            </w:r>
          </w:p>
        </w:tc>
        <w:tc>
          <w:tcPr>
            <w:tcW w:w="1430" w:type="dxa"/>
            <w:tcBorders>
              <w:top w:val="nil"/>
              <w:left w:val="single" w:sz="4" w:space="0" w:color="auto"/>
              <w:bottom w:val="nil"/>
              <w:right w:val="single" w:sz="4" w:space="0" w:color="auto"/>
            </w:tcBorders>
            <w:shd w:val="clear" w:color="auto" w:fill="F2F2F2"/>
          </w:tcPr>
          <w:p w14:paraId="7098E347"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 (38.46%)</w:t>
            </w:r>
          </w:p>
        </w:tc>
        <w:tc>
          <w:tcPr>
            <w:tcW w:w="1180" w:type="dxa"/>
            <w:tcBorders>
              <w:top w:val="nil"/>
              <w:left w:val="single" w:sz="4" w:space="0" w:color="auto"/>
              <w:bottom w:val="nil"/>
              <w:right w:val="single" w:sz="4" w:space="0" w:color="auto"/>
            </w:tcBorders>
            <w:shd w:val="clear" w:color="auto" w:fill="F2F2F2"/>
          </w:tcPr>
          <w:p w14:paraId="34541B99"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9B3795A"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4 (40.0%)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15433116"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3 (50%)</w:t>
            </w:r>
          </w:p>
        </w:tc>
        <w:tc>
          <w:tcPr>
            <w:tcW w:w="990" w:type="dxa"/>
            <w:tcBorders>
              <w:top w:val="nil"/>
              <w:left w:val="single" w:sz="4" w:space="0" w:color="auto"/>
              <w:bottom w:val="nil"/>
              <w:right w:val="single" w:sz="4" w:space="0" w:color="auto"/>
            </w:tcBorders>
            <w:shd w:val="clear" w:color="auto" w:fill="F2F2F2"/>
          </w:tcPr>
          <w:p w14:paraId="4DBEE618"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47EAD2EA"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753125B2"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Race/ Ethnicity-no. (%)</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79801F49"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430" w:type="dxa"/>
            <w:tcBorders>
              <w:top w:val="nil"/>
              <w:left w:val="single" w:sz="4" w:space="0" w:color="auto"/>
              <w:bottom w:val="nil"/>
              <w:right w:val="single" w:sz="4" w:space="0" w:color="auto"/>
            </w:tcBorders>
          </w:tcPr>
          <w:p w14:paraId="433D3D03"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180" w:type="dxa"/>
            <w:tcBorders>
              <w:top w:val="nil"/>
              <w:left w:val="single" w:sz="4" w:space="0" w:color="auto"/>
              <w:bottom w:val="nil"/>
              <w:right w:val="single" w:sz="4" w:space="0" w:color="auto"/>
            </w:tcBorders>
          </w:tcPr>
          <w:p w14:paraId="1F5A81EB"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6E36E870"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4B80093F" w14:textId="77777777" w:rsidR="00F00C2A" w:rsidRPr="002E30F1" w:rsidRDefault="00F00C2A" w:rsidP="00733378">
            <w:pPr>
              <w:spacing w:after="0" w:line="256" w:lineRule="auto"/>
              <w:jc w:val="center"/>
              <w:rPr>
                <w:rFonts w:ascii="Times New Roman" w:eastAsia="Times New Roman" w:hAnsi="Times New Roman" w:cs="Times New Roman"/>
              </w:rPr>
            </w:pPr>
          </w:p>
        </w:tc>
        <w:tc>
          <w:tcPr>
            <w:tcW w:w="990" w:type="dxa"/>
            <w:tcBorders>
              <w:top w:val="nil"/>
              <w:left w:val="single" w:sz="4" w:space="0" w:color="auto"/>
              <w:bottom w:val="nil"/>
              <w:right w:val="single" w:sz="4" w:space="0" w:color="auto"/>
            </w:tcBorders>
          </w:tcPr>
          <w:p w14:paraId="09EF99C5"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6CF8FA33"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6AA2544"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White/non-Hispanic</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8645568"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9 (100%)</w:t>
            </w:r>
          </w:p>
        </w:tc>
        <w:tc>
          <w:tcPr>
            <w:tcW w:w="1430" w:type="dxa"/>
            <w:tcBorders>
              <w:top w:val="nil"/>
              <w:left w:val="single" w:sz="4" w:space="0" w:color="auto"/>
              <w:bottom w:val="nil"/>
              <w:right w:val="single" w:sz="4" w:space="0" w:color="auto"/>
            </w:tcBorders>
            <w:shd w:val="clear" w:color="auto" w:fill="F2F2F2"/>
          </w:tcPr>
          <w:p w14:paraId="5C2D36FE"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 (76.92%)</w:t>
            </w:r>
          </w:p>
        </w:tc>
        <w:tc>
          <w:tcPr>
            <w:tcW w:w="1180" w:type="dxa"/>
            <w:tcBorders>
              <w:top w:val="nil"/>
              <w:left w:val="single" w:sz="4" w:space="0" w:color="auto"/>
              <w:bottom w:val="nil"/>
              <w:right w:val="single" w:sz="4" w:space="0" w:color="auto"/>
            </w:tcBorders>
            <w:shd w:val="clear" w:color="auto" w:fill="F2F2F2"/>
          </w:tcPr>
          <w:p w14:paraId="4DA3A1AA"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0.493</w:t>
            </w: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97DC61C"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9 (90.0%)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0925E15D"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6 (100%)</w:t>
            </w:r>
          </w:p>
        </w:tc>
        <w:tc>
          <w:tcPr>
            <w:tcW w:w="990" w:type="dxa"/>
            <w:tcBorders>
              <w:top w:val="nil"/>
              <w:left w:val="single" w:sz="4" w:space="0" w:color="auto"/>
              <w:bottom w:val="nil"/>
              <w:right w:val="single" w:sz="4" w:space="0" w:color="auto"/>
            </w:tcBorders>
            <w:shd w:val="clear" w:color="auto" w:fill="F2F2F2"/>
          </w:tcPr>
          <w:p w14:paraId="0D436150"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r>
      <w:tr w:rsidR="00F00C2A" w:rsidRPr="00A10586" w14:paraId="5A670C33"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26A362F3"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White/ Hispanic </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6517D7D2"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0 (0%)</w:t>
            </w:r>
          </w:p>
        </w:tc>
        <w:tc>
          <w:tcPr>
            <w:tcW w:w="1430" w:type="dxa"/>
            <w:tcBorders>
              <w:top w:val="nil"/>
              <w:left w:val="single" w:sz="4" w:space="0" w:color="auto"/>
              <w:bottom w:val="nil"/>
              <w:right w:val="single" w:sz="4" w:space="0" w:color="auto"/>
            </w:tcBorders>
          </w:tcPr>
          <w:p w14:paraId="5EBF816F"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 (15.38%)</w:t>
            </w:r>
          </w:p>
        </w:tc>
        <w:tc>
          <w:tcPr>
            <w:tcW w:w="1180" w:type="dxa"/>
            <w:tcBorders>
              <w:top w:val="nil"/>
              <w:left w:val="single" w:sz="4" w:space="0" w:color="auto"/>
              <w:bottom w:val="nil"/>
              <w:right w:val="single" w:sz="4" w:space="0" w:color="auto"/>
            </w:tcBorders>
          </w:tcPr>
          <w:p w14:paraId="73D5599C"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5ADBB127"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1 (10.0%)</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39280C32"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0 (0.00%)</w:t>
            </w:r>
          </w:p>
        </w:tc>
        <w:tc>
          <w:tcPr>
            <w:tcW w:w="990" w:type="dxa"/>
            <w:tcBorders>
              <w:top w:val="nil"/>
              <w:left w:val="single" w:sz="4" w:space="0" w:color="auto"/>
              <w:bottom w:val="nil"/>
              <w:right w:val="single" w:sz="4" w:space="0" w:color="auto"/>
            </w:tcBorders>
          </w:tcPr>
          <w:p w14:paraId="5068AAA3"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767952A6"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3E4BEA54"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Black</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01695E47"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0 (0%)</w:t>
            </w:r>
          </w:p>
        </w:tc>
        <w:tc>
          <w:tcPr>
            <w:tcW w:w="1430" w:type="dxa"/>
            <w:tcBorders>
              <w:top w:val="nil"/>
              <w:left w:val="single" w:sz="4" w:space="0" w:color="auto"/>
              <w:bottom w:val="nil"/>
              <w:right w:val="single" w:sz="4" w:space="0" w:color="auto"/>
            </w:tcBorders>
            <w:shd w:val="clear" w:color="auto" w:fill="F2F2F2"/>
          </w:tcPr>
          <w:p w14:paraId="42528164"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 (7.69%)</w:t>
            </w:r>
          </w:p>
        </w:tc>
        <w:tc>
          <w:tcPr>
            <w:tcW w:w="1180" w:type="dxa"/>
            <w:tcBorders>
              <w:top w:val="nil"/>
              <w:left w:val="single" w:sz="4" w:space="0" w:color="auto"/>
              <w:bottom w:val="nil"/>
              <w:right w:val="single" w:sz="4" w:space="0" w:color="auto"/>
            </w:tcBorders>
            <w:shd w:val="clear" w:color="auto" w:fill="F2F2F2"/>
          </w:tcPr>
          <w:p w14:paraId="723AAAA0"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4FB0A480"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0 (0.0%)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46A39D63" w14:textId="77777777" w:rsidR="00F00C2A" w:rsidRPr="002E30F1" w:rsidRDefault="00F00C2A" w:rsidP="00733378">
            <w:pPr>
              <w:spacing w:after="0" w:line="256" w:lineRule="auto"/>
              <w:jc w:val="center"/>
              <w:rPr>
                <w:rFonts w:ascii="Times New Roman" w:eastAsia="Times New Roman" w:hAnsi="Times New Roman" w:cs="Times New Roman"/>
              </w:rPr>
            </w:pPr>
            <w:r w:rsidRPr="00430715">
              <w:rPr>
                <w:rFonts w:ascii="Times New Roman" w:eastAsia="Times New Roman" w:hAnsi="Times New Roman" w:cs="Times New Roman"/>
              </w:rPr>
              <w:t>0 (0.00%)</w:t>
            </w:r>
          </w:p>
        </w:tc>
        <w:tc>
          <w:tcPr>
            <w:tcW w:w="990" w:type="dxa"/>
            <w:tcBorders>
              <w:top w:val="nil"/>
              <w:left w:val="single" w:sz="4" w:space="0" w:color="auto"/>
              <w:bottom w:val="nil"/>
              <w:right w:val="single" w:sz="4" w:space="0" w:color="auto"/>
            </w:tcBorders>
            <w:shd w:val="clear" w:color="auto" w:fill="F2F2F2"/>
          </w:tcPr>
          <w:p w14:paraId="0DD9C578"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42C55DEA"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2764A424"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Education- no. (%)</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5AF9BA0A" w14:textId="77777777" w:rsidR="00F00C2A" w:rsidRPr="002E30F1" w:rsidRDefault="00F00C2A" w:rsidP="00733378">
            <w:pPr>
              <w:spacing w:after="0" w:line="240" w:lineRule="auto"/>
              <w:rPr>
                <w:rFonts w:ascii="Times New Roman" w:eastAsia="Times New Roman" w:hAnsi="Times New Roman" w:cs="Times New Roman"/>
              </w:rPr>
            </w:pPr>
          </w:p>
        </w:tc>
        <w:tc>
          <w:tcPr>
            <w:tcW w:w="1430" w:type="dxa"/>
            <w:tcBorders>
              <w:top w:val="nil"/>
              <w:left w:val="single" w:sz="4" w:space="0" w:color="auto"/>
              <w:bottom w:val="nil"/>
              <w:right w:val="single" w:sz="4" w:space="0" w:color="auto"/>
            </w:tcBorders>
          </w:tcPr>
          <w:p w14:paraId="3962FDFB" w14:textId="77777777" w:rsidR="00F00C2A" w:rsidRPr="002E30F1" w:rsidRDefault="00F00C2A" w:rsidP="00733378">
            <w:pPr>
              <w:spacing w:after="0" w:line="240" w:lineRule="auto"/>
              <w:rPr>
                <w:rFonts w:ascii="Times New Roman" w:eastAsia="Times New Roman" w:hAnsi="Times New Roman" w:cs="Times New Roman"/>
              </w:rPr>
            </w:pPr>
          </w:p>
        </w:tc>
        <w:tc>
          <w:tcPr>
            <w:tcW w:w="1180" w:type="dxa"/>
            <w:tcBorders>
              <w:top w:val="nil"/>
              <w:left w:val="single" w:sz="4" w:space="0" w:color="auto"/>
              <w:bottom w:val="nil"/>
              <w:right w:val="single" w:sz="4" w:space="0" w:color="auto"/>
            </w:tcBorders>
          </w:tcPr>
          <w:p w14:paraId="25B652B0" w14:textId="77777777" w:rsidR="00F00C2A" w:rsidRPr="002E30F1" w:rsidRDefault="00F00C2A" w:rsidP="00733378">
            <w:pPr>
              <w:spacing w:after="0" w:line="240" w:lineRule="auto"/>
              <w:rPr>
                <w:rFonts w:ascii="Times New Roman" w:eastAsia="Times New Roman" w:hAnsi="Times New Roman" w:cs="Times New Roman"/>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5E8EEEDF" w14:textId="77777777" w:rsidR="00F00C2A" w:rsidRPr="002E30F1" w:rsidRDefault="00F00C2A" w:rsidP="00733378">
            <w:pPr>
              <w:spacing w:after="0" w:line="240" w:lineRule="auto"/>
              <w:rPr>
                <w:rFonts w:ascii="Times New Roman" w:eastAsia="Times New Roman" w:hAnsi="Times New Roman" w:cs="Times New Roman"/>
              </w:rPr>
            </w:pP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2C6EBF0C" w14:textId="77777777" w:rsidR="00F00C2A" w:rsidRPr="002E30F1" w:rsidRDefault="00F00C2A" w:rsidP="00733378">
            <w:pPr>
              <w:spacing w:after="0" w:line="240" w:lineRule="auto"/>
              <w:rPr>
                <w:rFonts w:ascii="Times New Roman" w:eastAsia="Times New Roman" w:hAnsi="Times New Roman" w:cs="Times New Roman"/>
              </w:rPr>
            </w:pPr>
          </w:p>
        </w:tc>
        <w:tc>
          <w:tcPr>
            <w:tcW w:w="990" w:type="dxa"/>
            <w:tcBorders>
              <w:top w:val="nil"/>
              <w:left w:val="single" w:sz="4" w:space="0" w:color="auto"/>
              <w:bottom w:val="nil"/>
              <w:right w:val="single" w:sz="4" w:space="0" w:color="auto"/>
            </w:tcBorders>
          </w:tcPr>
          <w:p w14:paraId="2FA407A0" w14:textId="77777777" w:rsidR="00F00C2A" w:rsidRPr="002E30F1" w:rsidRDefault="00F00C2A" w:rsidP="00733378">
            <w:pPr>
              <w:spacing w:after="0" w:line="240" w:lineRule="auto"/>
              <w:jc w:val="center"/>
              <w:rPr>
                <w:rFonts w:ascii="Times New Roman" w:eastAsia="Times New Roman" w:hAnsi="Times New Roman" w:cs="Times New Roman"/>
              </w:rPr>
            </w:pPr>
          </w:p>
        </w:tc>
      </w:tr>
      <w:tr w:rsidR="00F00C2A" w:rsidRPr="00A10586" w14:paraId="2B5322B2"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28B0BD37"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High school</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F57AD57"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0 (0%)</w:t>
            </w:r>
          </w:p>
        </w:tc>
        <w:tc>
          <w:tcPr>
            <w:tcW w:w="1430" w:type="dxa"/>
            <w:tcBorders>
              <w:top w:val="nil"/>
              <w:left w:val="single" w:sz="4" w:space="0" w:color="auto"/>
              <w:bottom w:val="nil"/>
              <w:right w:val="single" w:sz="4" w:space="0" w:color="auto"/>
            </w:tcBorders>
            <w:shd w:val="clear" w:color="auto" w:fill="F2F2F2"/>
          </w:tcPr>
          <w:p w14:paraId="01A1AB97"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 (15.38%)</w:t>
            </w:r>
          </w:p>
        </w:tc>
        <w:tc>
          <w:tcPr>
            <w:tcW w:w="1180" w:type="dxa"/>
            <w:tcBorders>
              <w:top w:val="nil"/>
              <w:left w:val="single" w:sz="4" w:space="0" w:color="auto"/>
              <w:bottom w:val="nil"/>
              <w:right w:val="single" w:sz="4" w:space="0" w:color="auto"/>
            </w:tcBorders>
            <w:shd w:val="clear" w:color="auto" w:fill="F2F2F2"/>
          </w:tcPr>
          <w:p w14:paraId="3240702F"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0.120</w:t>
            </w: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6D1C9AFB"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2 (20.0%)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7D7287B4"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0 (0%)</w:t>
            </w:r>
          </w:p>
        </w:tc>
        <w:tc>
          <w:tcPr>
            <w:tcW w:w="990" w:type="dxa"/>
            <w:tcBorders>
              <w:top w:val="nil"/>
              <w:left w:val="single" w:sz="4" w:space="0" w:color="auto"/>
              <w:bottom w:val="nil"/>
              <w:right w:val="single" w:sz="4" w:space="0" w:color="auto"/>
            </w:tcBorders>
            <w:shd w:val="clear" w:color="auto" w:fill="F2F2F2"/>
          </w:tcPr>
          <w:p w14:paraId="2DCCF802"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0.752</w:t>
            </w:r>
          </w:p>
        </w:tc>
      </w:tr>
      <w:tr w:rsidR="00F00C2A" w:rsidRPr="00A10586" w14:paraId="529A88D3"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2F66C275"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College</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143EDA66"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 (66.6%)</w:t>
            </w:r>
          </w:p>
        </w:tc>
        <w:tc>
          <w:tcPr>
            <w:tcW w:w="1430" w:type="dxa"/>
            <w:tcBorders>
              <w:top w:val="nil"/>
              <w:left w:val="single" w:sz="4" w:space="0" w:color="auto"/>
              <w:bottom w:val="nil"/>
              <w:right w:val="single" w:sz="4" w:space="0" w:color="auto"/>
            </w:tcBorders>
          </w:tcPr>
          <w:p w14:paraId="4A4D3101"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 (53.58%)</w:t>
            </w:r>
          </w:p>
        </w:tc>
        <w:tc>
          <w:tcPr>
            <w:tcW w:w="1180" w:type="dxa"/>
            <w:tcBorders>
              <w:top w:val="nil"/>
              <w:left w:val="single" w:sz="4" w:space="0" w:color="auto"/>
              <w:bottom w:val="nil"/>
              <w:right w:val="single" w:sz="4" w:space="0" w:color="auto"/>
            </w:tcBorders>
          </w:tcPr>
          <w:p w14:paraId="0E5DC4D0"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3E54240C"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 (60.0%)</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3CF7BAF3" w14:textId="77777777" w:rsidR="00F00C2A" w:rsidRPr="002E30F1" w:rsidRDefault="00F00C2A" w:rsidP="00733378">
            <w:pPr>
              <w:spacing w:after="0" w:line="256" w:lineRule="auto"/>
              <w:jc w:val="center"/>
              <w:rPr>
                <w:rFonts w:ascii="Times New Roman" w:eastAsia="Times New Roman" w:hAnsi="Times New Roman" w:cs="Times New Roman"/>
              </w:rPr>
            </w:pPr>
            <w:r w:rsidRPr="00430715">
              <w:rPr>
                <w:rFonts w:ascii="Times New Roman" w:eastAsia="Times New Roman" w:hAnsi="Times New Roman" w:cs="Times New Roman"/>
              </w:rPr>
              <w:t>5 (83.33%)</w:t>
            </w:r>
          </w:p>
        </w:tc>
        <w:tc>
          <w:tcPr>
            <w:tcW w:w="990" w:type="dxa"/>
            <w:tcBorders>
              <w:top w:val="nil"/>
              <w:left w:val="single" w:sz="4" w:space="0" w:color="auto"/>
              <w:bottom w:val="nil"/>
              <w:right w:val="single" w:sz="4" w:space="0" w:color="auto"/>
            </w:tcBorders>
          </w:tcPr>
          <w:p w14:paraId="06CBC6E9"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0F496CB1"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0D7FD8A1"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Post-grad</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7CA64105"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3 (33.3%)</w:t>
            </w:r>
          </w:p>
        </w:tc>
        <w:tc>
          <w:tcPr>
            <w:tcW w:w="1430" w:type="dxa"/>
            <w:tcBorders>
              <w:top w:val="nil"/>
              <w:left w:val="single" w:sz="4" w:space="0" w:color="auto"/>
              <w:bottom w:val="nil"/>
              <w:right w:val="single" w:sz="4" w:space="0" w:color="auto"/>
            </w:tcBorders>
            <w:shd w:val="clear" w:color="auto" w:fill="F2F2F2"/>
          </w:tcPr>
          <w:p w14:paraId="11196749"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 (30.77%)</w:t>
            </w:r>
          </w:p>
        </w:tc>
        <w:tc>
          <w:tcPr>
            <w:tcW w:w="1180" w:type="dxa"/>
            <w:tcBorders>
              <w:top w:val="nil"/>
              <w:left w:val="single" w:sz="4" w:space="0" w:color="auto"/>
              <w:bottom w:val="nil"/>
              <w:right w:val="single" w:sz="4" w:space="0" w:color="auto"/>
            </w:tcBorders>
            <w:shd w:val="clear" w:color="auto" w:fill="F2F2F2"/>
          </w:tcPr>
          <w:p w14:paraId="169C28C6"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7FD4F1D1"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2 (20.0%)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274DE07B"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1 (16.67%)</w:t>
            </w:r>
          </w:p>
        </w:tc>
        <w:tc>
          <w:tcPr>
            <w:tcW w:w="990" w:type="dxa"/>
            <w:tcBorders>
              <w:top w:val="nil"/>
              <w:left w:val="single" w:sz="4" w:space="0" w:color="auto"/>
              <w:bottom w:val="nil"/>
              <w:right w:val="single" w:sz="4" w:space="0" w:color="auto"/>
            </w:tcBorders>
            <w:shd w:val="clear" w:color="auto" w:fill="F2F2F2"/>
          </w:tcPr>
          <w:p w14:paraId="71A98468"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4CB69AFF"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0EDB6CCA"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APOE ε4 status- no. (%)</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12E9347D" w14:textId="77777777" w:rsidR="00F00C2A" w:rsidRPr="002E30F1" w:rsidRDefault="00F00C2A" w:rsidP="00733378">
            <w:pPr>
              <w:spacing w:after="0" w:line="240" w:lineRule="auto"/>
              <w:rPr>
                <w:rFonts w:ascii="Times New Roman" w:eastAsia="Times New Roman" w:hAnsi="Times New Roman" w:cs="Times New Roman"/>
              </w:rPr>
            </w:pPr>
          </w:p>
        </w:tc>
        <w:tc>
          <w:tcPr>
            <w:tcW w:w="1430" w:type="dxa"/>
            <w:tcBorders>
              <w:top w:val="nil"/>
              <w:left w:val="single" w:sz="4" w:space="0" w:color="auto"/>
              <w:bottom w:val="nil"/>
              <w:right w:val="single" w:sz="4" w:space="0" w:color="auto"/>
            </w:tcBorders>
          </w:tcPr>
          <w:p w14:paraId="178F4E3E" w14:textId="77777777" w:rsidR="00F00C2A" w:rsidRPr="002E30F1" w:rsidRDefault="00F00C2A" w:rsidP="00733378">
            <w:pPr>
              <w:spacing w:after="0" w:line="240" w:lineRule="auto"/>
              <w:rPr>
                <w:rFonts w:ascii="Times New Roman" w:eastAsia="Times New Roman" w:hAnsi="Times New Roman" w:cs="Times New Roman"/>
              </w:rPr>
            </w:pPr>
          </w:p>
        </w:tc>
        <w:tc>
          <w:tcPr>
            <w:tcW w:w="1180" w:type="dxa"/>
            <w:tcBorders>
              <w:top w:val="nil"/>
              <w:left w:val="single" w:sz="4" w:space="0" w:color="auto"/>
              <w:bottom w:val="nil"/>
              <w:right w:val="single" w:sz="4" w:space="0" w:color="auto"/>
            </w:tcBorders>
          </w:tcPr>
          <w:p w14:paraId="6FB96827" w14:textId="77777777" w:rsidR="00F00C2A" w:rsidRPr="002E30F1" w:rsidRDefault="00F00C2A" w:rsidP="00733378">
            <w:pPr>
              <w:spacing w:after="0" w:line="240" w:lineRule="auto"/>
              <w:rPr>
                <w:rFonts w:ascii="Times New Roman" w:eastAsia="Times New Roman" w:hAnsi="Times New Roman" w:cs="Times New Roman"/>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36DD92E2" w14:textId="77777777" w:rsidR="00F00C2A" w:rsidRPr="002E30F1" w:rsidRDefault="00F00C2A" w:rsidP="00733378">
            <w:pPr>
              <w:spacing w:after="0" w:line="240" w:lineRule="auto"/>
              <w:rPr>
                <w:rFonts w:ascii="Times New Roman" w:eastAsia="Times New Roman" w:hAnsi="Times New Roman" w:cs="Times New Roman"/>
              </w:rPr>
            </w:pP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6D58C589" w14:textId="77777777" w:rsidR="00F00C2A" w:rsidRPr="002E30F1" w:rsidRDefault="00F00C2A" w:rsidP="00733378">
            <w:pPr>
              <w:spacing w:after="0" w:line="240" w:lineRule="auto"/>
              <w:rPr>
                <w:rFonts w:ascii="Times New Roman" w:eastAsia="Times New Roman" w:hAnsi="Times New Roman" w:cs="Times New Roman"/>
              </w:rPr>
            </w:pPr>
          </w:p>
        </w:tc>
        <w:tc>
          <w:tcPr>
            <w:tcW w:w="990" w:type="dxa"/>
            <w:tcBorders>
              <w:top w:val="nil"/>
              <w:left w:val="single" w:sz="4" w:space="0" w:color="auto"/>
              <w:bottom w:val="nil"/>
              <w:right w:val="single" w:sz="4" w:space="0" w:color="auto"/>
            </w:tcBorders>
          </w:tcPr>
          <w:p w14:paraId="019F0605" w14:textId="77777777" w:rsidR="00F00C2A" w:rsidRPr="002E30F1" w:rsidRDefault="00F00C2A" w:rsidP="00733378">
            <w:pPr>
              <w:spacing w:after="0" w:line="240" w:lineRule="auto"/>
              <w:jc w:val="center"/>
              <w:rPr>
                <w:rFonts w:ascii="Times New Roman" w:eastAsia="Times New Roman" w:hAnsi="Times New Roman" w:cs="Times New Roman"/>
              </w:rPr>
            </w:pPr>
          </w:p>
        </w:tc>
      </w:tr>
      <w:tr w:rsidR="00F00C2A" w:rsidRPr="00A10586" w14:paraId="7DFBED34"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46516C9"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Noncarrier</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0527DC6A"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3 (33.3%)</w:t>
            </w:r>
          </w:p>
        </w:tc>
        <w:tc>
          <w:tcPr>
            <w:tcW w:w="1430" w:type="dxa"/>
            <w:tcBorders>
              <w:top w:val="nil"/>
              <w:left w:val="single" w:sz="4" w:space="0" w:color="auto"/>
              <w:bottom w:val="nil"/>
              <w:right w:val="single" w:sz="4" w:space="0" w:color="auto"/>
            </w:tcBorders>
            <w:shd w:val="clear" w:color="auto" w:fill="F2F2F2"/>
          </w:tcPr>
          <w:p w14:paraId="653F753E"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 (30.77%)</w:t>
            </w:r>
          </w:p>
        </w:tc>
        <w:tc>
          <w:tcPr>
            <w:tcW w:w="1180" w:type="dxa"/>
            <w:tcBorders>
              <w:top w:val="nil"/>
              <w:left w:val="single" w:sz="4" w:space="0" w:color="auto"/>
              <w:bottom w:val="nil"/>
              <w:right w:val="single" w:sz="4" w:space="0" w:color="auto"/>
            </w:tcBorders>
            <w:shd w:val="clear" w:color="auto" w:fill="F2F2F2"/>
          </w:tcPr>
          <w:p w14:paraId="4E81C834"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63EA5652"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2 (20.0%)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2FFE630E"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2 (33.33%)</w:t>
            </w:r>
          </w:p>
        </w:tc>
        <w:tc>
          <w:tcPr>
            <w:tcW w:w="990" w:type="dxa"/>
            <w:tcBorders>
              <w:top w:val="nil"/>
              <w:left w:val="single" w:sz="4" w:space="0" w:color="auto"/>
              <w:bottom w:val="nil"/>
              <w:right w:val="single" w:sz="4" w:space="0" w:color="auto"/>
            </w:tcBorders>
            <w:shd w:val="clear" w:color="auto" w:fill="F2F2F2"/>
          </w:tcPr>
          <w:p w14:paraId="4D2ACCB4"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0.065</w:t>
            </w:r>
          </w:p>
        </w:tc>
      </w:tr>
      <w:tr w:rsidR="00F00C2A" w:rsidRPr="00A10586" w14:paraId="75246403"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44C7DF99"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Carrier-Heterozygotes</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42D9C63A"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4 (44.4%)</w:t>
            </w:r>
          </w:p>
        </w:tc>
        <w:tc>
          <w:tcPr>
            <w:tcW w:w="1430" w:type="dxa"/>
            <w:tcBorders>
              <w:top w:val="nil"/>
              <w:left w:val="single" w:sz="4" w:space="0" w:color="auto"/>
              <w:bottom w:val="nil"/>
              <w:right w:val="single" w:sz="4" w:space="0" w:color="auto"/>
            </w:tcBorders>
          </w:tcPr>
          <w:p w14:paraId="37966A26"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 (38.46%)</w:t>
            </w:r>
          </w:p>
        </w:tc>
        <w:tc>
          <w:tcPr>
            <w:tcW w:w="1180" w:type="dxa"/>
            <w:tcBorders>
              <w:top w:val="nil"/>
              <w:left w:val="single" w:sz="4" w:space="0" w:color="auto"/>
              <w:bottom w:val="nil"/>
              <w:right w:val="single" w:sz="4" w:space="0" w:color="auto"/>
            </w:tcBorders>
          </w:tcPr>
          <w:p w14:paraId="20730DCC"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78E5045A"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6 (60.0%)</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04E4E836"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0 (0.00%)</w:t>
            </w:r>
          </w:p>
        </w:tc>
        <w:tc>
          <w:tcPr>
            <w:tcW w:w="990" w:type="dxa"/>
            <w:tcBorders>
              <w:top w:val="nil"/>
              <w:left w:val="single" w:sz="4" w:space="0" w:color="auto"/>
              <w:bottom w:val="nil"/>
              <w:right w:val="single" w:sz="4" w:space="0" w:color="auto"/>
            </w:tcBorders>
          </w:tcPr>
          <w:p w14:paraId="5CAD084D"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7D70A316"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101DB277"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Carrier-Homozygotes</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5E543DF2"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2 (22.2%)</w:t>
            </w:r>
          </w:p>
        </w:tc>
        <w:tc>
          <w:tcPr>
            <w:tcW w:w="1430" w:type="dxa"/>
            <w:tcBorders>
              <w:top w:val="nil"/>
              <w:left w:val="single" w:sz="4" w:space="0" w:color="auto"/>
              <w:bottom w:val="nil"/>
              <w:right w:val="single" w:sz="4" w:space="0" w:color="auto"/>
            </w:tcBorders>
            <w:shd w:val="clear" w:color="auto" w:fill="F2F2F2"/>
          </w:tcPr>
          <w:p w14:paraId="60D94806"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 (30.77%)</w:t>
            </w:r>
          </w:p>
        </w:tc>
        <w:tc>
          <w:tcPr>
            <w:tcW w:w="1180" w:type="dxa"/>
            <w:tcBorders>
              <w:top w:val="nil"/>
              <w:left w:val="single" w:sz="4" w:space="0" w:color="auto"/>
              <w:bottom w:val="nil"/>
              <w:right w:val="single" w:sz="4" w:space="0" w:color="auto"/>
            </w:tcBorders>
            <w:shd w:val="clear" w:color="auto" w:fill="F2F2F2"/>
          </w:tcPr>
          <w:p w14:paraId="0AAD0997"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2B559F8D"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2 (20.0%)</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0ED6B8D2"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4 (66.67%)</w:t>
            </w:r>
          </w:p>
        </w:tc>
        <w:tc>
          <w:tcPr>
            <w:tcW w:w="990" w:type="dxa"/>
            <w:tcBorders>
              <w:top w:val="nil"/>
              <w:left w:val="single" w:sz="4" w:space="0" w:color="auto"/>
              <w:bottom w:val="nil"/>
              <w:right w:val="single" w:sz="4" w:space="0" w:color="auto"/>
            </w:tcBorders>
            <w:shd w:val="clear" w:color="auto" w:fill="F2F2F2"/>
          </w:tcPr>
          <w:p w14:paraId="5E7D0689"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50C27926"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652D83B8"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b/>
                <w:bCs/>
                <w:color w:val="000000"/>
              </w:rPr>
              <w:t>Cognitive scales (MEAN±SD)</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1E230615"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430" w:type="dxa"/>
            <w:tcBorders>
              <w:top w:val="nil"/>
              <w:left w:val="single" w:sz="4" w:space="0" w:color="auto"/>
              <w:bottom w:val="nil"/>
              <w:right w:val="single" w:sz="4" w:space="0" w:color="auto"/>
            </w:tcBorders>
          </w:tcPr>
          <w:p w14:paraId="40AD1E1C"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180" w:type="dxa"/>
            <w:tcBorders>
              <w:top w:val="nil"/>
              <w:left w:val="single" w:sz="4" w:space="0" w:color="auto"/>
              <w:bottom w:val="nil"/>
              <w:right w:val="single" w:sz="4" w:space="0" w:color="auto"/>
            </w:tcBorders>
          </w:tcPr>
          <w:p w14:paraId="4C68E0C7"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6E840C81"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 </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5AE0A560" w14:textId="77777777" w:rsidR="00F00C2A" w:rsidRPr="002E30F1" w:rsidRDefault="00F00C2A" w:rsidP="00733378">
            <w:pPr>
              <w:spacing w:after="0" w:line="256" w:lineRule="auto"/>
              <w:jc w:val="center"/>
              <w:rPr>
                <w:rFonts w:ascii="Times New Roman" w:eastAsia="Times New Roman" w:hAnsi="Times New Roman" w:cs="Times New Roman"/>
              </w:rPr>
            </w:pPr>
          </w:p>
        </w:tc>
        <w:tc>
          <w:tcPr>
            <w:tcW w:w="990" w:type="dxa"/>
            <w:tcBorders>
              <w:top w:val="nil"/>
              <w:left w:val="single" w:sz="4" w:space="0" w:color="auto"/>
              <w:bottom w:val="nil"/>
              <w:right w:val="single" w:sz="4" w:space="0" w:color="auto"/>
            </w:tcBorders>
          </w:tcPr>
          <w:p w14:paraId="77353F18" w14:textId="77777777" w:rsidR="00F00C2A" w:rsidRPr="002E30F1" w:rsidRDefault="00F00C2A" w:rsidP="00733378">
            <w:pPr>
              <w:spacing w:after="0" w:line="256" w:lineRule="auto"/>
              <w:jc w:val="center"/>
              <w:rPr>
                <w:rFonts w:ascii="Times New Roman" w:eastAsia="Times New Roman" w:hAnsi="Times New Roman" w:cs="Times New Roman"/>
                <w:color w:val="000000"/>
              </w:rPr>
            </w:pPr>
          </w:p>
        </w:tc>
      </w:tr>
      <w:tr w:rsidR="00F00C2A" w:rsidRPr="00A10586" w14:paraId="02DB88A4" w14:textId="77777777" w:rsidTr="00F00C2A">
        <w:trPr>
          <w:trHeight w:val="320"/>
        </w:trPr>
        <w:tc>
          <w:tcPr>
            <w:tcW w:w="2637"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4FAE8357"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MMSE score </w:t>
            </w:r>
          </w:p>
        </w:tc>
        <w:tc>
          <w:tcPr>
            <w:tcW w:w="1233"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74F186F4"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18.7</w:t>
            </w:r>
          </w:p>
        </w:tc>
        <w:tc>
          <w:tcPr>
            <w:tcW w:w="1430" w:type="dxa"/>
            <w:tcBorders>
              <w:top w:val="nil"/>
              <w:left w:val="single" w:sz="4" w:space="0" w:color="auto"/>
              <w:bottom w:val="nil"/>
              <w:right w:val="single" w:sz="4" w:space="0" w:color="auto"/>
            </w:tcBorders>
            <w:shd w:val="clear" w:color="auto" w:fill="F2F2F2"/>
          </w:tcPr>
          <w:p w14:paraId="70D3437C"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16.8</w:t>
            </w:r>
          </w:p>
        </w:tc>
        <w:tc>
          <w:tcPr>
            <w:tcW w:w="1180" w:type="dxa"/>
            <w:tcBorders>
              <w:top w:val="nil"/>
              <w:left w:val="single" w:sz="4" w:space="0" w:color="auto"/>
              <w:bottom w:val="nil"/>
              <w:right w:val="single" w:sz="4" w:space="0" w:color="auto"/>
            </w:tcBorders>
            <w:shd w:val="clear" w:color="auto" w:fill="F2F2F2"/>
          </w:tcPr>
          <w:p w14:paraId="73D0EE32"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0.975</w:t>
            </w:r>
          </w:p>
        </w:tc>
        <w:tc>
          <w:tcPr>
            <w:tcW w:w="126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hideMark/>
          </w:tcPr>
          <w:p w14:paraId="314EE1A3"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18.5</w:t>
            </w:r>
          </w:p>
        </w:tc>
        <w:tc>
          <w:tcPr>
            <w:tcW w:w="1350" w:type="dxa"/>
            <w:tcBorders>
              <w:top w:val="nil"/>
              <w:left w:val="single" w:sz="4" w:space="0" w:color="auto"/>
              <w:bottom w:val="nil"/>
              <w:right w:val="single" w:sz="4" w:space="0" w:color="auto"/>
            </w:tcBorders>
            <w:shd w:val="clear" w:color="auto" w:fill="F2F2F2"/>
            <w:tcMar>
              <w:top w:w="15" w:type="dxa"/>
              <w:left w:w="108" w:type="dxa"/>
              <w:bottom w:w="0" w:type="dxa"/>
              <w:right w:w="108" w:type="dxa"/>
            </w:tcMar>
          </w:tcPr>
          <w:p w14:paraId="3A32EC3A"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18.5</w:t>
            </w:r>
          </w:p>
        </w:tc>
        <w:tc>
          <w:tcPr>
            <w:tcW w:w="990" w:type="dxa"/>
            <w:tcBorders>
              <w:top w:val="nil"/>
              <w:left w:val="single" w:sz="4" w:space="0" w:color="auto"/>
              <w:bottom w:val="nil"/>
              <w:right w:val="single" w:sz="4" w:space="0" w:color="auto"/>
            </w:tcBorders>
            <w:shd w:val="clear" w:color="auto" w:fill="F2F2F2"/>
          </w:tcPr>
          <w:p w14:paraId="4E9D47E2"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F00C2A" w:rsidRPr="00A10586" w14:paraId="3392EAE7" w14:textId="77777777" w:rsidTr="00F00C2A">
        <w:trPr>
          <w:trHeight w:val="320"/>
        </w:trPr>
        <w:tc>
          <w:tcPr>
            <w:tcW w:w="2637"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3B159F65" w14:textId="77777777" w:rsidR="00F00C2A" w:rsidRPr="002E30F1" w:rsidRDefault="00F00C2A" w:rsidP="00733378">
            <w:pPr>
              <w:spacing w:after="0" w:line="256" w:lineRule="auto"/>
              <w:rPr>
                <w:rFonts w:ascii="Times New Roman" w:eastAsia="Times New Roman" w:hAnsi="Times New Roman" w:cs="Times New Roman"/>
              </w:rPr>
            </w:pPr>
            <w:r w:rsidRPr="002E30F1">
              <w:rPr>
                <w:rFonts w:ascii="Times New Roman" w:eastAsia="Times New Roman" w:hAnsi="Times New Roman" w:cs="Times New Roman"/>
                <w:color w:val="000000"/>
              </w:rPr>
              <w:t xml:space="preserve">       CDR-SOB score</w:t>
            </w:r>
          </w:p>
        </w:tc>
        <w:tc>
          <w:tcPr>
            <w:tcW w:w="1233"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4790B8CA"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4.7</w:t>
            </w:r>
          </w:p>
        </w:tc>
        <w:tc>
          <w:tcPr>
            <w:tcW w:w="1430" w:type="dxa"/>
            <w:tcBorders>
              <w:top w:val="nil"/>
              <w:left w:val="single" w:sz="4" w:space="0" w:color="auto"/>
              <w:bottom w:val="nil"/>
              <w:right w:val="single" w:sz="4" w:space="0" w:color="auto"/>
            </w:tcBorders>
          </w:tcPr>
          <w:p w14:paraId="160DF8B9"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4.6</w:t>
            </w:r>
          </w:p>
        </w:tc>
        <w:tc>
          <w:tcPr>
            <w:tcW w:w="1180" w:type="dxa"/>
            <w:tcBorders>
              <w:top w:val="nil"/>
              <w:left w:val="single" w:sz="4" w:space="0" w:color="auto"/>
              <w:bottom w:val="nil"/>
              <w:right w:val="single" w:sz="4" w:space="0" w:color="auto"/>
            </w:tcBorders>
          </w:tcPr>
          <w:p w14:paraId="310B94CB"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0.939</w:t>
            </w:r>
          </w:p>
        </w:tc>
        <w:tc>
          <w:tcPr>
            <w:tcW w:w="1260" w:type="dxa"/>
            <w:tcBorders>
              <w:top w:val="nil"/>
              <w:left w:val="single" w:sz="4" w:space="0" w:color="auto"/>
              <w:bottom w:val="nil"/>
              <w:right w:val="single" w:sz="4" w:space="0" w:color="auto"/>
            </w:tcBorders>
            <w:shd w:val="clear" w:color="auto" w:fill="auto"/>
            <w:tcMar>
              <w:top w:w="15" w:type="dxa"/>
              <w:left w:w="108" w:type="dxa"/>
              <w:bottom w:w="0" w:type="dxa"/>
              <w:right w:w="108" w:type="dxa"/>
            </w:tcMar>
            <w:hideMark/>
          </w:tcPr>
          <w:p w14:paraId="24580371" w14:textId="77777777" w:rsidR="00F00C2A" w:rsidRPr="002E30F1" w:rsidRDefault="00F00C2A" w:rsidP="00733378">
            <w:pPr>
              <w:spacing w:after="0" w:line="256" w:lineRule="auto"/>
              <w:jc w:val="center"/>
              <w:rPr>
                <w:rFonts w:ascii="Times New Roman" w:eastAsia="Times New Roman" w:hAnsi="Times New Roman" w:cs="Times New Roman"/>
              </w:rPr>
            </w:pPr>
            <w:r w:rsidRPr="002E30F1">
              <w:rPr>
                <w:rFonts w:ascii="Times New Roman" w:eastAsia="Times New Roman" w:hAnsi="Times New Roman" w:cs="Times New Roman"/>
                <w:color w:val="000000"/>
              </w:rPr>
              <w:t>4.3</w:t>
            </w:r>
          </w:p>
        </w:tc>
        <w:tc>
          <w:tcPr>
            <w:tcW w:w="1350" w:type="dxa"/>
            <w:tcBorders>
              <w:top w:val="nil"/>
              <w:left w:val="single" w:sz="4" w:space="0" w:color="auto"/>
              <w:bottom w:val="nil"/>
              <w:right w:val="single" w:sz="4" w:space="0" w:color="auto"/>
            </w:tcBorders>
            <w:shd w:val="clear" w:color="auto" w:fill="auto"/>
            <w:tcMar>
              <w:top w:w="15" w:type="dxa"/>
              <w:left w:w="108" w:type="dxa"/>
              <w:bottom w:w="0" w:type="dxa"/>
              <w:right w:w="108" w:type="dxa"/>
            </w:tcMar>
          </w:tcPr>
          <w:p w14:paraId="5F88DBC4" w14:textId="77777777" w:rsidR="00F00C2A" w:rsidRPr="002E30F1" w:rsidRDefault="00F00C2A" w:rsidP="00733378">
            <w:pPr>
              <w:spacing w:after="0" w:line="256" w:lineRule="auto"/>
              <w:jc w:val="center"/>
              <w:rPr>
                <w:rFonts w:ascii="Times New Roman" w:eastAsia="Times New Roman" w:hAnsi="Times New Roman" w:cs="Times New Roman"/>
              </w:rPr>
            </w:pPr>
            <w:r>
              <w:rPr>
                <w:rFonts w:ascii="Times New Roman" w:eastAsia="Times New Roman" w:hAnsi="Times New Roman" w:cs="Times New Roman"/>
              </w:rPr>
              <w:t>5.3</w:t>
            </w:r>
          </w:p>
        </w:tc>
        <w:tc>
          <w:tcPr>
            <w:tcW w:w="990" w:type="dxa"/>
            <w:tcBorders>
              <w:top w:val="nil"/>
              <w:left w:val="single" w:sz="4" w:space="0" w:color="auto"/>
              <w:bottom w:val="nil"/>
              <w:right w:val="single" w:sz="4" w:space="0" w:color="auto"/>
            </w:tcBorders>
          </w:tcPr>
          <w:p w14:paraId="2063E69D"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sidRPr="002E30F1">
              <w:rPr>
                <w:rFonts w:ascii="Times New Roman" w:eastAsia="Times New Roman" w:hAnsi="Times New Roman" w:cs="Times New Roman"/>
                <w:color w:val="000000"/>
              </w:rPr>
              <w:t>0.</w:t>
            </w:r>
            <w:r>
              <w:rPr>
                <w:rFonts w:ascii="Times New Roman" w:eastAsia="Times New Roman" w:hAnsi="Times New Roman" w:cs="Times New Roman"/>
                <w:color w:val="000000"/>
              </w:rPr>
              <w:t>445</w:t>
            </w:r>
          </w:p>
        </w:tc>
      </w:tr>
      <w:tr w:rsidR="00F00C2A" w:rsidRPr="00A10586" w14:paraId="77A46C03" w14:textId="77777777" w:rsidTr="00F00C2A">
        <w:trPr>
          <w:trHeight w:val="282"/>
        </w:trPr>
        <w:tc>
          <w:tcPr>
            <w:tcW w:w="2637" w:type="dxa"/>
            <w:tcBorders>
              <w:top w:val="nil"/>
              <w:left w:val="single" w:sz="4" w:space="0" w:color="auto"/>
              <w:bottom w:val="single" w:sz="4" w:space="0" w:color="auto"/>
              <w:right w:val="single" w:sz="4" w:space="0" w:color="auto"/>
            </w:tcBorders>
            <w:shd w:val="clear" w:color="auto" w:fill="F2F2F2"/>
            <w:tcMar>
              <w:top w:w="15" w:type="dxa"/>
              <w:left w:w="108" w:type="dxa"/>
              <w:bottom w:w="0" w:type="dxa"/>
              <w:right w:w="108" w:type="dxa"/>
            </w:tcMar>
            <w:hideMark/>
          </w:tcPr>
          <w:p w14:paraId="264A7FE7" w14:textId="77777777" w:rsidR="00F00C2A" w:rsidRPr="002E30F1" w:rsidRDefault="00F00C2A" w:rsidP="00733378">
            <w:pPr>
              <w:spacing w:after="0" w:line="256" w:lineRule="auto"/>
              <w:rPr>
                <w:rFonts w:ascii="Times New Roman" w:eastAsia="Times New Roman" w:hAnsi="Times New Roman" w:cs="Times New Roman"/>
                <w:color w:val="000000"/>
              </w:rPr>
            </w:pPr>
            <w:r w:rsidRPr="002E30F1">
              <w:rPr>
                <w:rFonts w:ascii="Times New Roman" w:eastAsia="Times New Roman" w:hAnsi="Times New Roman" w:cs="Times New Roman"/>
                <w:color w:val="000000"/>
              </w:rPr>
              <w:t xml:space="preserve">       ADAS-Cog score</w:t>
            </w:r>
          </w:p>
        </w:tc>
        <w:tc>
          <w:tcPr>
            <w:tcW w:w="1233" w:type="dxa"/>
            <w:tcBorders>
              <w:top w:val="nil"/>
              <w:left w:val="single" w:sz="4" w:space="0" w:color="auto"/>
              <w:bottom w:val="single" w:sz="4" w:space="0" w:color="auto"/>
              <w:right w:val="single" w:sz="4" w:space="0" w:color="auto"/>
            </w:tcBorders>
            <w:shd w:val="clear" w:color="auto" w:fill="F2F2F2"/>
            <w:tcMar>
              <w:top w:w="15" w:type="dxa"/>
              <w:left w:w="108" w:type="dxa"/>
              <w:bottom w:w="0" w:type="dxa"/>
              <w:right w:w="108" w:type="dxa"/>
            </w:tcMar>
            <w:hideMark/>
          </w:tcPr>
          <w:p w14:paraId="13198E8C"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sidRPr="002E30F1">
              <w:rPr>
                <w:rFonts w:ascii="Times New Roman" w:eastAsia="Times New Roman" w:hAnsi="Times New Roman" w:cs="Times New Roman"/>
                <w:color w:val="000000"/>
              </w:rPr>
              <w:t>31.2</w:t>
            </w:r>
          </w:p>
        </w:tc>
        <w:tc>
          <w:tcPr>
            <w:tcW w:w="1430" w:type="dxa"/>
            <w:tcBorders>
              <w:top w:val="nil"/>
              <w:left w:val="single" w:sz="4" w:space="0" w:color="auto"/>
              <w:bottom w:val="single" w:sz="4" w:space="0" w:color="auto"/>
              <w:right w:val="single" w:sz="4" w:space="0" w:color="auto"/>
            </w:tcBorders>
            <w:shd w:val="clear" w:color="auto" w:fill="F2F2F2"/>
          </w:tcPr>
          <w:p w14:paraId="567E4B3A"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35.3</w:t>
            </w:r>
          </w:p>
        </w:tc>
        <w:tc>
          <w:tcPr>
            <w:tcW w:w="1180" w:type="dxa"/>
            <w:tcBorders>
              <w:top w:val="nil"/>
              <w:left w:val="single" w:sz="4" w:space="0" w:color="auto"/>
              <w:bottom w:val="single" w:sz="4" w:space="0" w:color="auto"/>
              <w:right w:val="single" w:sz="4" w:space="0" w:color="auto"/>
            </w:tcBorders>
            <w:shd w:val="clear" w:color="auto" w:fill="F2F2F2"/>
          </w:tcPr>
          <w:p w14:paraId="4618DD04"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0.552</w:t>
            </w:r>
          </w:p>
        </w:tc>
        <w:tc>
          <w:tcPr>
            <w:tcW w:w="1260" w:type="dxa"/>
            <w:tcBorders>
              <w:top w:val="nil"/>
              <w:left w:val="single" w:sz="4" w:space="0" w:color="auto"/>
              <w:bottom w:val="single" w:sz="4" w:space="0" w:color="auto"/>
              <w:right w:val="single" w:sz="4" w:space="0" w:color="auto"/>
            </w:tcBorders>
            <w:shd w:val="clear" w:color="auto" w:fill="F2F2F2"/>
            <w:tcMar>
              <w:top w:w="15" w:type="dxa"/>
              <w:left w:w="108" w:type="dxa"/>
              <w:bottom w:w="0" w:type="dxa"/>
              <w:right w:w="108" w:type="dxa"/>
            </w:tcMar>
            <w:hideMark/>
          </w:tcPr>
          <w:p w14:paraId="42E3C057" w14:textId="77777777" w:rsidR="00F00C2A" w:rsidRPr="008F0FEE" w:rsidRDefault="00F00C2A" w:rsidP="00733378">
            <w:pPr>
              <w:spacing w:after="0" w:line="256" w:lineRule="auto"/>
              <w:jc w:val="center"/>
              <w:rPr>
                <w:rFonts w:ascii="Times New Roman" w:eastAsia="Times New Roman" w:hAnsi="Times New Roman" w:cs="Times New Roman"/>
                <w:color w:val="000000"/>
              </w:rPr>
            </w:pPr>
            <w:r w:rsidRPr="002E30F1">
              <w:rPr>
                <w:rFonts w:ascii="Times New Roman" w:eastAsia="Times New Roman" w:hAnsi="Times New Roman" w:cs="Times New Roman"/>
                <w:color w:val="000000"/>
              </w:rPr>
              <w:t>30.7</w:t>
            </w:r>
          </w:p>
        </w:tc>
        <w:tc>
          <w:tcPr>
            <w:tcW w:w="1350" w:type="dxa"/>
            <w:tcBorders>
              <w:top w:val="nil"/>
              <w:left w:val="single" w:sz="4" w:space="0" w:color="auto"/>
              <w:bottom w:val="single" w:sz="4" w:space="0" w:color="auto"/>
              <w:right w:val="single" w:sz="4" w:space="0" w:color="auto"/>
            </w:tcBorders>
            <w:shd w:val="clear" w:color="auto" w:fill="F2F2F2"/>
            <w:tcMar>
              <w:top w:w="15" w:type="dxa"/>
              <w:left w:w="108" w:type="dxa"/>
              <w:bottom w:w="0" w:type="dxa"/>
              <w:right w:w="108" w:type="dxa"/>
            </w:tcMar>
          </w:tcPr>
          <w:p w14:paraId="365693EF" w14:textId="77777777" w:rsidR="00F00C2A" w:rsidRPr="008F0FEE"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37.3</w:t>
            </w:r>
          </w:p>
        </w:tc>
        <w:tc>
          <w:tcPr>
            <w:tcW w:w="990" w:type="dxa"/>
            <w:tcBorders>
              <w:top w:val="nil"/>
              <w:left w:val="single" w:sz="4" w:space="0" w:color="auto"/>
              <w:bottom w:val="single" w:sz="4" w:space="0" w:color="auto"/>
              <w:right w:val="single" w:sz="4" w:space="0" w:color="auto"/>
            </w:tcBorders>
            <w:shd w:val="clear" w:color="auto" w:fill="F2F2F2"/>
          </w:tcPr>
          <w:p w14:paraId="327618DC" w14:textId="77777777" w:rsidR="00F00C2A" w:rsidRPr="002E30F1" w:rsidRDefault="00F00C2A" w:rsidP="00733378">
            <w:pPr>
              <w:spacing w:after="0" w:line="25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0.209</w:t>
            </w:r>
          </w:p>
        </w:tc>
      </w:tr>
    </w:tbl>
    <w:p w14:paraId="572A8129"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55A9F296"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3320D187"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29119CC1"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4EB299CA"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2ABFB4F1"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255C787A"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32311BA7"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624A264E" w14:textId="77777777" w:rsidR="00CB1E4C" w:rsidRDefault="00CB1E4C" w:rsidP="005304F0">
      <w:pPr>
        <w:spacing w:line="360" w:lineRule="auto"/>
        <w:contextualSpacing/>
        <w:rPr>
          <w:rFonts w:ascii="Times New Roman" w:eastAsia="Aptos" w:hAnsi="Times New Roman" w:cs="Times New Roman"/>
          <w:b/>
          <w:bCs/>
          <w:noProof/>
          <w:kern w:val="2"/>
          <w14:ligatures w14:val="standardContextual"/>
        </w:rPr>
      </w:pPr>
    </w:p>
    <w:p w14:paraId="7DED4FA2" w14:textId="51AC7A6B" w:rsidR="00956DBA" w:rsidRDefault="00F34060" w:rsidP="005304F0">
      <w:pPr>
        <w:spacing w:line="360" w:lineRule="auto"/>
        <w:contextualSpacing/>
        <w:rPr>
          <w:rFonts w:ascii="Times New Roman" w:eastAsia="Aptos" w:hAnsi="Times New Roman" w:cs="Times New Roman"/>
          <w:b/>
          <w:bCs/>
          <w:noProof/>
          <w:kern w:val="2"/>
          <w14:ligatures w14:val="standardContextual"/>
        </w:rPr>
      </w:pPr>
      <w:r>
        <w:rPr>
          <w:rFonts w:ascii="Times New Roman" w:eastAsia="Aptos" w:hAnsi="Times New Roman" w:cs="Times New Roman"/>
          <w:b/>
          <w:bCs/>
          <w:noProof/>
          <w:kern w:val="2"/>
          <w14:ligatures w14:val="standardContextual"/>
        </w:rPr>
        <w:t xml:space="preserve">eTable-2: The means of safety laboratoy values at baselina and at the end of the treatment phase in </w:t>
      </w:r>
      <w:r w:rsidRPr="00F34060">
        <w:rPr>
          <w:rFonts w:ascii="Times New Roman" w:eastAsia="Aptos" w:hAnsi="Times New Roman" w:cs="Times New Roman"/>
          <w:b/>
          <w:bCs/>
          <w:noProof/>
          <w:kern w:val="2"/>
          <w14:ligatures w14:val="standardContextual"/>
        </w:rPr>
        <w:t>clinical trial participants</w:t>
      </w:r>
      <w:r>
        <w:rPr>
          <w:rFonts w:ascii="Times New Roman" w:eastAsia="Aptos" w:hAnsi="Times New Roman" w:cs="Times New Roman"/>
          <w:b/>
          <w:bCs/>
          <w:noProof/>
          <w:kern w:val="2"/>
          <w14:ligatures w14:val="standardContextual"/>
        </w:rPr>
        <w:t>.</w:t>
      </w:r>
    </w:p>
    <w:p w14:paraId="0D6C2492" w14:textId="77777777" w:rsidR="0034354C" w:rsidRDefault="00F34060" w:rsidP="005304F0">
      <w:pPr>
        <w:spacing w:line="360" w:lineRule="auto"/>
        <w:contextualSpacing/>
        <w:rPr>
          <w:rFonts w:ascii="Times New Roman" w:eastAsia="Aptos" w:hAnsi="Times New Roman" w:cs="Times New Roman"/>
          <w:b/>
          <w:bCs/>
          <w:kern w:val="2"/>
          <w14:ligatures w14:val="standardContextual"/>
        </w:rPr>
      </w:pPr>
      <w:r w:rsidRPr="00841245">
        <w:rPr>
          <w:rFonts w:eastAsia="Calibri"/>
          <w:noProof/>
        </w:rPr>
        <w:lastRenderedPageBreak/>
        <w:drawing>
          <wp:inline distT="0" distB="0" distL="0" distR="0" wp14:anchorId="7F23ADCE" wp14:editId="3C1DC4CB">
            <wp:extent cx="3176905" cy="89725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6905" cy="8972550"/>
                    </a:xfrm>
                    <a:prstGeom prst="rect">
                      <a:avLst/>
                    </a:prstGeom>
                    <a:noFill/>
                    <a:ln>
                      <a:noFill/>
                    </a:ln>
                  </pic:spPr>
                </pic:pic>
              </a:graphicData>
            </a:graphic>
          </wp:inline>
        </w:drawing>
      </w:r>
    </w:p>
    <w:p w14:paraId="732D800E" w14:textId="4EAAE6FC" w:rsidR="00F00C2A" w:rsidRDefault="00A7343D" w:rsidP="005304F0">
      <w:pPr>
        <w:spacing w:line="360" w:lineRule="auto"/>
        <w:contextualSpacing/>
        <w:rPr>
          <w:rFonts w:ascii="Times New Roman" w:eastAsia="Aptos" w:hAnsi="Times New Roman" w:cs="Times New Roman"/>
          <w:b/>
          <w:bCs/>
          <w:kern w:val="2"/>
          <w14:ligatures w14:val="standardContextual"/>
        </w:rPr>
      </w:pPr>
      <w:r>
        <w:rPr>
          <w:rFonts w:ascii="Times New Roman" w:eastAsia="Aptos" w:hAnsi="Times New Roman" w:cs="Times New Roman"/>
          <w:b/>
          <w:bCs/>
          <w:kern w:val="2"/>
          <w14:ligatures w14:val="standardContextual"/>
        </w:rPr>
        <w:lastRenderedPageBreak/>
        <w:t>e</w:t>
      </w:r>
      <w:r w:rsidR="00956DBA" w:rsidRPr="00956DBA">
        <w:rPr>
          <w:rFonts w:ascii="Times New Roman" w:eastAsia="Aptos" w:hAnsi="Times New Roman" w:cs="Times New Roman"/>
          <w:b/>
          <w:bCs/>
          <w:kern w:val="2"/>
          <w14:ligatures w14:val="standardContextual"/>
        </w:rPr>
        <w:t>Table-</w:t>
      </w:r>
      <w:r w:rsidR="00F34060">
        <w:rPr>
          <w:rFonts w:ascii="Times New Roman" w:eastAsia="Aptos" w:hAnsi="Times New Roman" w:cs="Times New Roman"/>
          <w:b/>
          <w:bCs/>
          <w:kern w:val="2"/>
          <w14:ligatures w14:val="standardContextual"/>
        </w:rPr>
        <w:t>3</w:t>
      </w:r>
      <w:r w:rsidR="00956DBA" w:rsidRPr="00956DBA">
        <w:rPr>
          <w:rFonts w:ascii="Times New Roman" w:eastAsia="Aptos" w:hAnsi="Times New Roman" w:cs="Times New Roman"/>
          <w:b/>
          <w:bCs/>
          <w:kern w:val="2"/>
          <w14:ligatures w14:val="standardContextual"/>
        </w:rPr>
        <w:t xml:space="preserve">: </w:t>
      </w:r>
      <w:r w:rsidR="00956DBA" w:rsidRPr="00956DBA">
        <w:rPr>
          <w:rFonts w:ascii="Times New Roman" w:eastAsia="Aptos" w:hAnsi="Times New Roman" w:cs="Times New Roman"/>
          <w:kern w:val="2"/>
          <w14:ligatures w14:val="standardContextual"/>
        </w:rPr>
        <w:t>Post-hoc analysis comparing Treg variables, CSF AD biomarkers, and cognitive functions was conducted in all participants who received IL-2 treatment (IL-2 q2wks and IL-2 q4wks combined) versus all placebo participants, as well as between each active treatment arm and its respective placebo arm</w:t>
      </w:r>
      <w:r w:rsidR="00956DBA">
        <w:rPr>
          <w:rFonts w:ascii="Times New Roman" w:eastAsia="Aptos" w:hAnsi="Times New Roman" w:cs="Times New Roman"/>
          <w:kern w:val="2"/>
          <w14:ligatures w14:val="standardContextual"/>
        </w:rPr>
        <w:t>.</w:t>
      </w:r>
      <w:r w:rsidR="00956DBA">
        <w:rPr>
          <w:rFonts w:ascii="Times New Roman" w:eastAsia="Aptos" w:hAnsi="Times New Roman" w:cs="Times New Roman"/>
          <w:b/>
          <w:bCs/>
          <w:noProof/>
          <w:kern w:val="2"/>
          <w14:ligatures w14:val="standardContextual"/>
        </w:rPr>
        <w:drawing>
          <wp:inline distT="0" distB="0" distL="0" distR="0" wp14:anchorId="45815FC7" wp14:editId="0AE13095">
            <wp:extent cx="6450330" cy="685863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50330" cy="6858635"/>
                    </a:xfrm>
                    <a:prstGeom prst="rect">
                      <a:avLst/>
                    </a:prstGeom>
                    <a:noFill/>
                  </pic:spPr>
                </pic:pic>
              </a:graphicData>
            </a:graphic>
          </wp:inline>
        </w:drawing>
      </w:r>
    </w:p>
    <w:p w14:paraId="6114739E"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036E3F6C"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53677E42"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37BC467F" w14:textId="77777777" w:rsidR="00956DBA" w:rsidRDefault="00956DBA" w:rsidP="005304F0">
      <w:pPr>
        <w:spacing w:line="360" w:lineRule="auto"/>
        <w:contextualSpacing/>
        <w:rPr>
          <w:rFonts w:ascii="Times New Roman" w:eastAsia="Aptos" w:hAnsi="Times New Roman" w:cs="Times New Roman"/>
          <w:b/>
          <w:bCs/>
          <w:kern w:val="2"/>
          <w14:ligatures w14:val="standardContextual"/>
        </w:rPr>
      </w:pPr>
    </w:p>
    <w:p w14:paraId="51C6F49A" w14:textId="4CE94B08" w:rsidR="005304F0" w:rsidRDefault="005304F0" w:rsidP="005304F0">
      <w:pPr>
        <w:spacing w:line="360" w:lineRule="auto"/>
        <w:contextualSpacing/>
        <w:rPr>
          <w:rFonts w:ascii="Times New Roman" w:eastAsia="Aptos" w:hAnsi="Times New Roman" w:cs="Times New Roman"/>
          <w:kern w:val="2"/>
          <w14:ligatures w14:val="standardContextual"/>
        </w:rPr>
      </w:pPr>
      <w:r>
        <w:rPr>
          <w:rFonts w:ascii="Times New Roman" w:eastAsia="Aptos" w:hAnsi="Times New Roman" w:cs="Times New Roman"/>
          <w:b/>
          <w:bCs/>
          <w:kern w:val="2"/>
          <w14:ligatures w14:val="standardContextual"/>
        </w:rPr>
        <w:t>e</w:t>
      </w:r>
      <w:r w:rsidRPr="005304F0">
        <w:rPr>
          <w:rFonts w:ascii="Times New Roman" w:eastAsia="Aptos" w:hAnsi="Times New Roman" w:cs="Times New Roman"/>
          <w:b/>
          <w:bCs/>
          <w:kern w:val="2"/>
          <w14:ligatures w14:val="standardContextual"/>
        </w:rPr>
        <w:t>Figure 2:</w:t>
      </w:r>
      <w:r w:rsidRPr="005304F0">
        <w:rPr>
          <w:rFonts w:ascii="Times New Roman" w:eastAsia="Aptos" w:hAnsi="Times New Roman" w:cs="Times New Roman"/>
          <w:kern w:val="2"/>
          <w14:ligatures w14:val="standardContextual"/>
        </w:rPr>
        <w:t xml:space="preserve"> </w:t>
      </w:r>
      <w:r w:rsidRPr="005304F0">
        <w:rPr>
          <w:rFonts w:ascii="Times New Roman" w:eastAsia="Aptos" w:hAnsi="Times New Roman" w:cs="Times New Roman"/>
          <w:b/>
          <w:bCs/>
          <w:kern w:val="2"/>
          <w14:ligatures w14:val="standardContextual"/>
        </w:rPr>
        <w:t xml:space="preserve">Effect of IL-2 Treatment on lymphocytes and Natural Killer Cells. </w:t>
      </w:r>
      <w:r w:rsidRPr="005304F0">
        <w:rPr>
          <w:rFonts w:ascii="Times New Roman" w:eastAsia="Aptos" w:hAnsi="Times New Roman" w:cs="Times New Roman"/>
          <w:kern w:val="2"/>
          <w14:ligatures w14:val="standardContextual"/>
        </w:rPr>
        <w:t>The percentage of CD4</w:t>
      </w:r>
      <w:r w:rsidRPr="005304F0">
        <w:rPr>
          <w:rFonts w:ascii="Times New Roman" w:eastAsia="Aptos" w:hAnsi="Times New Roman" w:cs="Times New Roman"/>
          <w:kern w:val="2"/>
          <w:vertAlign w:val="superscript"/>
          <w14:ligatures w14:val="standardContextual"/>
        </w:rPr>
        <w:t>+</w:t>
      </w:r>
      <w:r w:rsidRPr="005304F0">
        <w:rPr>
          <w:rFonts w:ascii="Times New Roman" w:eastAsia="Aptos" w:hAnsi="Times New Roman" w:cs="Times New Roman"/>
          <w:kern w:val="2"/>
          <w14:ligatures w14:val="standardContextual"/>
        </w:rPr>
        <w:t>CD25</w:t>
      </w:r>
      <w:r w:rsidRPr="005304F0">
        <w:rPr>
          <w:rFonts w:ascii="Times New Roman" w:eastAsia="Aptos" w:hAnsi="Times New Roman" w:cs="Times New Roman"/>
          <w:kern w:val="2"/>
          <w:vertAlign w:val="superscript"/>
          <w14:ligatures w14:val="standardContextual"/>
        </w:rPr>
        <w:t>low</w:t>
      </w:r>
      <w:r w:rsidRPr="005304F0">
        <w:rPr>
          <w:rFonts w:ascii="Times New Roman" w:eastAsia="Aptos" w:hAnsi="Times New Roman" w:cs="Times New Roman"/>
          <w:kern w:val="2"/>
          <w14:ligatures w14:val="standardContextual"/>
        </w:rPr>
        <w:t xml:space="preserve"> T responder cells (Tresp) </w:t>
      </w:r>
      <w:r w:rsidRPr="005304F0">
        <w:rPr>
          <w:rFonts w:ascii="Times New Roman" w:eastAsia="Aptos" w:hAnsi="Times New Roman" w:cs="Times New Roman"/>
          <w:b/>
          <w:bCs/>
          <w:kern w:val="2"/>
          <w14:ligatures w14:val="standardContextual"/>
        </w:rPr>
        <w:t>(A)</w:t>
      </w:r>
      <w:r w:rsidRPr="005304F0">
        <w:rPr>
          <w:rFonts w:ascii="Times New Roman" w:eastAsia="Aptos" w:hAnsi="Times New Roman" w:cs="Times New Roman"/>
          <w:kern w:val="2"/>
          <w14:ligatures w14:val="standardContextual"/>
        </w:rPr>
        <w:t>, CD8</w:t>
      </w:r>
      <w:r w:rsidRPr="005304F0">
        <w:rPr>
          <w:rFonts w:ascii="Times New Roman" w:eastAsia="Aptos" w:hAnsi="Times New Roman" w:cs="Times New Roman"/>
          <w:kern w:val="2"/>
          <w:vertAlign w:val="superscript"/>
          <w14:ligatures w14:val="standardContextual"/>
        </w:rPr>
        <w:t>+</w:t>
      </w:r>
      <w:r w:rsidRPr="005304F0">
        <w:rPr>
          <w:rFonts w:ascii="Times New Roman" w:eastAsia="Aptos" w:hAnsi="Times New Roman" w:cs="Times New Roman"/>
          <w:kern w:val="2"/>
          <w14:ligatures w14:val="standardContextual"/>
        </w:rPr>
        <w:t xml:space="preserve"> T cells </w:t>
      </w:r>
      <w:r w:rsidRPr="005304F0">
        <w:rPr>
          <w:rFonts w:ascii="Times New Roman" w:eastAsia="Aptos" w:hAnsi="Times New Roman" w:cs="Times New Roman"/>
          <w:b/>
          <w:bCs/>
          <w:kern w:val="2"/>
          <w14:ligatures w14:val="standardContextual"/>
        </w:rPr>
        <w:t>(B)</w:t>
      </w:r>
      <w:r w:rsidRPr="005304F0">
        <w:rPr>
          <w:rFonts w:ascii="Times New Roman" w:eastAsia="Aptos" w:hAnsi="Times New Roman" w:cs="Times New Roman"/>
          <w:kern w:val="2"/>
          <w14:ligatures w14:val="standardContextual"/>
        </w:rPr>
        <w:t>, and CD3</w:t>
      </w:r>
      <w:r w:rsidRPr="005304F0">
        <w:rPr>
          <w:rFonts w:ascii="Times New Roman" w:eastAsia="Aptos" w:hAnsi="Times New Roman" w:cs="Times New Roman"/>
          <w:kern w:val="2"/>
          <w:vertAlign w:val="superscript"/>
          <w14:ligatures w14:val="standardContextual"/>
        </w:rPr>
        <w:t>-</w:t>
      </w:r>
      <w:r w:rsidRPr="005304F0">
        <w:rPr>
          <w:rFonts w:ascii="Times New Roman" w:eastAsia="Aptos" w:hAnsi="Times New Roman" w:cs="Times New Roman"/>
          <w:kern w:val="2"/>
          <w14:ligatures w14:val="standardContextual"/>
        </w:rPr>
        <w:t>CD56</w:t>
      </w:r>
      <w:r w:rsidRPr="005304F0">
        <w:rPr>
          <w:rFonts w:ascii="Times New Roman" w:eastAsia="Aptos" w:hAnsi="Times New Roman" w:cs="Times New Roman"/>
          <w:kern w:val="2"/>
          <w:vertAlign w:val="superscript"/>
          <w14:ligatures w14:val="standardContextual"/>
        </w:rPr>
        <w:t>+</w:t>
      </w:r>
      <w:r w:rsidRPr="005304F0">
        <w:rPr>
          <w:rFonts w:ascii="Times New Roman" w:eastAsia="Aptos" w:hAnsi="Times New Roman" w:cs="Times New Roman"/>
          <w:kern w:val="2"/>
          <w14:ligatures w14:val="standardContextual"/>
        </w:rPr>
        <w:t xml:space="preserve"> natural killer cells (NKC) was assessed by flow cytometry at baseline (D1), on D8, D36, D64, D92, and D120 during the treatment phase, and at the end of the follow-up (F/U) phase at D204 across three study arms: IL-2 every 4 weeks (IL-2 q4wks), IL-2 every 2 weeks (IL-2 q2wks), and placebo. D = Day. Data represent mean changes from baseline± SE. Mean changes from baseline across the three arms were compared using ANCOVA. P-values are represented as *p &lt; 0.05.</w:t>
      </w:r>
    </w:p>
    <w:p w14:paraId="309EE4E0" w14:textId="67D338EB" w:rsidR="005304F0" w:rsidRPr="005304F0" w:rsidRDefault="005304F0" w:rsidP="005304F0">
      <w:pPr>
        <w:spacing w:line="360" w:lineRule="auto"/>
        <w:contextualSpacing/>
        <w:rPr>
          <w:rFonts w:ascii="Times New Roman" w:eastAsia="Aptos" w:hAnsi="Times New Roman" w:cs="Times New Roman"/>
          <w:kern w:val="2"/>
          <w14:ligatures w14:val="standardContextual"/>
        </w:rPr>
      </w:pPr>
      <w:r>
        <w:rPr>
          <w:rFonts w:ascii="Times New Roman" w:eastAsia="Aptos" w:hAnsi="Times New Roman" w:cs="Times New Roman"/>
          <w:noProof/>
          <w:kern w:val="2"/>
          <w14:ligatures w14:val="standardContextual"/>
        </w:rPr>
        <w:drawing>
          <wp:inline distT="0" distB="0" distL="0" distR="0" wp14:anchorId="75C95412" wp14:editId="28D3DDC3">
            <wp:extent cx="6325792" cy="4440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826" cy="4445863"/>
                    </a:xfrm>
                    <a:prstGeom prst="rect">
                      <a:avLst/>
                    </a:prstGeom>
                    <a:noFill/>
                  </pic:spPr>
                </pic:pic>
              </a:graphicData>
            </a:graphic>
          </wp:inline>
        </w:drawing>
      </w:r>
    </w:p>
    <w:p w14:paraId="2F205197" w14:textId="133DA339" w:rsidR="0063515C" w:rsidRDefault="0063515C">
      <w:pPr>
        <w:rPr>
          <w:noProof/>
        </w:rPr>
      </w:pPr>
      <w:r w:rsidRPr="008C7134">
        <w:rPr>
          <w:rFonts w:ascii="Times New Roman" w:eastAsia="Aptos" w:hAnsi="Times New Roman" w:cs="Times New Roman"/>
          <w:b/>
          <w:bCs/>
          <w:kern w:val="2"/>
          <w14:ligatures w14:val="standardContextual"/>
        </w:rPr>
        <w:t>efigure-3</w:t>
      </w:r>
      <w:r w:rsidR="00EF3794" w:rsidRPr="008C7134">
        <w:rPr>
          <w:rFonts w:ascii="Times New Roman" w:eastAsia="Aptos" w:hAnsi="Times New Roman" w:cs="Times New Roman"/>
          <w:b/>
          <w:bCs/>
          <w:kern w:val="2"/>
          <w14:ligatures w14:val="standardContextual"/>
        </w:rPr>
        <w:t>:</w:t>
      </w:r>
      <w:r w:rsidR="00EF3794" w:rsidRPr="008C7134">
        <w:rPr>
          <w:b/>
          <w:bCs/>
        </w:rPr>
        <w:t xml:space="preserve"> </w:t>
      </w:r>
      <w:r w:rsidR="00EF3794" w:rsidRPr="008C7134">
        <w:rPr>
          <w:rFonts w:ascii="Times New Roman" w:eastAsia="Aptos" w:hAnsi="Times New Roman" w:cs="Times New Roman"/>
          <w:b/>
          <w:bCs/>
          <w:kern w:val="2"/>
          <w14:ligatures w14:val="standardContextual"/>
        </w:rPr>
        <w:t>Effect of low-dose IL-2 treatment on plasma inflammatory biomarkers.</w:t>
      </w:r>
      <w:r w:rsidR="00EF3794" w:rsidRPr="008C7134">
        <w:rPr>
          <w:rFonts w:ascii="Times New Roman" w:eastAsia="Aptos" w:hAnsi="Times New Roman" w:cs="Times New Roman"/>
          <w:kern w:val="2"/>
          <w14:ligatures w14:val="standardContextual"/>
        </w:rPr>
        <w:t xml:space="preserve"> No statistically significant longitudinal changes were observed in 31 other measured plasma immune markers using Olink protein analysis at baseline (D1), throughout the treatment phase (D8, D64, D92, D120, and D148), and at the end of the follow-up (F/U) phase on D204 across three study arms: IL-2 every 4 weeks (IL-2 q4wks), IL-2 every 2 weeks (IL-2 q2wks), and placebo. D = Day. Data represent mean changes from baseline ± SE. Comparison across the three arms were compared using ANCOVA.</w:t>
      </w:r>
      <w:r w:rsidR="00EF3794" w:rsidRPr="00EF3794">
        <w:t xml:space="preserve"> </w:t>
      </w:r>
    </w:p>
    <w:p w14:paraId="3EAB6AD8" w14:textId="29A5DB52" w:rsidR="0063520D" w:rsidRDefault="0063520D">
      <w:r>
        <w:rPr>
          <w:noProof/>
        </w:rPr>
        <w:lastRenderedPageBreak/>
        <w:drawing>
          <wp:inline distT="0" distB="0" distL="0" distR="0" wp14:anchorId="445E492D" wp14:editId="1D5B42F4">
            <wp:extent cx="6149791" cy="795925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5064" cy="7966081"/>
                    </a:xfrm>
                    <a:prstGeom prst="rect">
                      <a:avLst/>
                    </a:prstGeom>
                    <a:noFill/>
                  </pic:spPr>
                </pic:pic>
              </a:graphicData>
            </a:graphic>
          </wp:inline>
        </w:drawing>
      </w:r>
    </w:p>
    <w:p w14:paraId="4DF108DE" w14:textId="77777777" w:rsidR="0063515C" w:rsidRDefault="0063515C"/>
    <w:p w14:paraId="741391B2" w14:textId="77777777" w:rsidR="0063515C" w:rsidRDefault="0063515C"/>
    <w:p w14:paraId="1E504501" w14:textId="5D6E3189" w:rsidR="0063515C" w:rsidRPr="0063515C" w:rsidRDefault="0063515C">
      <w:pPr>
        <w:rPr>
          <w:b/>
          <w:bCs/>
        </w:rPr>
      </w:pPr>
      <w:r w:rsidRPr="0063515C">
        <w:rPr>
          <w:b/>
          <w:bCs/>
        </w:rPr>
        <w:t>efigure 4</w:t>
      </w:r>
      <w:r w:rsidR="00EF3794">
        <w:rPr>
          <w:b/>
          <w:bCs/>
        </w:rPr>
        <w:t xml:space="preserve">: </w:t>
      </w:r>
      <w:r w:rsidR="009F3636" w:rsidRPr="00372C8F">
        <w:rPr>
          <w:b/>
          <w:bCs/>
        </w:rPr>
        <w:t xml:space="preserve">Effect of Low-Dose IL-2 Treatment on Clinical Scales during the treatment and </w:t>
      </w:r>
      <w:r w:rsidR="005016DE" w:rsidRPr="00372C8F">
        <w:rPr>
          <w:b/>
          <w:bCs/>
        </w:rPr>
        <w:t xml:space="preserve">also </w:t>
      </w:r>
      <w:r w:rsidR="009F3636" w:rsidRPr="00372C8F">
        <w:rPr>
          <w:b/>
          <w:bCs/>
        </w:rPr>
        <w:t>in extended post-treatment follow up</w:t>
      </w:r>
      <w:r w:rsidR="00372C8F" w:rsidRPr="00372C8F">
        <w:rPr>
          <w:b/>
          <w:bCs/>
        </w:rPr>
        <w:t xml:space="preserve"> phase</w:t>
      </w:r>
      <w:r w:rsidR="009F3636" w:rsidRPr="00372C8F">
        <w:rPr>
          <w:b/>
          <w:bCs/>
        </w:rPr>
        <w:t>.</w:t>
      </w:r>
      <w:r w:rsidR="009F3636" w:rsidRPr="00372C8F">
        <w:t xml:space="preserve"> Cognitive tests, including the Alzheimer's Disease Assessment Scale–Cognitive Subscale (ADAS-Cog) (A), Clinical Dementia Rating Scale Sum of Boxes (CDR-SB) (B), were conducted at screening (SC), day 64 (D64), day 148 (D148)</w:t>
      </w:r>
      <w:r w:rsidR="005016DE" w:rsidRPr="00372C8F">
        <w:t xml:space="preserve"> a</w:t>
      </w:r>
      <w:r w:rsidR="00372C8F">
        <w:t>nd 8 weeks after completion of the therapy on Day 204 (D204)</w:t>
      </w:r>
      <w:r w:rsidR="009F3636" w:rsidRPr="00372C8F">
        <w:t>. Data represents mean changes from baseline ± SE.</w:t>
      </w:r>
    </w:p>
    <w:p w14:paraId="6F4372CF" w14:textId="5839F088" w:rsidR="0063515C" w:rsidRDefault="0063515C">
      <w:r>
        <w:rPr>
          <w:noProof/>
        </w:rPr>
        <w:drawing>
          <wp:inline distT="0" distB="0" distL="0" distR="0" wp14:anchorId="3658A6CA" wp14:editId="57AB7D13">
            <wp:extent cx="6051092" cy="2424430"/>
            <wp:effectExtent l="0" t="0" r="0" b="0"/>
            <wp:docPr id="1118084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3774" cy="2425505"/>
                    </a:xfrm>
                    <a:prstGeom prst="rect">
                      <a:avLst/>
                    </a:prstGeom>
                    <a:noFill/>
                  </pic:spPr>
                </pic:pic>
              </a:graphicData>
            </a:graphic>
          </wp:inline>
        </w:drawing>
      </w:r>
    </w:p>
    <w:sectPr w:rsidR="006351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4F0"/>
    <w:rsid w:val="000E38B2"/>
    <w:rsid w:val="0017337A"/>
    <w:rsid w:val="001859CE"/>
    <w:rsid w:val="001D7BAE"/>
    <w:rsid w:val="0034354C"/>
    <w:rsid w:val="00372C8F"/>
    <w:rsid w:val="003753CA"/>
    <w:rsid w:val="003E0C9B"/>
    <w:rsid w:val="005016DE"/>
    <w:rsid w:val="005304F0"/>
    <w:rsid w:val="0063515C"/>
    <w:rsid w:val="0063520D"/>
    <w:rsid w:val="00746459"/>
    <w:rsid w:val="00787FA9"/>
    <w:rsid w:val="007F499D"/>
    <w:rsid w:val="008C7134"/>
    <w:rsid w:val="00956DBA"/>
    <w:rsid w:val="009D13F3"/>
    <w:rsid w:val="009F3636"/>
    <w:rsid w:val="00A52715"/>
    <w:rsid w:val="00A7343D"/>
    <w:rsid w:val="00CB1E4C"/>
    <w:rsid w:val="00EF3794"/>
    <w:rsid w:val="00F00C2A"/>
    <w:rsid w:val="00F34060"/>
    <w:rsid w:val="00FA3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B5C0"/>
  <w15:chartTrackingRefBased/>
  <w15:docId w15:val="{33295FE7-49D5-4470-A8C6-A1D08A46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43"/>
    <w:rsid w:val="005304F0"/>
    <w:pPr>
      <w:spacing w:after="0" w:line="240" w:lineRule="auto"/>
    </w:pPr>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7</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Houston Methodist</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Faridar, Alireza M.D.</dc:creator>
  <cp:keywords/>
  <dc:description/>
  <cp:lastModifiedBy>Faridar, Alireza M.D.</cp:lastModifiedBy>
  <cp:revision>7</cp:revision>
  <dcterms:created xsi:type="dcterms:W3CDTF">2025-06-13T19:09:00Z</dcterms:created>
  <dcterms:modified xsi:type="dcterms:W3CDTF">2025-06-16T16:21:00Z</dcterms:modified>
</cp:coreProperties>
</file>