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3C69F" w14:textId="77777777" w:rsidR="00B73CA1" w:rsidRDefault="0019086E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Supplementary material</w:t>
      </w:r>
    </w:p>
    <w:p w14:paraId="40B3C6A0" w14:textId="77777777" w:rsidR="00B73CA1" w:rsidRDefault="00B73CA1">
      <w:pPr>
        <w:rPr>
          <w:rFonts w:ascii="Times New Roman" w:hAnsi="Times New Roman"/>
          <w:b/>
          <w:bCs/>
        </w:rPr>
      </w:pPr>
    </w:p>
    <w:p w14:paraId="40B3C6A1" w14:textId="77777777" w:rsidR="00B73CA1" w:rsidRDefault="0019086E">
      <w:pPr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Supplementary methods</w:t>
      </w:r>
    </w:p>
    <w:p w14:paraId="40B3C6A2" w14:textId="77777777" w:rsidR="00B73CA1" w:rsidRDefault="0019086E" w:rsidP="00D837E3">
      <w:pPr>
        <w:spacing w:line="360" w:lineRule="auto"/>
        <w:jc w:val="both"/>
      </w:pPr>
      <w:r>
        <w:rPr>
          <w:rFonts w:ascii="Times New Roman" w:hAnsi="Times New Roman"/>
        </w:rPr>
        <w:t>We reviewed studies assessing fluid biomarkers (i.e., measured in cerebrospinal fluid [CSF] or blood) in neurodegenerative diseases. Literature searches were conducted in the PubMed, Web of Science, and Embase databases without restrictions on time or language. We used a combination of MeSH terms and free-text keywords referring to CSF biomarkers, blood biomarkers, amyloid-beta (Aβ), tau, neurofilament light chain (NfL), glial fibrillary acidic protein (GFAP), alpha-synuclein (α-synuclein), TAR DNA-binding protein 43 (TDP-43), synaptic proteins, endolysosomal biomarkers, and neurodegenerative diseases including Alzheimer’s disease (AD), Parkinson’s disease (PD), dementia with Lewy bodies (DLB), multiple system atrophy (MSA), synucleinopathies, frontotemporal lobar degeneration (FTLD), limbic-predominant age-related TDP-43 encephalopathy (LATE), and amyotrophic lateral sclerosis (ALS). References cited in selected papers and other relevant articles were screened for additional studies following a snowball approach. Data were synthesized according to the type of biomarker.</w:t>
      </w:r>
    </w:p>
    <w:p w14:paraId="40B3C6A3" w14:textId="77777777" w:rsidR="00B73CA1" w:rsidRDefault="0019086E" w:rsidP="00D837E3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The literature review was conducted by M.V., N.B., I.Y., M.B., A.C., J.D., A.F., A.G.M., G.I., F.M.D., and S.M.</w:t>
      </w:r>
    </w:p>
    <w:p w14:paraId="40B3C6A4" w14:textId="77777777" w:rsidR="00B73CA1" w:rsidRDefault="00B73CA1">
      <w:pPr>
        <w:rPr>
          <w:rFonts w:ascii="Times New Roman" w:hAnsi="Times New Roman"/>
        </w:rPr>
      </w:pPr>
    </w:p>
    <w:sectPr w:rsidR="00B73CA1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3C6A3" w14:textId="77777777" w:rsidR="0019086E" w:rsidRDefault="0019086E">
      <w:pPr>
        <w:spacing w:after="0" w:line="240" w:lineRule="auto"/>
      </w:pPr>
      <w:r>
        <w:separator/>
      </w:r>
    </w:p>
  </w:endnote>
  <w:endnote w:type="continuationSeparator" w:id="0">
    <w:p w14:paraId="40B3C6A5" w14:textId="77777777" w:rsidR="0019086E" w:rsidRDefault="00190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3C69F" w14:textId="77777777" w:rsidR="0019086E" w:rsidRDefault="0019086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0B3C6A1" w14:textId="77777777" w:rsidR="0019086E" w:rsidRDefault="001908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CA1"/>
    <w:rsid w:val="0019086E"/>
    <w:rsid w:val="0039538C"/>
    <w:rsid w:val="007B59C8"/>
    <w:rsid w:val="00B73CA1"/>
    <w:rsid w:val="00D8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B3C69F"/>
  <w15:docId w15:val="{950AE453-F05E-4A30-ACB0-2340CFFA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Valletta</dc:creator>
  <dc:description/>
  <cp:lastModifiedBy>Briel Nils</cp:lastModifiedBy>
  <cp:revision>3</cp:revision>
  <dcterms:created xsi:type="dcterms:W3CDTF">2025-08-27T15:04:00Z</dcterms:created>
  <dcterms:modified xsi:type="dcterms:W3CDTF">2025-09-06T11:52:00Z</dcterms:modified>
</cp:coreProperties>
</file>