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B8ECB0" w14:textId="2A886447" w:rsidR="00C47064" w:rsidRPr="00822527" w:rsidRDefault="0098135A" w:rsidP="00012802">
      <w:pPr>
        <w:spacing w:line="480" w:lineRule="auto"/>
        <w:rPr>
          <w:rFonts w:ascii="Times New Roman" w:hAnsi="Times New Roman" w:cs="Times New Roman"/>
          <w:b/>
          <w:bCs/>
          <w:sz w:val="22"/>
        </w:rPr>
      </w:pPr>
      <w:r w:rsidRPr="00822527">
        <w:rPr>
          <w:rFonts w:ascii="Times New Roman" w:hAnsi="Times New Roman" w:cs="Times New Roman" w:hint="eastAsia"/>
          <w:b/>
          <w:bCs/>
          <w:sz w:val="22"/>
        </w:rPr>
        <w:t xml:space="preserve">Supplementary </w:t>
      </w:r>
      <w:r w:rsidR="00C47064" w:rsidRPr="00822527">
        <w:rPr>
          <w:rFonts w:ascii="Times New Roman" w:hAnsi="Times New Roman" w:cs="Times New Roman"/>
          <w:b/>
          <w:bCs/>
          <w:sz w:val="22"/>
        </w:rPr>
        <w:t>Methods</w:t>
      </w:r>
    </w:p>
    <w:p w14:paraId="1FCF562B" w14:textId="77777777" w:rsidR="00C47064" w:rsidRPr="00822527" w:rsidRDefault="00C47064" w:rsidP="00012802">
      <w:pPr>
        <w:spacing w:line="480" w:lineRule="auto"/>
        <w:rPr>
          <w:rFonts w:ascii="Times New Roman" w:hAnsi="Times New Roman" w:cs="Times New Roman"/>
          <w:sz w:val="22"/>
        </w:rPr>
      </w:pPr>
    </w:p>
    <w:p w14:paraId="67873549" w14:textId="0A572FE3" w:rsidR="00C47064" w:rsidRPr="00822527" w:rsidRDefault="00C47064" w:rsidP="00012802">
      <w:pPr>
        <w:spacing w:line="480" w:lineRule="auto"/>
        <w:rPr>
          <w:rFonts w:ascii="Times New Roman" w:hAnsi="Times New Roman" w:cs="Times New Roman"/>
          <w:b/>
          <w:bCs/>
          <w:sz w:val="22"/>
        </w:rPr>
      </w:pPr>
      <w:r w:rsidRPr="00822527">
        <w:rPr>
          <w:rFonts w:ascii="Times New Roman" w:hAnsi="Times New Roman" w:cs="Times New Roman"/>
          <w:b/>
          <w:bCs/>
          <w:sz w:val="22"/>
        </w:rPr>
        <w:t>1.1 Neuropsychological testing</w:t>
      </w:r>
    </w:p>
    <w:p w14:paraId="49142236" w14:textId="01D8E3CE" w:rsidR="00C47064" w:rsidRPr="00822527" w:rsidRDefault="00C47064" w:rsidP="00012802">
      <w:pPr>
        <w:spacing w:line="480" w:lineRule="auto"/>
        <w:rPr>
          <w:rFonts w:ascii="Times New Roman" w:hAnsi="Times New Roman" w:cs="Times New Roman"/>
          <w:sz w:val="22"/>
        </w:rPr>
      </w:pPr>
      <w:r w:rsidRPr="00822527">
        <w:rPr>
          <w:rFonts w:ascii="Times New Roman" w:hAnsi="Times New Roman" w:cs="Times New Roman"/>
          <w:sz w:val="22"/>
        </w:rPr>
        <w:t>All participants underwent a detailed neuropsychological assessment – incorporating both global and domain-specific measures of cognitive function. Global cognition was evaluated using four well-established instruments: the Clinical Dementia Rating Sum of Boxes (CDR-SoB) – which reflects overall clinical severity; the Functional Assessment Questionnaire (FAQ) – which assesses functional abilities, and Montreal Cognitive Assessment (M</w:t>
      </w:r>
      <w:r w:rsidR="00436F90" w:rsidRPr="00822527">
        <w:rPr>
          <w:rFonts w:ascii="Times New Roman" w:hAnsi="Times New Roman" w:cs="Times New Roman" w:hint="eastAsia"/>
          <w:sz w:val="22"/>
        </w:rPr>
        <w:t>O</w:t>
      </w:r>
      <w:r w:rsidRPr="00822527">
        <w:rPr>
          <w:rFonts w:ascii="Times New Roman" w:hAnsi="Times New Roman" w:cs="Times New Roman"/>
          <w:sz w:val="22"/>
        </w:rPr>
        <w:t>CA) – which provide</w:t>
      </w:r>
      <w:r w:rsidR="00436F90" w:rsidRPr="00822527">
        <w:rPr>
          <w:rFonts w:ascii="Times New Roman" w:hAnsi="Times New Roman" w:cs="Times New Roman" w:hint="eastAsia"/>
          <w:sz w:val="22"/>
        </w:rPr>
        <w:t>s</w:t>
      </w:r>
      <w:r w:rsidRPr="00822527">
        <w:rPr>
          <w:rFonts w:ascii="Times New Roman" w:hAnsi="Times New Roman" w:cs="Times New Roman"/>
          <w:sz w:val="22"/>
        </w:rPr>
        <w:t xml:space="preserve"> indices of global cognitive performance. Domain-specific cognitive abilities were systematically examined across five principal domains: memory, visuospatial skills, language, attention and executive functions. All neuropsychological instruments were validated and specifically selected for each cognitive domain, with results adjusted for participants’ age and educational attainment.</w:t>
      </w:r>
      <w:r w:rsidRPr="00822527">
        <w:rPr>
          <w:rFonts w:ascii="Times New Roman" w:hAnsi="Times New Roman" w:cs="Times New Roman"/>
          <w:sz w:val="22"/>
        </w:rPr>
        <w:fldChar w:fldCharType="begin" w:fldLock="1"/>
      </w:r>
      <w:r w:rsidR="003022D8" w:rsidRPr="00822527">
        <w:rPr>
          <w:rFonts w:ascii="Times New Roman" w:hAnsi="Times New Roman" w:cs="Times New Roman"/>
          <w:sz w:val="22"/>
        </w:rPr>
        <w:instrText>ADDIN CSL_CITATION {"citationItems":[{"id":"ITEM-1","itemData":{"DOI":"10.1016/j.jalz.2013.11.002","ISSN":"1552-5260","author":[{"dropping-particle":"","family":"Ding","given":"Ding","non-dropping-particle":"","parse-names":false,"suffix":""},{"dropping-particle":"","family":"Zhao","given":"Qianhua","non-dropping-particle":"","parse-names":false,"suffix":""},{"dropping-particle":"","family":"Guo","given":"Qihao","non-dropping-particle":"","parse-names":false,"suffix":""},{"dropping-particle":"","family":"Meng","given":"Haijiao","non-dropping-particle":"","parse-names":false,"suffix":""},{"dropping-particle":"","family":"Wang","given":"Bei","non-dropping-particle":"","parse-names":false,"suffix":""},{"dropping-particle":"","family":"Luo","given":"Jianfeng","non-dropping-particle":"","parse-names":false,"suffix":""},{"dropping-particle":"","family":"Mortimer","given":"James A","non-dropping-particle":"","parse-names":false,"suffix":""},{"dropping-particle":"","family":"Borenstein","given":"Amy R","non-dropping-particle":"","parse-names":false,"suffix":""},{"dropping-particle":"","family":"Hong","given":"Zhen","non-dropping-particle":"","parse-names":false,"suffix":""}],"container-title":"Alzheimer's &amp; Dementia","id":"ITEM-1","issue":"3","issued":{"date-parts":[["2015"]]},"page":"300-309","publisher":"Elsevier","title":"Prevalence of mild cognitive impairment in an urban community in China: a cross-sectional analysis of the Shanghai Aging Study","type":"article-journal","volume":"11"},"uris":["http://www.mendeley.com/documents/?uuid=642e684f-db32-40f6-a065-0330bc5bfde6"]}],"mendeley":{"formattedCitation":"[1]","plainTextFormattedCitation":"[1]","previouslyFormattedCitation":"&lt;span style=\"baseline\"&gt;(&lt;i&gt;1&lt;/i&gt;)&lt;/span&gt;"},"properties":{"noteIndex":0},"schema":"https://github.com/citation-style-language/schema/raw/master/csl-citation.json"}</w:instrText>
      </w:r>
      <w:r w:rsidRPr="00822527">
        <w:rPr>
          <w:rFonts w:ascii="Times New Roman" w:hAnsi="Times New Roman" w:cs="Times New Roman"/>
          <w:sz w:val="22"/>
        </w:rPr>
        <w:fldChar w:fldCharType="separate"/>
      </w:r>
      <w:r w:rsidR="003022D8" w:rsidRPr="00822527">
        <w:rPr>
          <w:rFonts w:ascii="Times New Roman" w:hAnsi="Times New Roman" w:cs="Times New Roman"/>
          <w:noProof/>
          <w:sz w:val="22"/>
        </w:rPr>
        <w:t>[1]</w:t>
      </w:r>
      <w:r w:rsidRPr="00822527">
        <w:rPr>
          <w:rFonts w:ascii="Times New Roman" w:hAnsi="Times New Roman" w:cs="Times New Roman"/>
          <w:sz w:val="22"/>
        </w:rPr>
        <w:fldChar w:fldCharType="end"/>
      </w:r>
    </w:p>
    <w:p w14:paraId="05109094" w14:textId="77777777" w:rsidR="00C47064" w:rsidRPr="00822527" w:rsidRDefault="00C47064" w:rsidP="00012802">
      <w:pPr>
        <w:spacing w:line="480" w:lineRule="auto"/>
        <w:rPr>
          <w:rFonts w:ascii="Times New Roman" w:hAnsi="Times New Roman" w:cs="Times New Roman"/>
          <w:sz w:val="22"/>
        </w:rPr>
      </w:pPr>
    </w:p>
    <w:p w14:paraId="07F7FF66" w14:textId="2AAD18C0" w:rsidR="00C47064" w:rsidRPr="00822527" w:rsidRDefault="00C47064" w:rsidP="00012802">
      <w:pPr>
        <w:spacing w:line="480" w:lineRule="auto"/>
        <w:rPr>
          <w:rFonts w:ascii="Times New Roman" w:hAnsi="Times New Roman" w:cs="Times New Roman"/>
          <w:b/>
          <w:bCs/>
          <w:sz w:val="22"/>
        </w:rPr>
      </w:pPr>
      <w:r w:rsidRPr="00822527">
        <w:rPr>
          <w:rFonts w:ascii="Times New Roman" w:hAnsi="Times New Roman" w:cs="Times New Roman"/>
          <w:b/>
          <w:bCs/>
          <w:sz w:val="22"/>
        </w:rPr>
        <w:t>1.2 Imaging acquisition</w:t>
      </w:r>
    </w:p>
    <w:p w14:paraId="4CEBC8F8" w14:textId="581AE360" w:rsidR="00C47064" w:rsidRPr="00822527" w:rsidRDefault="00C47064" w:rsidP="00012802">
      <w:pPr>
        <w:spacing w:line="480" w:lineRule="auto"/>
        <w:rPr>
          <w:rFonts w:ascii="Times New Roman" w:hAnsi="Times New Roman" w:cs="Times New Roman"/>
          <w:sz w:val="22"/>
        </w:rPr>
      </w:pPr>
      <w:r w:rsidRPr="00822527">
        <w:rPr>
          <w:rFonts w:ascii="Times New Roman" w:hAnsi="Times New Roman" w:cs="Times New Roman"/>
          <w:sz w:val="22"/>
        </w:rPr>
        <w:t xml:space="preserve">Amyloid PET imaging was performed using one of the following radiotracers: </w:t>
      </w:r>
      <w:r w:rsidRPr="00822527">
        <w:rPr>
          <w:rFonts w:ascii="Times New Roman" w:hAnsi="Times New Roman" w:cs="Times New Roman"/>
          <w:sz w:val="22"/>
          <w:vertAlign w:val="superscript"/>
        </w:rPr>
        <w:t>18</w:t>
      </w:r>
      <w:r w:rsidRPr="00822527">
        <w:rPr>
          <w:rFonts w:ascii="Times New Roman" w:hAnsi="Times New Roman" w:cs="Times New Roman"/>
          <w:sz w:val="22"/>
        </w:rPr>
        <w:t xml:space="preserve">F-Florbetapir (also referred to as </w:t>
      </w:r>
      <w:r w:rsidRPr="00822527">
        <w:rPr>
          <w:rFonts w:ascii="Times New Roman" w:hAnsi="Times New Roman" w:cs="Times New Roman"/>
          <w:sz w:val="22"/>
          <w:vertAlign w:val="superscript"/>
        </w:rPr>
        <w:t>18</w:t>
      </w:r>
      <w:r w:rsidRPr="00822527">
        <w:rPr>
          <w:rFonts w:ascii="Times New Roman" w:hAnsi="Times New Roman" w:cs="Times New Roman"/>
          <w:sz w:val="22"/>
        </w:rPr>
        <w:t xml:space="preserve">F-AV-45; 50–70 minutes post-injection), </w:t>
      </w:r>
      <w:r w:rsidRPr="00822527">
        <w:rPr>
          <w:rFonts w:ascii="Times New Roman" w:hAnsi="Times New Roman" w:cs="Times New Roman"/>
          <w:sz w:val="22"/>
          <w:vertAlign w:val="superscript"/>
        </w:rPr>
        <w:t>18</w:t>
      </w:r>
      <w:r w:rsidRPr="00822527">
        <w:rPr>
          <w:rFonts w:ascii="Times New Roman" w:hAnsi="Times New Roman" w:cs="Times New Roman"/>
          <w:sz w:val="22"/>
        </w:rPr>
        <w:t xml:space="preserve">F-Florbetaben (also known as </w:t>
      </w:r>
      <w:r w:rsidRPr="00822527">
        <w:rPr>
          <w:rFonts w:ascii="Times New Roman" w:hAnsi="Times New Roman" w:cs="Times New Roman"/>
          <w:sz w:val="22"/>
          <w:vertAlign w:val="superscript"/>
        </w:rPr>
        <w:t>18</w:t>
      </w:r>
      <w:r w:rsidRPr="00822527">
        <w:rPr>
          <w:rFonts w:ascii="Times New Roman" w:hAnsi="Times New Roman" w:cs="Times New Roman"/>
          <w:sz w:val="22"/>
        </w:rPr>
        <w:t xml:space="preserve">F-AV-1; 90–110 minutes post-injection), or </w:t>
      </w:r>
      <w:r w:rsidRPr="00822527">
        <w:rPr>
          <w:rFonts w:ascii="Times New Roman" w:hAnsi="Times New Roman" w:cs="Times New Roman"/>
          <w:sz w:val="22"/>
          <w:vertAlign w:val="superscript"/>
        </w:rPr>
        <w:t>11</w:t>
      </w:r>
      <w:r w:rsidRPr="00822527">
        <w:rPr>
          <w:rFonts w:ascii="Times New Roman" w:hAnsi="Times New Roman" w:cs="Times New Roman"/>
          <w:sz w:val="22"/>
        </w:rPr>
        <w:t>C-Pittsburgh compound B (</w:t>
      </w:r>
      <w:r w:rsidRPr="00822527">
        <w:rPr>
          <w:rFonts w:ascii="Times New Roman" w:hAnsi="Times New Roman" w:cs="Times New Roman"/>
          <w:sz w:val="22"/>
          <w:vertAlign w:val="superscript"/>
        </w:rPr>
        <w:t>11</w:t>
      </w:r>
      <w:r w:rsidRPr="00822527">
        <w:rPr>
          <w:rFonts w:ascii="Times New Roman" w:hAnsi="Times New Roman" w:cs="Times New Roman"/>
          <w:sz w:val="22"/>
        </w:rPr>
        <w:t xml:space="preserve">C-PiB; 40–60 minutes post-injection). The PET scans were acquired using either the Biograph mCT Flow PET/CT system (Siemens, Erlangen, Germany), the </w:t>
      </w:r>
      <w:bookmarkStart w:id="0" w:name="_Hlk212541065"/>
      <w:r w:rsidRPr="00822527">
        <w:rPr>
          <w:rFonts w:ascii="Times New Roman" w:hAnsi="Times New Roman" w:cs="Times New Roman"/>
          <w:sz w:val="22"/>
        </w:rPr>
        <w:t>uMI 780</w:t>
      </w:r>
      <w:bookmarkEnd w:id="0"/>
      <w:r w:rsidRPr="00822527">
        <w:rPr>
          <w:rFonts w:ascii="Times New Roman" w:hAnsi="Times New Roman" w:cs="Times New Roman"/>
          <w:sz w:val="22"/>
        </w:rPr>
        <w:t xml:space="preserve"> PET/CT system (United Imaging Intelligence Co., Ltd., Shanghai, China), or the </w:t>
      </w:r>
      <w:bookmarkStart w:id="1" w:name="_Hlk212541083"/>
      <w:r w:rsidRPr="00822527">
        <w:rPr>
          <w:rFonts w:ascii="Times New Roman" w:hAnsi="Times New Roman" w:cs="Times New Roman"/>
          <w:sz w:val="22"/>
        </w:rPr>
        <w:t xml:space="preserve">uMI 790 </w:t>
      </w:r>
      <w:bookmarkEnd w:id="1"/>
      <w:r w:rsidRPr="00822527">
        <w:rPr>
          <w:rFonts w:ascii="Times New Roman" w:hAnsi="Times New Roman" w:cs="Times New Roman"/>
          <w:sz w:val="22"/>
        </w:rPr>
        <w:t xml:space="preserve">PET/MR system (United Imaging Intelligence Co., Ltd). The images underwent reconstruction utilizing a 3D ordered-subset </w:t>
      </w:r>
      <w:r w:rsidRPr="00822527">
        <w:rPr>
          <w:rFonts w:ascii="Times New Roman" w:hAnsi="Times New Roman" w:cs="Times New Roman"/>
          <w:sz w:val="22"/>
        </w:rPr>
        <w:lastRenderedPageBreak/>
        <w:t>expectation maximization (OSEM) algorithm.</w:t>
      </w:r>
      <w:r w:rsidR="00175A70" w:rsidRPr="00822527">
        <w:rPr>
          <w:rFonts w:ascii="Times New Roman" w:hAnsi="Times New Roman" w:cs="Times New Roman" w:hint="eastAsia"/>
          <w:sz w:val="22"/>
        </w:rPr>
        <w:t xml:space="preserve"> </w:t>
      </w:r>
      <w:r w:rsidR="00175A70" w:rsidRPr="00822527">
        <w:rPr>
          <w:rFonts w:ascii="Times New Roman" w:hAnsi="Times New Roman" w:cs="Times New Roman"/>
          <w:sz w:val="22"/>
        </w:rPr>
        <w:t>PET images from Biograph mCT Flow PET/CT were reconstructed using filtered back-projection algorithm (6 iterations, 21 subsets). PET images from uMI 790 PET/MR and uMI 780 PET/CT were reconstructed using all list mode events (4 iterations, 20 subsets).</w:t>
      </w:r>
    </w:p>
    <w:p w14:paraId="65CB2626" w14:textId="7C5A92E0" w:rsidR="00C47064" w:rsidRPr="00822527" w:rsidRDefault="00C47064" w:rsidP="00012802">
      <w:pPr>
        <w:spacing w:line="480" w:lineRule="auto"/>
        <w:rPr>
          <w:rFonts w:ascii="Times New Roman" w:hAnsi="Times New Roman" w:cs="Times New Roman"/>
          <w:sz w:val="22"/>
        </w:rPr>
      </w:pPr>
      <w:r w:rsidRPr="00822527">
        <w:rPr>
          <w:rFonts w:ascii="Times New Roman" w:hAnsi="Times New Roman" w:cs="Times New Roman"/>
          <w:sz w:val="22"/>
        </w:rPr>
        <w:t xml:space="preserve">Tau PET imaging with </w:t>
      </w:r>
      <w:r w:rsidRPr="00822527">
        <w:rPr>
          <w:rFonts w:ascii="Times New Roman" w:hAnsi="Times New Roman" w:cs="Times New Roman"/>
          <w:sz w:val="22"/>
          <w:vertAlign w:val="superscript"/>
        </w:rPr>
        <w:t>18</w:t>
      </w:r>
      <w:r w:rsidRPr="00822527">
        <w:rPr>
          <w:rFonts w:ascii="Times New Roman" w:hAnsi="Times New Roman" w:cs="Times New Roman"/>
          <w:sz w:val="22"/>
        </w:rPr>
        <w:t xml:space="preserve">F-Florzolotau (also referred to as </w:t>
      </w:r>
      <w:r w:rsidRPr="00822527">
        <w:rPr>
          <w:rFonts w:ascii="Times New Roman" w:hAnsi="Times New Roman" w:cs="Times New Roman"/>
          <w:sz w:val="22"/>
          <w:vertAlign w:val="superscript"/>
        </w:rPr>
        <w:t>18</w:t>
      </w:r>
      <w:r w:rsidRPr="00822527">
        <w:rPr>
          <w:rFonts w:ascii="Times New Roman" w:hAnsi="Times New Roman" w:cs="Times New Roman"/>
          <w:sz w:val="22"/>
        </w:rPr>
        <w:t xml:space="preserve">F-PM-PBB3 or </w:t>
      </w:r>
      <w:r w:rsidRPr="00822527">
        <w:rPr>
          <w:rFonts w:ascii="Times New Roman" w:hAnsi="Times New Roman" w:cs="Times New Roman"/>
          <w:sz w:val="22"/>
          <w:vertAlign w:val="superscript"/>
        </w:rPr>
        <w:t>18</w:t>
      </w:r>
      <w:r w:rsidRPr="00822527">
        <w:rPr>
          <w:rFonts w:ascii="Times New Roman" w:hAnsi="Times New Roman" w:cs="Times New Roman"/>
          <w:sz w:val="22"/>
        </w:rPr>
        <w:t>F-APN-1607; 90–110 minutes post-injection) was acquired using Biograph mCT Flow PET/CT system (Siemens, Erlangen, Germany). The images underwent reconstruction utilizing a 3D OSEM algorithm</w:t>
      </w:r>
      <w:r w:rsidR="00663D54" w:rsidRPr="00822527">
        <w:rPr>
          <w:rFonts w:ascii="Times New Roman" w:hAnsi="Times New Roman" w:cs="Times New Roman" w:hint="eastAsia"/>
          <w:sz w:val="22"/>
        </w:rPr>
        <w:t xml:space="preserve"> (</w:t>
      </w:r>
      <w:r w:rsidR="00175A70" w:rsidRPr="00822527">
        <w:rPr>
          <w:rFonts w:ascii="Times New Roman" w:hAnsi="Times New Roman" w:cs="Times New Roman"/>
          <w:sz w:val="22"/>
        </w:rPr>
        <w:t>6 iterations, 21 subsets</w:t>
      </w:r>
      <w:r w:rsidR="00663D54" w:rsidRPr="00822527">
        <w:rPr>
          <w:rFonts w:ascii="Times New Roman" w:hAnsi="Times New Roman" w:cs="Times New Roman" w:hint="eastAsia"/>
          <w:sz w:val="22"/>
        </w:rPr>
        <w:t>)</w:t>
      </w:r>
      <w:r w:rsidRPr="00822527">
        <w:rPr>
          <w:rFonts w:ascii="Times New Roman" w:hAnsi="Times New Roman" w:cs="Times New Roman"/>
          <w:sz w:val="22"/>
        </w:rPr>
        <w:t>.</w:t>
      </w:r>
    </w:p>
    <w:p w14:paraId="6A036749" w14:textId="226711C8" w:rsidR="00C47064" w:rsidRPr="00822527" w:rsidRDefault="00C47064" w:rsidP="00012802">
      <w:pPr>
        <w:spacing w:line="480" w:lineRule="auto"/>
        <w:rPr>
          <w:rFonts w:ascii="Times New Roman" w:hAnsi="Times New Roman" w:cs="Times New Roman"/>
          <w:sz w:val="22"/>
        </w:rPr>
      </w:pPr>
      <w:r w:rsidRPr="00822527">
        <w:rPr>
          <w:rFonts w:ascii="Times New Roman" w:hAnsi="Times New Roman" w:cs="Times New Roman"/>
          <w:sz w:val="22"/>
        </w:rPr>
        <w:t>T1-weighted (T1w) MRI scans were acquired using a 3.0-Tesla horizontal magnet scanner (Discovery MR750; GE Medical Systems, Milwaukee, WI, USA) or an uMI 790 PET/MR system.</w:t>
      </w:r>
    </w:p>
    <w:p w14:paraId="716B65F9" w14:textId="2FA0BC1A" w:rsidR="001F5B82" w:rsidRPr="00822527" w:rsidRDefault="001F5B82" w:rsidP="001F5B82">
      <w:pPr>
        <w:spacing w:line="480" w:lineRule="auto"/>
        <w:rPr>
          <w:rFonts w:ascii="Times New Roman" w:hAnsi="Times New Roman" w:cs="Times New Roman"/>
          <w:sz w:val="22"/>
        </w:rPr>
      </w:pPr>
      <w:bookmarkStart w:id="2" w:name="_Hlk212231337"/>
      <w:r w:rsidRPr="00822527">
        <w:rPr>
          <w:rFonts w:ascii="Times New Roman" w:hAnsi="Times New Roman" w:cs="Times New Roman" w:hint="eastAsia"/>
          <w:sz w:val="22"/>
        </w:rPr>
        <w:t xml:space="preserve">All tracers </w:t>
      </w:r>
      <w:r w:rsidRPr="00822527">
        <w:rPr>
          <w:rFonts w:ascii="Times New Roman" w:hAnsi="Times New Roman" w:cs="Times New Roman"/>
          <w:sz w:val="22"/>
        </w:rPr>
        <w:t>were prepared</w:t>
      </w:r>
      <w:r w:rsidRPr="00822527">
        <w:rPr>
          <w:rFonts w:ascii="Times New Roman" w:hAnsi="Times New Roman" w:cs="Times New Roman" w:hint="eastAsia"/>
          <w:sz w:val="22"/>
        </w:rPr>
        <w:t xml:space="preserve"> </w:t>
      </w:r>
      <w:r w:rsidRPr="00822527">
        <w:rPr>
          <w:rFonts w:ascii="Times New Roman" w:hAnsi="Times New Roman" w:cs="Times New Roman"/>
          <w:sz w:val="22"/>
        </w:rPr>
        <w:t xml:space="preserve">and synthesized at the cyclotron facility of </w:t>
      </w:r>
      <w:r w:rsidRPr="00822527">
        <w:rPr>
          <w:rFonts w:ascii="Times New Roman" w:hAnsi="Times New Roman" w:cs="Times New Roman" w:hint="eastAsia"/>
          <w:sz w:val="22"/>
        </w:rPr>
        <w:t xml:space="preserve">Huashan Hospital. Due to the </w:t>
      </w:r>
      <w:r w:rsidRPr="00822527">
        <w:rPr>
          <w:rFonts w:ascii="Times New Roman" w:hAnsi="Times New Roman" w:cs="Times New Roman"/>
          <w:sz w:val="22"/>
        </w:rPr>
        <w:t>light sensitivity</w:t>
      </w:r>
      <w:r w:rsidRPr="00822527">
        <w:rPr>
          <w:rFonts w:ascii="Times New Roman" w:hAnsi="Times New Roman" w:cs="Times New Roman" w:hint="eastAsia"/>
          <w:sz w:val="22"/>
        </w:rPr>
        <w:t xml:space="preserve"> of </w:t>
      </w:r>
      <w:r w:rsidRPr="00822527">
        <w:rPr>
          <w:rFonts w:ascii="Times New Roman" w:hAnsi="Times New Roman" w:cs="Times New Roman"/>
          <w:sz w:val="22"/>
          <w:vertAlign w:val="superscript"/>
        </w:rPr>
        <w:t>18</w:t>
      </w:r>
      <w:r w:rsidRPr="00822527">
        <w:rPr>
          <w:rFonts w:ascii="Times New Roman" w:hAnsi="Times New Roman" w:cs="Times New Roman"/>
          <w:sz w:val="22"/>
        </w:rPr>
        <w:t>F-Florzolotau</w:t>
      </w:r>
      <w:r w:rsidRPr="00822527">
        <w:rPr>
          <w:rFonts w:ascii="Times New Roman" w:hAnsi="Times New Roman" w:cs="Times New Roman" w:hint="eastAsia"/>
          <w:sz w:val="22"/>
        </w:rPr>
        <w:t xml:space="preserve">, the </w:t>
      </w:r>
      <w:r w:rsidRPr="00822527">
        <w:rPr>
          <w:rFonts w:ascii="Times New Roman" w:hAnsi="Times New Roman" w:cs="Times New Roman"/>
          <w:sz w:val="22"/>
        </w:rPr>
        <w:t>preparation</w:t>
      </w:r>
      <w:r w:rsidRPr="00822527">
        <w:rPr>
          <w:rFonts w:ascii="Times New Roman" w:hAnsi="Times New Roman" w:cs="Times New Roman" w:hint="eastAsia"/>
          <w:sz w:val="22"/>
        </w:rPr>
        <w:t xml:space="preserve"> and injection of </w:t>
      </w:r>
      <w:r w:rsidRPr="00822527">
        <w:rPr>
          <w:rFonts w:ascii="Times New Roman" w:hAnsi="Times New Roman" w:cs="Times New Roman"/>
          <w:sz w:val="22"/>
          <w:vertAlign w:val="superscript"/>
        </w:rPr>
        <w:t>18</w:t>
      </w:r>
      <w:r w:rsidRPr="00822527">
        <w:rPr>
          <w:rFonts w:ascii="Times New Roman" w:hAnsi="Times New Roman" w:cs="Times New Roman"/>
          <w:sz w:val="22"/>
        </w:rPr>
        <w:t>F-Florzolotau</w:t>
      </w:r>
      <w:r w:rsidRPr="00822527">
        <w:rPr>
          <w:rFonts w:ascii="Times New Roman" w:hAnsi="Times New Roman" w:cs="Times New Roman" w:hint="eastAsia"/>
          <w:sz w:val="22"/>
        </w:rPr>
        <w:t xml:space="preserve"> were strictly </w:t>
      </w:r>
      <w:r w:rsidRPr="00822527">
        <w:rPr>
          <w:rFonts w:ascii="Times New Roman" w:hAnsi="Times New Roman" w:cs="Times New Roman"/>
          <w:sz w:val="22"/>
        </w:rPr>
        <w:t xml:space="preserve">carried out under </w:t>
      </w:r>
      <w:r w:rsidR="00654897" w:rsidRPr="00822527">
        <w:rPr>
          <w:rFonts w:ascii="Times New Roman" w:hAnsi="Times New Roman" w:cs="Times New Roman"/>
          <w:sz w:val="22"/>
        </w:rPr>
        <w:t>dim light condition</w:t>
      </w:r>
      <w:r w:rsidR="00654897" w:rsidRPr="00822527">
        <w:rPr>
          <w:rFonts w:ascii="Times New Roman" w:hAnsi="Times New Roman" w:cs="Times New Roman" w:hint="eastAsia"/>
          <w:sz w:val="22"/>
        </w:rPr>
        <w:t>.</w:t>
      </w:r>
      <w:r w:rsidRPr="00822527">
        <w:rPr>
          <w:rFonts w:ascii="Times New Roman" w:hAnsi="Times New Roman" w:cs="Times New Roman" w:hint="eastAsia"/>
          <w:sz w:val="22"/>
        </w:rPr>
        <w:t xml:space="preserve"> </w:t>
      </w:r>
    </w:p>
    <w:bookmarkEnd w:id="2"/>
    <w:p w14:paraId="15FB7E95" w14:textId="08C84653" w:rsidR="00C47064" w:rsidRPr="00822527" w:rsidRDefault="00C47064" w:rsidP="00012802">
      <w:pPr>
        <w:spacing w:line="480" w:lineRule="auto"/>
        <w:rPr>
          <w:rFonts w:ascii="Times New Roman" w:hAnsi="Times New Roman" w:cs="Times New Roman"/>
          <w:b/>
          <w:bCs/>
          <w:sz w:val="22"/>
        </w:rPr>
      </w:pPr>
      <w:r w:rsidRPr="00822527">
        <w:rPr>
          <w:rFonts w:ascii="Times New Roman" w:hAnsi="Times New Roman" w:cs="Times New Roman"/>
          <w:b/>
          <w:bCs/>
          <w:sz w:val="22"/>
        </w:rPr>
        <w:t>1.3 Tau PET imaging preprocessing</w:t>
      </w:r>
    </w:p>
    <w:p w14:paraId="68710EE0" w14:textId="4FB4C979" w:rsidR="0098135A" w:rsidRPr="00822527" w:rsidRDefault="00C47064" w:rsidP="00012802">
      <w:pPr>
        <w:spacing w:line="480" w:lineRule="auto"/>
        <w:rPr>
          <w:rFonts w:ascii="Times New Roman" w:hAnsi="Times New Roman" w:cs="Times New Roman"/>
          <w:sz w:val="22"/>
        </w:rPr>
      </w:pPr>
      <w:r w:rsidRPr="00822527">
        <w:rPr>
          <w:rFonts w:ascii="Times New Roman" w:hAnsi="Times New Roman" w:cs="Times New Roman"/>
          <w:sz w:val="22"/>
        </w:rPr>
        <w:t xml:space="preserve">Raw </w:t>
      </w:r>
      <w:r w:rsidRPr="00822527">
        <w:rPr>
          <w:rFonts w:ascii="Times New Roman" w:hAnsi="Times New Roman" w:cs="Times New Roman"/>
          <w:sz w:val="22"/>
          <w:vertAlign w:val="superscript"/>
        </w:rPr>
        <w:t>18</w:t>
      </w:r>
      <w:r w:rsidRPr="00822527">
        <w:rPr>
          <w:rFonts w:ascii="Times New Roman" w:hAnsi="Times New Roman" w:cs="Times New Roman"/>
          <w:sz w:val="22"/>
        </w:rPr>
        <w:t>F-Florzolotau</w:t>
      </w:r>
      <w:r w:rsidRPr="00822527">
        <w:rPr>
          <w:rFonts w:ascii="Times New Roman" w:hAnsi="Times New Roman" w:cs="Times New Roman"/>
          <w:b/>
          <w:bCs/>
          <w:sz w:val="22"/>
        </w:rPr>
        <w:t xml:space="preserve"> </w:t>
      </w:r>
      <w:r w:rsidRPr="00822527">
        <w:rPr>
          <w:rFonts w:ascii="Times New Roman" w:hAnsi="Times New Roman" w:cs="Times New Roman"/>
          <w:sz w:val="22"/>
        </w:rPr>
        <w:t>PET images were spatially normalized to Montreal Neurological Institute space, guided by the corresponding T1w MRI scans using Statistical Parametric Mapping 12 (SPM12) implemented in MATLAB 2018b. Spatial smoothing was subsequently applied using an 8 mm full width at half maximum Gaussian kernel. Intensity normalization was then performed, generating standardized uptake value ratio (SUVR) maps – with cerebellar grey matter as the reference region.</w:t>
      </w:r>
      <w:r w:rsidRPr="00822527">
        <w:rPr>
          <w:rFonts w:ascii="Times New Roman" w:hAnsi="Times New Roman" w:cs="Times New Roman"/>
          <w:sz w:val="22"/>
        </w:rPr>
        <w:fldChar w:fldCharType="begin" w:fldLock="1"/>
      </w:r>
      <w:r w:rsidR="003022D8" w:rsidRPr="00822527">
        <w:rPr>
          <w:rFonts w:ascii="Times New Roman" w:hAnsi="Times New Roman" w:cs="Times New Roman"/>
          <w:sz w:val="22"/>
        </w:rPr>
        <w:instrText>ADDIN CSL_CITATION {"citationItems":[{"id":"ITEM-1","itemData":{"DOI":"10.1186/s40035-023-00365-x","ISSN":"20479158","abstract":"Background Gaining more information about the reciprocal associations between different biomarkers within the ATN (Amyloid/Tau/Neurodegeneration) framework across the Alzheimer’s disease (AD) spectrum is clinically relevant. We aimed to conduct a comprehensive head‑to‑head comparison of plasma and positron emission tomography (PET) ATN biomarkers in subjects with cognitive complaints. Methods A hospital‑based cohort of subjects with cognitive complaints with a concurrent blood draw and ATN PET imaging (18F‑florbetapir for A, 18F‑Florzolotau for T, and 18F‑fluorodeoxyglucose [18F‑FDG] for N) was enrolled (n = 137). The β‑amyloid (Aβ) status (positive versus negative) and the severity of cognitive impairment served as the main outcome measures for assessing biomarker performances. Results Plasma phosphorylated tau 181 (p‑tau181) level was found to be associated with PET imaging of ATN biomarkers in the entire cohort. Plasma p‑tau181 level and PET standardized uptake value ratios of AT biomarkers showed a similarly excellent diagnostic performance for distinguishing between Aβ+ and Aβ− subjects. An increased tau burden and glucose hypometabolism were significantly associated with the severity of cognitive impairment in Aβ+ subjects. Additionally, glucose hypometabolism – along with elevated plasma neurofilament light chain level – was related to more severe cognitive impairment in Aβ− subjects. Conclusion Plasma p‑tau181, as well as 18F‑florbetapir and 18F‑Florzolotau PET imaging can be considered as interchangeable biomarkers in the assessment of Aβ status in symptomatic stages of AD. 18F‑Florzolotau and 18F‑FDG PET imaging could serve as biomarkers for the severity of cognitive impairment. Our findings have implications for establishing a roadmap to identifying the most suitable ATN biomarkers for clinical use.","author":[{"dropping-particle":"","family":"Lu","given":"Jiaying","non-dropping-particle":"","parse-names":false,"suffix":""},{"dropping-particle":"","family":"Ma","given":"Xiaoxi","non-dropping-particle":"","parse-names":false,"suffix":""},{"dropping-particle":"","family":"Zhang","given":"Huiwei","non-dropping-particle":"","parse-names":false,"suffix":""},{"dropping-particle":"","family":"Xiao","given":"Zhenxu","non-dropping-particle":"","parse-names":false,"suffix":""},{"dropping-particle":"","family":"Li","given":"Ming","non-dropping-particle":"","parse-names":false,"suffix":""},{"dropping-particle":"","family":"Wu","given":"Jie","non-dropping-particle":"","parse-names":false,"suffix":""},{"dropping-particle":"","family":"Ju","given":"Zizhao","non-dropping-particle":"","parse-names":false,"suffix":""},{"dropping-particle":"","family":"Chen","given":"Li","non-dropping-particle":"","parse-names":false,"suffix":""},{"dropping-particle":"","family":"Zheng","given":"Li","non-dropping-particle":"","parse-names":false,"suffix":""},{"dropping-particle":"","family":"Ge","given":"Jingjie","non-dropping-particle":"","parse-names":false,"suffix":""},{"dropping-particle":"","family":"Liang","given":"Xiaoniu","non-dropping-particle":"","parse-names":false,"suffix":""},{"dropping-particle":"","family":"Bao","given":"Weiqi","non-dropping-particle":"","parse-names":false,"suffix":""},{"dropping-particle":"","family":"Wu","given":"Ping","non-dropping-particle":"","parse-names":false,"suffix":""},{"dropping-particle":"","family":"Ding","given":"Ding","non-dropping-particle":"","parse-names":false,"suffix":""},{"dropping-particle":"","family":"Yen","given":"Tzu-Chen","non-dropping-particle":"","parse-names":false,"suffix":""},{"dropping-particle":"","family":"Guan","given":"Yihui","non-dropping-particle":"","parse-names":false,"suffix":""},{"dropping-particle":"","family":"Zuo","given":"Chuantao","non-dropping-particle":"","parse-names":false,"suffix":""},{"dropping-particle":"","family":"Zhao","given":"Qianhua","non-dropping-particle":"","parse-names":false,"suffix":""},{"dropping-particle":"","family":"Chen","given":"Keliang","non-dropping-particle":"","parse-names":false,"suffix":""},{"dropping-particle":"","family":"Shi","given":"Langfeng","non-dropping-particle":"","parse-names":false,"suffix":""},{"dropping-particle":"","family":"Wu","given":"Wanqing","non-dropping-particle":"","parse-names":false,"suffix":""},{"dropping-particle":"","family":"Zhou","given":"Yan","non-dropping-particle":"","parse-names":false,"suffix":""},{"dropping-particle":"","family":"Zhang","given":"Yan","non-dropping-particle":"","parse-names":false,"suffix":""},{"dropping-particle":"","family":"Pei","given":"Fang","non-dropping-particle":"","parse-names":false,"suffix":""}],"container-title":"Translational Neurodegeneration","id":"ITEM-1","issue":"1","issued":{"date-parts":[["2023"]]},"page":"1-15","title":"Head-to-head comparison of plasma and PET imaging ATN markers in subjects with cognitive complaints","type":"article-journal","volume":"12"},"uris":["http://www.mendeley.com/documents/?uuid=ca9a99ef-60e0-4149-b2f5-f4989564b681"]}],"mendeley":{"formattedCitation":"[2]","plainTextFormattedCitation":"[2]","previouslyFormattedCitation":"&lt;span style=\"baseline\"&gt;(&lt;i&gt;2&lt;/i&gt;)&lt;/span&gt;"},"properties":{"noteIndex":0},"schema":"https://github.com/citation-style-language/schema/raw/master/csl-citation.json"}</w:instrText>
      </w:r>
      <w:r w:rsidRPr="00822527">
        <w:rPr>
          <w:rFonts w:ascii="Times New Roman" w:hAnsi="Times New Roman" w:cs="Times New Roman"/>
          <w:sz w:val="22"/>
        </w:rPr>
        <w:fldChar w:fldCharType="separate"/>
      </w:r>
      <w:r w:rsidR="003022D8" w:rsidRPr="00822527">
        <w:rPr>
          <w:rFonts w:ascii="Times New Roman" w:hAnsi="Times New Roman" w:cs="Times New Roman"/>
          <w:noProof/>
          <w:sz w:val="22"/>
        </w:rPr>
        <w:t>[2]</w:t>
      </w:r>
      <w:r w:rsidRPr="00822527">
        <w:rPr>
          <w:rFonts w:ascii="Times New Roman" w:hAnsi="Times New Roman" w:cs="Times New Roman"/>
          <w:sz w:val="22"/>
        </w:rPr>
        <w:fldChar w:fldCharType="end"/>
      </w:r>
      <w:r w:rsidRPr="00822527">
        <w:rPr>
          <w:rFonts w:ascii="Times New Roman" w:hAnsi="Times New Roman" w:cs="Times New Roman"/>
          <w:sz w:val="22"/>
        </w:rPr>
        <w:t xml:space="preserve"> Correction for partial-volume effects was undertaken using the Müller-Gärtner method,</w:t>
      </w:r>
      <w:r w:rsidRPr="00822527">
        <w:rPr>
          <w:rFonts w:ascii="Times New Roman" w:hAnsi="Times New Roman" w:cs="Times New Roman"/>
          <w:sz w:val="22"/>
        </w:rPr>
        <w:fldChar w:fldCharType="begin" w:fldLock="1"/>
      </w:r>
      <w:r w:rsidR="003022D8" w:rsidRPr="00822527">
        <w:rPr>
          <w:rFonts w:ascii="Times New Roman" w:hAnsi="Times New Roman" w:cs="Times New Roman"/>
          <w:sz w:val="22"/>
        </w:rPr>
        <w:instrText>ADDIN CSL_CITATION {"citationItems":[{"id":"ITEM-1","itemData":{"DOI":"10.1038/jcbfm.1992.81","ISSN":"0271-678X (Print)","PMID":"1618936","abstract":"Accuracy in in vivo quantitation of brain function with positron emission  tomography (PET) has often been limited by partial volume effects. This limitation becomes prominent in studies of aging and degenerative brain diseases where partial volume effects vary with different degrees of atrophy. The present study describes how the actual gray matter (GM) tracer concentration can be estimated using an algorithm that relates the regional fraction of GM to partial volume effects. The regional fraction of GM was determined by magnetic resonance imaging (MRI). The procedure is designated as GM PET. In computer simulations and phantom studies, the GM PET algorithm permitted a 100% recovery of the actual tracer concentration in neocortical GM and hippocampus, irrespective of the GM volume. GM PET was applied in a test case of temporal lobe epilepsy revealing an increase in radiotracer activity in GM that was undetected in the PET image before correction for partial volume effects. In computer simulations, errors in the segmentation of GM and errors in registration of PET and MRI images resulted in less than 15% inaccuracy in the GM PET image. In conclusion, GM PET permits accurate determination of the actual radiotracer concentration in human brain GM in vivo. The method differentiates whether a change in the apparent radiotracer concentration reflects solely an alteration in GM volume or rather a change in radiotracer concentration per unit volume of GM.","author":[{"dropping-particle":"","family":"Müller-Gärtner","given":"H W","non-dropping-particle":"","parse-names":false,"suffix":""},{"dropping-particle":"","family":"Links","given":"J M","non-dropping-particle":"","parse-names":false,"suffix":""},{"dropping-particle":"","family":"Prince","given":"J L","non-dropping-particle":"","parse-names":false,"suffix":""},{"dropping-particle":"","family":"Bryan","given":"R N","non-dropping-particle":"","parse-names":false,"suffix":""},{"dropping-particle":"","family":"McVeigh","given":"E","non-dropping-particle":"","parse-names":false,"suffix":""},{"dropping-particle":"","family":"Leal","given":"J P","non-dropping-particle":"","parse-names":false,"suffix":""},{"dropping-particle":"","family":"Davatzikos","given":"C","non-dropping-particle":"","parse-names":false,"suffix":""},{"dropping-particle":"","family":"Frost","given":"J J","non-dropping-particle":"","parse-names":false,"suffix":""}],"container-title":"Journal of cerebral blood flow and metabolism : official journal of the  International Society of Cerebral Blood Flow and Metabolism","id":"ITEM-1","issue":"4","issued":{"date-parts":[["1992","7"]]},"language":"eng","page":"571-583","publisher-place":"United States","title":"Measurement of radiotracer concentration in brain gray matter using positron  emission tomography: MRI-based correction for partial volume effects.","type":"article-journal","volume":"12"},"uris":["http://www.mendeley.com/documents/?uuid=449d5b0e-c2c6-44a3-9e13-08025faeb8cd"]}],"mendeley":{"formattedCitation":"[3]","plainTextFormattedCitation":"[3]","previouslyFormattedCitation":"&lt;span style=\"baseline\"&gt;(&lt;i&gt;3&lt;/i&gt;)&lt;/span&gt;"},"properties":{"noteIndex":0},"schema":"https://github.com/citation-style-language/schema/raw/master/csl-citation.json"}</w:instrText>
      </w:r>
      <w:r w:rsidRPr="00822527">
        <w:rPr>
          <w:rFonts w:ascii="Times New Roman" w:hAnsi="Times New Roman" w:cs="Times New Roman"/>
          <w:sz w:val="22"/>
        </w:rPr>
        <w:fldChar w:fldCharType="separate"/>
      </w:r>
      <w:r w:rsidR="003022D8" w:rsidRPr="00822527">
        <w:rPr>
          <w:rFonts w:ascii="Times New Roman" w:hAnsi="Times New Roman" w:cs="Times New Roman"/>
          <w:noProof/>
          <w:sz w:val="22"/>
        </w:rPr>
        <w:t>[3]</w:t>
      </w:r>
      <w:r w:rsidRPr="00822527">
        <w:rPr>
          <w:rFonts w:ascii="Times New Roman" w:hAnsi="Times New Roman" w:cs="Times New Roman"/>
          <w:sz w:val="22"/>
        </w:rPr>
        <w:fldChar w:fldCharType="end"/>
      </w:r>
      <w:r w:rsidRPr="00822527">
        <w:rPr>
          <w:rFonts w:ascii="Times New Roman" w:hAnsi="Times New Roman" w:cs="Times New Roman"/>
          <w:sz w:val="22"/>
        </w:rPr>
        <w:t xml:space="preserve"> as implemented in the PETPVE12 toolbox.</w:t>
      </w:r>
      <w:r w:rsidRPr="00822527">
        <w:rPr>
          <w:rFonts w:ascii="Times New Roman" w:hAnsi="Times New Roman" w:cs="Times New Roman"/>
          <w:sz w:val="22"/>
        </w:rPr>
        <w:fldChar w:fldCharType="begin" w:fldLock="1"/>
      </w:r>
      <w:r w:rsidR="003022D8" w:rsidRPr="00822527">
        <w:rPr>
          <w:rFonts w:ascii="Times New Roman" w:hAnsi="Times New Roman" w:cs="Times New Roman"/>
          <w:sz w:val="22"/>
        </w:rPr>
        <w:instrText>ADDIN CSL_CITATION {"citationItems":[{"id":"ITEM-1","itemData":{"DOI":"10.1016/j.neuroimage.2016.12.077","ISSN":"1095-9572","PMID":"28039094","abstract":"Positron emission tomography (PET) allows detecting molecular brain changes in vivo. However, the accuracy of PET is limited by partial volume effects (PVE) that affects quantitative analysis and visual interpretation of the images. Although PVE-correction methods have been shown to effectively increase the correspondence of the measured signal with the true regional tracer uptake, these procedures are still not commonly applied, neither in clinical nor in research settings. Here, we present an implementation of well validated PVE-correction procedures as a SPM toolbox, PETPVE12, for automated processing. We demonstrate its utility by a comprehensive analysis of the effects of PVE-correction on amyloid-sensitive AV45-PET data from 85 patients with Alzheimer's disease (AD) and 179 cognitively normal (CN) elderly. Effects of PVE-correction on global cortical standard uptake value ratios (SUVR) and the power of diagnostic group separation were assessed for the region-wise geometric transfer matrix method (PVEc-GTM), as well as for the 3-compartmental voxel-wise \"Müller-Gärtner\" method (PVEc-MG). Both PVE-correction methods resulted in decreased global cortical SUVRs in the low to middle range of SUVR values, and in increased global cortical SUVRs at the high values. As a consequence, average SUVR of the CN group was reduced, whereas average SUVR of the AD group was increased by PVE-correction. These effects were also reflected in increased accuracies of group discrimination after PVEc-GTM (AUC=0.86) and PVEc-MG (AUC=0.89) compared to standard non-corrected SUVR (AUC=0.84). Voxel-wise analyses of PVEc-MG corrected data also demonstrated improved detection of regionally increased AV45 SUVR values in AD patients. These findings complement the growing evidence for a beneficial effect of PVE-correction in quantitative analysis of amyloid-sensitive PET data. The novel PETPVE12 toolbox significantly facilitates the application of PVE-correction, particularly within SPM-based processing pipelines. This is expected to foster the use of PVE-correction in brain PET for more widespread use. The toolbox is freely available at http://www.fil.ion.ucl.ac.uk/spm/ext/#PETPVE12.","author":[{"dropping-particle":"","family":"Gonzalez-Escamilla","given":"Gabriel","non-dropping-particle":"","parse-names":false,"suffix":""},{"dropping-particle":"","family":"Lange","given":"Catharina","non-dropping-particle":"","parse-names":false,"suffix":""},{"dropping-particle":"","family":"Teipel","given":"Stefan","non-dropping-particle":"","parse-names":false,"suffix":""},{"dropping-particle":"","family":"Buchert","given":"Ralph","non-dropping-particle":"","parse-names":false,"suffix":""},{"dropping-particle":"","family":"Grothe","given":"Michel J.","non-dropping-particle":"","parse-names":false,"suffix":""},{"dropping-particle":"","family":"Alzheimer's Disease Neuroimaging Initiative","given":"","non-dropping-particle":"","parse-names":false,"suffix":""}],"container-title":"NeuroImage","id":"ITEM-1","issue":"September 2016","issued":{"date-parts":[["2017","2","15"]]},"page":"669-677","publisher":"Elsevier","title":"PETPVE12: an SPM toolbox for Partial Volume Effects correction in brain PET - Application to amyloid imaging with AV45-PET.","type":"article-journal","volume":"147"},"uris":["http://www.mendeley.com/documents/?uuid=61f46db1-8132-464e-a57e-722abfcca0ed"]}],"mendeley":{"formattedCitation":"[4]","plainTextFormattedCitation":"[4]","previouslyFormattedCitation":"&lt;span style=\"baseline\"&gt;(&lt;i&gt;4&lt;/i&gt;)&lt;/span&gt;"},"properties":{"noteIndex":0},"schema":"https://github.com/citation-style-language/schema/raw/master/csl-citation.json"}</w:instrText>
      </w:r>
      <w:r w:rsidRPr="00822527">
        <w:rPr>
          <w:rFonts w:ascii="Times New Roman" w:hAnsi="Times New Roman" w:cs="Times New Roman"/>
          <w:sz w:val="22"/>
        </w:rPr>
        <w:fldChar w:fldCharType="separate"/>
      </w:r>
      <w:r w:rsidR="003022D8" w:rsidRPr="00822527">
        <w:rPr>
          <w:rFonts w:ascii="Times New Roman" w:hAnsi="Times New Roman" w:cs="Times New Roman"/>
          <w:noProof/>
          <w:sz w:val="22"/>
        </w:rPr>
        <w:t>[4]</w:t>
      </w:r>
      <w:r w:rsidRPr="00822527">
        <w:rPr>
          <w:rFonts w:ascii="Times New Roman" w:hAnsi="Times New Roman" w:cs="Times New Roman"/>
          <w:sz w:val="22"/>
        </w:rPr>
        <w:fldChar w:fldCharType="end"/>
      </w:r>
      <w:r w:rsidRPr="00822527">
        <w:rPr>
          <w:rFonts w:ascii="Times New Roman" w:hAnsi="Times New Roman" w:cs="Times New Roman"/>
          <w:sz w:val="22"/>
        </w:rPr>
        <w:t xml:space="preserve"> </w:t>
      </w:r>
    </w:p>
    <w:p w14:paraId="0EB34B2D" w14:textId="0B23E101" w:rsidR="0098135A" w:rsidRPr="00822527" w:rsidRDefault="00C47064" w:rsidP="00012802">
      <w:pPr>
        <w:spacing w:line="480" w:lineRule="auto"/>
        <w:rPr>
          <w:rFonts w:ascii="Times New Roman" w:hAnsi="Times New Roman" w:cs="Times New Roman"/>
          <w:sz w:val="22"/>
        </w:rPr>
      </w:pPr>
      <w:r w:rsidRPr="00822527">
        <w:rPr>
          <w:rFonts w:ascii="Times New Roman" w:hAnsi="Times New Roman" w:cs="Times New Roman"/>
          <w:sz w:val="22"/>
        </w:rPr>
        <w:lastRenderedPageBreak/>
        <w:t>Quantitative analysis focused on two AD-relevant regions of interest (ROIs)</w:t>
      </w:r>
      <w:r w:rsidR="0098135A" w:rsidRPr="00822527">
        <w:rPr>
          <w:rFonts w:ascii="Times New Roman" w:hAnsi="Times New Roman" w:cs="Times New Roman"/>
          <w:sz w:val="22"/>
        </w:rPr>
        <w:t xml:space="preserve"> according to the Desikan-Killiany Atlas </w:t>
      </w:r>
      <w:r w:rsidR="0098135A" w:rsidRPr="00822527">
        <w:rPr>
          <w:rFonts w:ascii="Times New Roman" w:hAnsi="Times New Roman" w:cs="Times New Roman"/>
          <w:sz w:val="22"/>
        </w:rPr>
        <w:fldChar w:fldCharType="begin" w:fldLock="1"/>
      </w:r>
      <w:r w:rsidR="003022D8" w:rsidRPr="00822527">
        <w:rPr>
          <w:rFonts w:ascii="Times New Roman" w:hAnsi="Times New Roman" w:cs="Times New Roman"/>
          <w:sz w:val="22"/>
        </w:rPr>
        <w:instrText>ADDIN CSL_CITATION {"citationItems":[{"id":"ITEM-1","itemData":{"DOI":"10.1016/j.neuroimage.2006.01.021","ISSN":"10538119","PMID":"16530430","abstract":"In this study, we have assessed the validity and reliability of an automated labeling system that we have developed for subdividing the human cerebral cortex on magnetic resonance images into gyral based regions of interest (ROIs). Using a dataset of 40 MRI scans we manually identified 34 cortical ROIs in each of the individual hemispheres. This information was then encoded in the form of an atlas that was utilized to automatically label ROIs. To examine the validity, as well as the intra- and inter-rater reliability of the automated system, we used both intraclass correlation coefficients (ICC), and a new method known as mean distance maps, to assess the degree of mismatch between the manual and the automated sets of ROIs. When compared with the manual ROIs, the automated ROIs were highly accurate, with an average ICC of 0.835 across all of the ROIs, and a mean distance error of less than 1 mm. Intra- and inter-rater comparisons yielded little to no difference between the sets of ROIs. These findings suggest that the automated method we have developed for subdividing the human cerebral cortex into standard gyral-based neuroanatomical regions is both anatomically valid and reliable. This method may be useful for both morphometric and functional studies of the cerebral cortex as well as for clinical investigations aimed at tracking the evolution of disease-induced changes over time, including clinical trials in which MRI-based measures are used to examine response to treatment. © 2006 Elsevier Inc. All rights reserved.","author":[{"dropping-particle":"","family":"Desikan","given":"Rahul S.","non-dropping-particle":"","parse-names":false,"suffix":""},{"dropping-particle":"","family":"Ségonne","given":"Florent","non-dropping-particle":"","parse-names":false,"suffix":""},{"dropping-particle":"","family":"Fischl","given":"Bruce","non-dropping-particle":"","parse-names":false,"suffix":""},{"dropping-particle":"","family":"Quinn","given":"Brian T.","non-dropping-particle":"","parse-names":false,"suffix":""},{"dropping-particle":"","family":"Dickerson","given":"Bradford C.","non-dropping-particle":"","parse-names":false,"suffix":""},{"dropping-particle":"","family":"Blacker","given":"Deborah","non-dropping-particle":"","parse-names":false,"suffix":""},{"dropping-particle":"","family":"Buckner","given":"Randy L.","non-dropping-particle":"","parse-names":false,"suffix":""},{"dropping-particle":"","family":"Dale","given":"Anders M.","non-dropping-particle":"","parse-names":false,"suffix":""},{"dropping-particle":"","family":"Maguire","given":"R. Paul","non-dropping-particle":"","parse-names":false,"suffix":""},{"dropping-particle":"","family":"Hyman","given":"Bradley T.","non-dropping-particle":"","parse-names":false,"suffix":""},{"dropping-particle":"","family":"Albert","given":"Marilyn S.","non-dropping-particle":"","parse-names":false,"suffix":""},{"dropping-particle":"","family":"Killiany","given":"Ronald J.","non-dropping-particle":"","parse-names":false,"suffix":""}],"container-title":"NeuroImage","id":"ITEM-1","issue":"3","issued":{"date-parts":[["2006","7","1"]]},"page":"968-980","title":"An automated labeling system for subdividing the human cerebral cortex on MRI scans into gyral based regions of interest","type":"article-journal","volume":"31"},"uris":["http://www.mendeley.com/documents/?uuid=b757cf76-95c7-38c6-ba75-940b07577281"]}],"mendeley":{"formattedCitation":"[5]","plainTextFormattedCitation":"[5]","previouslyFormattedCitation":"&lt;span style=\"baseline\"&gt;(&lt;i&gt;5&lt;/i&gt;)&lt;/span&gt;"},"properties":{"noteIndex":0},"schema":"https://github.com/citation-style-language/schema/raw/master/csl-citation.json"}</w:instrText>
      </w:r>
      <w:r w:rsidR="0098135A" w:rsidRPr="00822527">
        <w:rPr>
          <w:rFonts w:ascii="Times New Roman" w:hAnsi="Times New Roman" w:cs="Times New Roman"/>
          <w:sz w:val="22"/>
        </w:rPr>
        <w:fldChar w:fldCharType="separate"/>
      </w:r>
      <w:r w:rsidR="003022D8" w:rsidRPr="00822527">
        <w:rPr>
          <w:rFonts w:ascii="Times New Roman" w:hAnsi="Times New Roman" w:cs="Times New Roman"/>
          <w:noProof/>
          <w:sz w:val="22"/>
        </w:rPr>
        <w:t>[5]</w:t>
      </w:r>
      <w:r w:rsidR="0098135A" w:rsidRPr="00822527">
        <w:rPr>
          <w:rFonts w:ascii="Times New Roman" w:hAnsi="Times New Roman" w:cs="Times New Roman"/>
          <w:sz w:val="22"/>
        </w:rPr>
        <w:fldChar w:fldCharType="end"/>
      </w:r>
      <w:r w:rsidRPr="00822527">
        <w:rPr>
          <w:rFonts w:ascii="Times New Roman" w:hAnsi="Times New Roman" w:cs="Times New Roman"/>
          <w:sz w:val="22"/>
        </w:rPr>
        <w:t>, i.e., the medial temporal lobe (MTL) and neocortical area (NEO).</w:t>
      </w:r>
      <w:r w:rsidR="0098135A" w:rsidRPr="00822527">
        <w:rPr>
          <w:rFonts w:ascii="Times New Roman" w:hAnsi="Times New Roman" w:cs="Times New Roman"/>
          <w:sz w:val="22"/>
        </w:rPr>
        <w:t xml:space="preserve"> Consistent with previous studies, the MTL ROI encompassed the bilateral entorhinal cortex and amygdala, with equal weighting given to both structures</w:t>
      </w:r>
      <w:r w:rsidR="00463CE5" w:rsidRPr="00822527">
        <w:rPr>
          <w:rFonts w:ascii="Times New Roman" w:hAnsi="Times New Roman" w:cs="Times New Roman" w:hint="eastAsia"/>
          <w:sz w:val="22"/>
        </w:rPr>
        <w:t>.</w:t>
      </w:r>
      <w:r w:rsidR="00463CE5" w:rsidRPr="00822527">
        <w:rPr>
          <w:rFonts w:ascii="Times New Roman" w:hAnsi="Times New Roman" w:cs="Times New Roman"/>
          <w:sz w:val="22"/>
        </w:rPr>
        <w:fldChar w:fldCharType="begin" w:fldLock="1"/>
      </w:r>
      <w:r w:rsidR="003022D8" w:rsidRPr="00822527">
        <w:rPr>
          <w:rFonts w:ascii="Times New Roman" w:hAnsi="Times New Roman" w:cs="Times New Roman"/>
          <w:sz w:val="22"/>
        </w:rPr>
        <w:instrText>ADDIN CSL_CITATION {"citationItems":[{"id":"ITEM-1","itemData":{"DOI":"10.1038/s41591-022-02049-x","ISSN":"1078-8956","abstract":"A major unanswered question in the dementia field is whether cognitively unimpaired individuals who harbor both Alzheimer’s disease neuropathological hallmarks (that is, amyloid-β plaques and tau neurofibrillary tangles) can preserve their cognition over time or are destined to decline. In this large multicenter amyloid and tau positron emission tomography (PET) study ( n = 1,325), we examined the risk for future progression to mild cognitive impairment and the rate of cognitive decline over time among cognitively unimpaired individuals who were amyloid PET-positive (A + ) and tau PET-positive (T + ) in the medial temporal lobe (A + T MTL + ) and/or in the temporal neocortex (A + T NEO-T + ) and compared them with A + T − and A − T − groups. Cox proportional-hazards models showed a substantially increased risk for progression to mild cognitive impairment in the A + T NEO-T + (hazard ratio (HR) = 19.2, 95% confidence interval (CI) = 10.9–33.7), A + T MTL + (HR = 14.6, 95% CI = 8.1–26.4) and A + T − (HR = 2.4, 95% CI = 1.4–4.3) groups versus the A − T − (reference) group. Both A + T MTL + (HR = 6.0, 95% CI = 3.4–10.6) and A + T NEO-T + (HR = 7.9, 95% CI = 4.7–13.5) groups also showed faster clinical progression to mild cognitive impairment than the A + T − group. Linear mixed-effect models indicated that the A + T NEO-T + ( β = −0.056 ± 0.005, T = −11.55, P &lt; 0.001), A + T MTL + ( β = −0.024 ± 0.005, T = −4.72, P &lt; 0.001) and A + T − ( β = −0.008 ± 0.002, T = −3.46, P &lt; 0.001) groups showed significantly faster longitudinal global cognitive decline compared to the A − T − (reference) group (all P &lt; 0.001). Both A + T NEO-T + ( P &lt; 0.001) and A + T MTL + ( P = 0.002) groups also progressed faster than the A + T − group. In summary, evidence of advanced Alzheimer’s disease pathological changes provided by a combination of abnormal amyloid and tau PET examinations is strongly associated with short-term (that is, 3–5 years) cognitive decline in cognitively unimpaired individuals and is therefore of high clinical relevance.","author":[{"dropping-particle":"","family":"Ossenkoppele","given":"Rik","non-dropping-particle":"","parse-names":false,"suffix":""},{"dropping-particle":"","family":"Pichet Binette","given":"Alexa","non-dropping-particle":"","parse-names":false,"suffix":""},{"dropping-particle":"","family":"Groot","given":"Colin","non-dropping-particle":"","parse-names":false,"suffix":""},{"dropping-particle":"","family":"Smith","given":"Ruben","non-dropping-particle":"","parse-names":false,"suffix":""},{"dropping-particle":"","family":"Strandberg","given":"Olof","non-dropping-particle":"","parse-names":false,"suffix":""},{"dropping-particle":"","family":"Palmqvist","given":"Sebastian","non-dropping-particle":"","parse-names":false,"suffix":""},{"dropping-particle":"","family":"Stomrud","given":"Erik","non-dropping-particle":"","parse-names":false,"suffix":""},{"dropping-particle":"","family":"Tideman","given":"Pontus","non-dropping-particle":"","parse-names":false,"suffix":""},{"dropping-particle":"","family":"Ohlsson","given":"Tomas","non-dropping-particle":"","parse-names":false,"suffix":""},{"dropping-particle":"","family":"Jögi","given":"Jonas","non-dropping-particle":"","parse-names":false,"suffix":""},{"dropping-particle":"","family":"Johnson","given":"Keith","non-dropping-particle":"","parse-names":false,"suffix":""},{"dropping-particle":"","family":"Sperling","given":"Reisa","non-dropping-particle":"","parse-names":false,"suffix":""},{"dropping-particle":"","family":"Dore","given":"Vincent","non-dropping-particle":"","parse-names":false,"suffix":""},{"dropping-particle":"","family":"Masters","given":"Colin L.","non-dropping-particle":"","parse-names":false,"suffix":""},{"dropping-particle":"","family":"Rowe","given":"Christopher","non-dropping-particle":"","parse-names":false,"suffix":""},{"dropping-particle":"","family":"Visser","given":"Denise","non-dropping-particle":"","parse-names":false,"suffix":""},{"dropping-particle":"","family":"Berckel","given":"Bart N. M.","non-dropping-particle":"van","parse-names":false,"suffix":""},{"dropping-particle":"","family":"Flier","given":"Wiesje M.","non-dropping-particle":"van der","parse-names":false,"suffix":""},{"dropping-particle":"","family":"Baker","given":"Suzanne","non-dropping-particle":"","parse-names":false,"suffix":""},{"dropping-particle":"","family":"Jagust","given":"William J.","non-dropping-particle":"","parse-names":false,"suffix":""},{"dropping-particle":"","family":"Wiste","given":"Heather J.","non-dropping-particle":"","parse-names":false,"suffix":""},{"dropping-particle":"","family":"Petersen","given":"Ronald C.","non-dropping-particle":"","parse-names":false,"suffix":""},{"dropping-particle":"","family":"Jack","given":"Clifford R.","non-dropping-particle":"","parse-names":false,"suffix":""},{"dropping-particle":"","family":"Hansson","given":"Oskar","non-dropping-particle":"","parse-names":false,"suffix":""}],"container-title":"Nature Medicine","id":"ITEM-1","issue":"11","issued":{"date-parts":[["2022","11","10"]]},"page":"2381-2387","title":"Amyloid and tau PET-positive cognitively unimpaired individuals are at high risk for future cognitive decline","type":"article-journal","volume":"28"},"uris":["http://www.mendeley.com/documents/?uuid=b9431f0b-01c9-4b32-ae2e-12356b962b14"]}],"mendeley":{"formattedCitation":"[6]","plainTextFormattedCitation":"[6]","previouslyFormattedCitation":"&lt;span style=\"baseline\"&gt;(&lt;i&gt;6&lt;/i&gt;)&lt;/span&gt;"},"properties":{"noteIndex":0},"schema":"https://github.com/citation-style-language/schema/raw/master/csl-citation.json"}</w:instrText>
      </w:r>
      <w:r w:rsidR="00463CE5" w:rsidRPr="00822527">
        <w:rPr>
          <w:rFonts w:ascii="Times New Roman" w:hAnsi="Times New Roman" w:cs="Times New Roman"/>
          <w:sz w:val="22"/>
        </w:rPr>
        <w:fldChar w:fldCharType="separate"/>
      </w:r>
      <w:r w:rsidR="003022D8" w:rsidRPr="00822527">
        <w:rPr>
          <w:rFonts w:ascii="Times New Roman" w:hAnsi="Times New Roman" w:cs="Times New Roman"/>
          <w:noProof/>
          <w:sz w:val="22"/>
        </w:rPr>
        <w:t>[6]</w:t>
      </w:r>
      <w:r w:rsidR="00463CE5" w:rsidRPr="00822527">
        <w:rPr>
          <w:rFonts w:ascii="Times New Roman" w:hAnsi="Times New Roman" w:cs="Times New Roman"/>
          <w:sz w:val="22"/>
        </w:rPr>
        <w:fldChar w:fldCharType="end"/>
      </w:r>
      <w:r w:rsidR="0098135A" w:rsidRPr="00822527">
        <w:rPr>
          <w:rFonts w:ascii="Times New Roman" w:hAnsi="Times New Roman" w:cs="Times New Roman"/>
          <w:sz w:val="22"/>
        </w:rPr>
        <w:t xml:space="preserve"> The NEO ROI, </w:t>
      </w:r>
      <w:bookmarkStart w:id="3" w:name="_Hlk212126076"/>
      <w:r w:rsidR="0098135A" w:rsidRPr="00822527">
        <w:rPr>
          <w:rFonts w:ascii="Times New Roman" w:hAnsi="Times New Roman" w:cs="Times New Roman"/>
          <w:sz w:val="22"/>
        </w:rPr>
        <w:t>representing Braak stages V and VI</w:t>
      </w:r>
      <w:bookmarkEnd w:id="3"/>
      <w:r w:rsidR="0098135A" w:rsidRPr="00822527">
        <w:rPr>
          <w:rFonts w:ascii="Times New Roman" w:hAnsi="Times New Roman" w:cs="Times New Roman"/>
          <w:sz w:val="22"/>
        </w:rPr>
        <w:t>, included widespread neocortical ROIs</w:t>
      </w:r>
      <w:r w:rsidR="00463CE5" w:rsidRPr="00822527">
        <w:rPr>
          <w:rFonts w:ascii="Times New Roman" w:hAnsi="Times New Roman" w:cs="Times New Roman" w:hint="eastAsia"/>
          <w:sz w:val="22"/>
        </w:rPr>
        <w:t>.</w:t>
      </w:r>
      <w:r w:rsidR="0098135A" w:rsidRPr="00822527">
        <w:rPr>
          <w:rFonts w:ascii="Times New Roman" w:hAnsi="Times New Roman" w:cs="Times New Roman"/>
          <w:sz w:val="22"/>
        </w:rPr>
        <w:fldChar w:fldCharType="begin" w:fldLock="1"/>
      </w:r>
      <w:r w:rsidR="003022D8" w:rsidRPr="00822527">
        <w:rPr>
          <w:rFonts w:ascii="Times New Roman" w:hAnsi="Times New Roman" w:cs="Times New Roman"/>
          <w:sz w:val="22"/>
        </w:rPr>
        <w:instrText>ADDIN CSL_CITATION {"citationItems":[{"id":"ITEM-1","itemData":{"DOI":"10.1001/jamaneurol.2021.1858","ISSN":"21686157","PMID":"34180956","abstract":"Importance: Tau positron emission tomography (PET) tracers have proven useful for the differential diagnosis of dementia, but their utility for predicting cognitive change is unclear. Objective: To examine the prognostic accuracy of baseline fluorine 18 (18F)-flortaucipir and [18F]RO948 (tau) PET in individuals across the Alzheimer disease (AD) clinical spectrum and to perform a head-to-head comparison against established magnetic resonance imaging (MRI) and amyloid PET markers. Design, Setting, and Participants: This prognostic study collected data from 8 cohorts in South Korea, Sweden, and the US from June 1, 2014, to February 28, 2021, with a mean (SD) follow-up of 1.9 (0.8) years. A total of 1431 participants were recruited from memory clinics, clinical trials, or cohort studies; 673 were cognitively unimpaired (CU group; 253 [37.6%] positive for amyloid-</w:instrText>
      </w:r>
      <w:r w:rsidR="003022D8" w:rsidRPr="00822527">
        <w:rPr>
          <w:rFonts w:ascii="Times New Roman" w:hAnsi="Times New Roman" w:cs="Times New Roman" w:hint="eastAsia"/>
          <w:sz w:val="22"/>
        </w:rPr>
        <w:instrText>β</w:instrText>
      </w:r>
      <w:r w:rsidR="003022D8" w:rsidRPr="00822527">
        <w:rPr>
          <w:rFonts w:ascii="Times New Roman" w:hAnsi="Times New Roman" w:cs="Times New Roman"/>
          <w:sz w:val="22"/>
        </w:rPr>
        <w:instrText xml:space="preserve"> [Aβ]), 443 had mild cognitive impairment (MCI group; 271 [61.2%] positive for Aβ), and 315 had a clinical diagnosis of AD dementia (315 [100%] positive for Aβ). Exposures: [18F]Flortaucipir PET in the discovery cohort (n = 1135) or [18F]RO948 PET in the replication cohort (n = 296), T1-weighted MRI (n = 1431), and amyloid PET (n = 1329) at baseline and repeated Mini-Mental State Examination (MMSE) evaluation. Main Outcomes and Measures: Baseline [18F]flortaucipir/[18F]RO948 PET retention within a temporal region of interest, MRI-based AD-signature cortical thickness, and amyloid PET Centiloids were used to predict changes in MMSE using linear mixed-effects models adjusted for age, sex, education, and cohort. Mediation/interaction analyses tested whether associations between baseline tau PET and cognitive change were mediated by baseline MRI measures and whether age, sex, and APOE genotype modified these associations. Results: Among 1431 participants, the mean (SD) age was 71.2 (8.8) years; 751 (52.5%) were male. Findings for [18F]flortaucipir PET predicted longitudinal changes in MMSE, and effect sizes were stronger than for AD-signature cortical thickness and amyloid PET across all participants (R2, 0.35 [tau PET] vs 0.24 [MRI] vs 0.17 [amyloid PET]; P &lt;.001, bootstrapped for difference) in the Aβ-positive MCI group (R2, 0.25 [tau PET] vs 0.15 [MRI] vs 0.07 [amyloid PET]; P &lt;.001, bootstrapped for difference) and in the Aβ-positive CU group (R2, 0.16 [tau PET] vs 0.08 [MRI] vs 0.08 [amyloid PET]; P &lt;.001, bootstrapped for difference). These findings were replicated in the [18F]RO948 PET cohort. M…","author":[{"dropping-particle":"","family":"Ossenkoppele","given":"Rik","non-dropping-particle":"","parse-names":false,"suffix":""},{"dropping-particle":"","family":"Smith","given":"Ruben","non-dropping-particle":"","parse-names":false,"suffix":""},{"dropping-particle":"","family":"Mattsson-Carlgren","given":"Niklas","non-dropping-particle":"","parse-names":false,"suffix":""},{"dropping-particle":"","family":"Groot","given":"Colin","non-dropping-particle":"","parse-names":false,"suffix":""},{"dropping-particle":"","family":"Leuzy","given":"Antoine","non-dropping-particle":"","parse-names":false,"suffix":""},{"dropping-particle":"","family":"Strandberg","given":"Olof","non-dropping-particle":"","parse-names":false,"suffix":""},{"dropping-particle":"","family":"Palmqvist","given":"Sebastian","non-dropping-particle":"","parse-names":false,"suffix":""},{"dropping-particle":"","family":"Olsson","given":"Tomas","non-dropping-particle":"","parse-names":false,"suffix":""},{"dropping-particle":"","family":"Jögi","given":"Jonas","non-dropping-particle":"","parse-names":false,"suffix":""},{"dropping-particle":"","family":"Stormrud","given":"Erik","non-dropping-particle":"","parse-names":false,"suffix":""},{"dropping-particle":"","family":"Cho","given":"Hanna","non-dropping-particle":"","parse-names":false,"suffix":""},{"dropping-particle":"","family":"Ryu","given":"Young Hoon","non-dropping-particle":"","parse-names":false,"suffix":""},{"dropping-particle":"","family":"Choi","given":"Jae Yong","non-dropping-particle":"","parse-names":false,"suffix":""},{"dropping-particle":"","family":"Boxer","given":"Adam L","non-dropping-particle":"","parse-names":false,"suffix":""},{"dropping-particle":"","family":"Gorno-Tempini","given":"Maria L.","non-dropping-particle":"","parse-names":false,"suffix":""},{"dropping-particle":"","family":"Miller","given":"Bruce L","non-dropping-particle":"","parse-names":false,"suffix":""},{"dropping-particle":"","family":"Soleimani-Meigooni","given":"David","non-dropping-particle":"","parse-names":false,"suffix":""},{"dropping-particle":"","family":"Iaccarino","given":"Leonardo","non-dropping-particle":"","parse-names":false,"suffix":""},{"dropping-particle":"","family":"Joie","given":"Renaud","non-dropping-particle":"La","parse-names":false,"suffix":""},{"dropping-particle":"","family":"Baker","given":"Suzanne","non-dropping-particle":"","parse-names":false,"suffix":""},{"dropping-particle":"","family":"Borroni","given":"Edilio","non-dropping-particle":"","parse-names":false,"suffix":""},{"dropping-particle":"","family":"Klein","given":"Gregory","non-dropping-particle":"","parse-names":false,"suffix":""},{"dropping-particle":"","family":"Pontecorvo","given":"Michael J","non-dropping-particle":"","parse-names":false,"suffix":""},{"dropping-particle":"","family":"Devous","given":"Michael D.","non-dropping-particle":"","parse-names":false,"suffix":""},{"dropping-particle":"","family":"Jagust","given":"William J","non-dropping-particle":"","parse-names":false,"suffix":""},{"dropping-particle":"","family":"Lyoo","given":"Chul Hyoung","non-dropping-particle":"","parse-names":false,"suffix":""},{"dropping-particle":"","family":"Rabinovici","given":"Gil D","non-dropping-particle":"","parse-names":false,"suffix":""},{"dropping-particle":"","family":"Hansson","given":"Oskar","non-dropping-particle":"","parse-names":false,"suffix":""}],"container-title":"JAMA Neurology","id":"ITEM-1","issue":"8","issued":{"date-parts":[["2021"]]},"page":"961-971","title":"Accuracy of Tau Positron Emission Tomography as a Prognostic Marker in Preclinical and Prodromal Alzheimer Disease: A Head-to-Head Comparison against Amyloid Positron Emission Tomography and Magnetic Resonance Imaging","type":"article-journal","volume":"78"},"uris":["http://www.mendeley.com/documents/?uuid=3c816cc0-d215-4066-8ae1-af85b181bb8a"]}],"mendeley":{"formattedCitation":"[7]","plainTextFormattedCitation":"[7]","previouslyFormattedCitation":"&lt;span style=\"baseline\"&gt;(&lt;i&gt;7&lt;/i&gt;)&lt;/span&gt;"},"properties":{"noteIndex":0},"schema":"https://github.com/citation-style-language/schema/raw/master/csl-citation.json"}</w:instrText>
      </w:r>
      <w:r w:rsidR="0098135A" w:rsidRPr="00822527">
        <w:rPr>
          <w:rFonts w:ascii="Times New Roman" w:hAnsi="Times New Roman" w:cs="Times New Roman"/>
          <w:sz w:val="22"/>
        </w:rPr>
        <w:fldChar w:fldCharType="separate"/>
      </w:r>
      <w:r w:rsidR="003022D8" w:rsidRPr="00822527">
        <w:rPr>
          <w:rFonts w:ascii="Times New Roman" w:hAnsi="Times New Roman" w:cs="Times New Roman"/>
          <w:noProof/>
          <w:sz w:val="22"/>
        </w:rPr>
        <w:t>[7]</w:t>
      </w:r>
      <w:r w:rsidR="0098135A" w:rsidRPr="00822527">
        <w:rPr>
          <w:rFonts w:ascii="Times New Roman" w:hAnsi="Times New Roman" w:cs="Times New Roman"/>
          <w:sz w:val="22"/>
        </w:rPr>
        <w:fldChar w:fldCharType="end"/>
      </w:r>
      <w:r w:rsidR="00116344" w:rsidRPr="00822527">
        <w:rPr>
          <w:rFonts w:ascii="Times New Roman" w:hAnsi="Times New Roman" w:cs="Times New Roman" w:hint="eastAsia"/>
          <w:sz w:val="22"/>
        </w:rPr>
        <w:t xml:space="preserve"> </w:t>
      </w:r>
      <w:r w:rsidR="00116344" w:rsidRPr="00822527">
        <w:rPr>
          <w:rFonts w:ascii="Times New Roman" w:hAnsi="Times New Roman" w:cs="Times New Roman"/>
          <w:sz w:val="22"/>
        </w:rPr>
        <w:t>The ROIs composed the N</w:t>
      </w:r>
      <w:r w:rsidR="00116344" w:rsidRPr="00822527">
        <w:rPr>
          <w:rFonts w:ascii="Times New Roman" w:hAnsi="Times New Roman" w:cs="Times New Roman" w:hint="eastAsia"/>
          <w:sz w:val="22"/>
        </w:rPr>
        <w:t>E</w:t>
      </w:r>
      <w:r w:rsidR="00116344" w:rsidRPr="00822527">
        <w:rPr>
          <w:rFonts w:ascii="Times New Roman" w:hAnsi="Times New Roman" w:cs="Times New Roman"/>
          <w:sz w:val="22"/>
        </w:rPr>
        <w:t xml:space="preserve">O ROI are listed in Supplementary Table </w:t>
      </w:r>
      <w:r w:rsidR="00EB48D8" w:rsidRPr="00822527">
        <w:rPr>
          <w:rFonts w:ascii="Times New Roman" w:hAnsi="Times New Roman" w:cs="Times New Roman" w:hint="eastAsia"/>
          <w:sz w:val="22"/>
        </w:rPr>
        <w:t>1</w:t>
      </w:r>
      <w:r w:rsidR="00116344" w:rsidRPr="00822527">
        <w:rPr>
          <w:rFonts w:ascii="Times New Roman" w:hAnsi="Times New Roman" w:cs="Times New Roman"/>
          <w:sz w:val="22"/>
        </w:rPr>
        <w:t>.</w:t>
      </w:r>
    </w:p>
    <w:p w14:paraId="3372294F" w14:textId="0F57BFBD" w:rsidR="0098135A" w:rsidRPr="00822527" w:rsidRDefault="0098135A" w:rsidP="00012802">
      <w:pPr>
        <w:spacing w:line="480" w:lineRule="auto"/>
        <w:rPr>
          <w:rFonts w:ascii="Times New Roman" w:hAnsi="Times New Roman" w:cs="Times New Roman"/>
          <w:sz w:val="22"/>
        </w:rPr>
      </w:pPr>
    </w:p>
    <w:p w14:paraId="273AE680" w14:textId="19CDFE88" w:rsidR="00C47064" w:rsidRPr="00822527" w:rsidRDefault="00C47064" w:rsidP="00012802">
      <w:pPr>
        <w:spacing w:line="480" w:lineRule="auto"/>
        <w:rPr>
          <w:rFonts w:ascii="Times New Roman" w:hAnsi="Times New Roman" w:cs="Times New Roman"/>
          <w:b/>
          <w:bCs/>
          <w:sz w:val="22"/>
        </w:rPr>
      </w:pPr>
      <w:r w:rsidRPr="00822527">
        <w:rPr>
          <w:rFonts w:ascii="Times New Roman" w:hAnsi="Times New Roman" w:cs="Times New Roman"/>
          <w:b/>
          <w:bCs/>
          <w:sz w:val="22"/>
        </w:rPr>
        <w:t>1.4</w:t>
      </w:r>
      <w:r w:rsidR="0098135A" w:rsidRPr="00822527">
        <w:rPr>
          <w:rFonts w:ascii="Times New Roman" w:hAnsi="Times New Roman" w:cs="Times New Roman"/>
          <w:b/>
          <w:bCs/>
          <w:sz w:val="22"/>
        </w:rPr>
        <w:t xml:space="preserve"> Visual assessment of amyloid PET</w:t>
      </w:r>
    </w:p>
    <w:p w14:paraId="335D21AD" w14:textId="1E9AB023" w:rsidR="0098135A" w:rsidRPr="00822527" w:rsidRDefault="0098135A" w:rsidP="00012802">
      <w:pPr>
        <w:spacing w:line="480" w:lineRule="auto"/>
        <w:rPr>
          <w:rFonts w:ascii="Times New Roman" w:hAnsi="Times New Roman" w:cs="Times New Roman"/>
          <w:sz w:val="22"/>
        </w:rPr>
      </w:pPr>
      <w:r w:rsidRPr="00822527">
        <w:rPr>
          <w:rFonts w:ascii="Times New Roman" w:hAnsi="Times New Roman" w:cs="Times New Roman"/>
          <w:sz w:val="22"/>
        </w:rPr>
        <w:t>Amyloid PET images were independently evaluated by two experienced nuclear medicine physicians (J.L. and H.Z.) in accordance with established visual reading protocols,</w:t>
      </w:r>
      <w:r w:rsidRPr="00822527">
        <w:rPr>
          <w:rFonts w:ascii="Times New Roman" w:hAnsi="Times New Roman" w:cs="Times New Roman"/>
          <w:sz w:val="22"/>
        </w:rPr>
        <w:fldChar w:fldCharType="begin" w:fldLock="1"/>
      </w:r>
      <w:r w:rsidR="003022D8" w:rsidRPr="00822527">
        <w:rPr>
          <w:rFonts w:ascii="Times New Roman" w:hAnsi="Times New Roman" w:cs="Times New Roman"/>
          <w:sz w:val="22"/>
        </w:rPr>
        <w:instrText>ADDIN CSL_CITATION {"citationItems":[{"id":"ITEM-1","itemData":{"DOI":"10.1148/rg.2018180160","ISSN":"15271323","PMID":"30422768","abstract":"Establishing a diagnosis of Alzheimer dementia can be challenging, particularly early in the course of the disease. However, with disease-modifying therapies on the horizon, it is becoming increasingly important to achieve the correct diagnosis as soon as possible. In challenging presentations of dementia, such as patients with clinically atypical features or early-age onset of mild cognitive impairment, amyloid PET is a valuable tool in determining the diagnosis of Alzheimer dementia. Furthermore, preliminary data show that amyloid PET findings alter clinical management in patients who meet the appropriate use criteria. There are currently three U.S. Food and Drug Administration (FDA)–approved fluorine 18 (18F)–labeled radiopharmaceuticals that allow in vivo detection of cerebral amyloid deposition, which is a hallmark pathologic feature of Alzheimer dementia. Knowledge of the common imaging features among these three18F-labeled radiopharmaceuticals in the normal and abnormal brain will enable the radiologist to more accurately interpret amyloid PET studies. As in other subspecialties of radiology, imaging signs in amyloid PET are helpful to distinguish if a region is normal or abnormal. This article reviews appropriate use criteria for amyloid PET, introduces the properties of the radiopharmaceuticals, explains the algorithmic approach to interpretation with examples of normal and abnormal amyloid PET scans with MRI correlation, and provides an atlas of regional amyloid PET signs and common artifacts.","author":[{"dropping-particle":"","family":"Lundeen","given":"Tamara F.","non-dropping-particle":"","parse-names":false,"suffix":""},{"dropping-particle":"","family":"Seibyl","given":"John P.","non-dropping-particle":"","parse-names":false,"suffix":""},{"dropping-particle":"","family":"Covington","given":"Matthew F.","non-dropping-particle":"","parse-names":false,"suffix":""},{"dropping-particle":"","family":"Eshghi","given":"Naghmehossadat","non-dropping-particle":"","parse-names":false,"suffix":""},{"dropping-particle":"","family":"Kuo","given":"Phillip H.","non-dropping-particle":"","parse-names":false,"suffix":""}],"container-title":"Radiographics","id":"ITEM-1","issue":"7","issued":{"date-parts":[["2018"]]},"page":"2123-2133","title":"Signs and artifacts in amyloid PET","type":"article-journal","volume":"38"},"uris":["http://www.mendeley.com/documents/?uuid=45d510f0-fb25-492e-9d56-c5aab812d424"]}],"mendeley":{"formattedCitation":"[8]","plainTextFormattedCitation":"[8]","previouslyFormattedCitation":"&lt;span style=\"baseline\"&gt;(&lt;i&gt;8&lt;/i&gt;)&lt;/span&gt;"},"properties":{"noteIndex":0},"schema":"https://github.com/citation-style-language/schema/raw/master/csl-citation.json"}</w:instrText>
      </w:r>
      <w:r w:rsidRPr="00822527">
        <w:rPr>
          <w:rFonts w:ascii="Times New Roman" w:hAnsi="Times New Roman" w:cs="Times New Roman"/>
          <w:sz w:val="22"/>
        </w:rPr>
        <w:fldChar w:fldCharType="separate"/>
      </w:r>
      <w:r w:rsidR="003022D8" w:rsidRPr="00822527">
        <w:rPr>
          <w:rFonts w:ascii="Times New Roman" w:hAnsi="Times New Roman" w:cs="Times New Roman"/>
          <w:noProof/>
          <w:sz w:val="22"/>
        </w:rPr>
        <w:t>[8]</w:t>
      </w:r>
      <w:r w:rsidRPr="00822527">
        <w:rPr>
          <w:rFonts w:ascii="Times New Roman" w:hAnsi="Times New Roman" w:cs="Times New Roman"/>
          <w:sz w:val="22"/>
        </w:rPr>
        <w:fldChar w:fldCharType="end"/>
      </w:r>
      <w:r w:rsidRPr="00822527">
        <w:rPr>
          <w:rFonts w:ascii="Times New Roman" w:hAnsi="Times New Roman" w:cs="Times New Roman"/>
          <w:sz w:val="22"/>
        </w:rPr>
        <w:t xml:space="preserve"> without access to clinical information. In case of discrepancies, a third senior nuclear medicine physician (C.Z.) adjudicated the final classification. The agreement between the two primary readers was high (</w:t>
      </w:r>
      <w:r w:rsidRPr="00822527">
        <w:rPr>
          <w:rFonts w:ascii="Times New Roman" w:hAnsi="Times New Roman" w:cs="Times New Roman" w:hint="eastAsia"/>
          <w:sz w:val="22"/>
        </w:rPr>
        <w:t>93.0</w:t>
      </w:r>
      <w:r w:rsidRPr="00822527">
        <w:rPr>
          <w:rFonts w:ascii="Times New Roman" w:hAnsi="Times New Roman" w:cs="Times New Roman"/>
          <w:sz w:val="22"/>
        </w:rPr>
        <w:t>%).</w:t>
      </w:r>
    </w:p>
    <w:p w14:paraId="6AC683D4" w14:textId="62624412" w:rsidR="00790095" w:rsidRPr="00822527" w:rsidRDefault="00790095" w:rsidP="00012802">
      <w:pPr>
        <w:spacing w:line="480" w:lineRule="auto"/>
        <w:rPr>
          <w:rFonts w:ascii="Times New Roman" w:hAnsi="Times New Roman" w:cs="Times New Roman"/>
          <w:b/>
          <w:bCs/>
          <w:sz w:val="22"/>
        </w:rPr>
      </w:pPr>
      <w:r w:rsidRPr="00822527">
        <w:rPr>
          <w:rFonts w:ascii="Times New Roman" w:hAnsi="Times New Roman" w:cs="Times New Roman"/>
          <w:b/>
          <w:bCs/>
          <w:sz w:val="22"/>
        </w:rPr>
        <w:t>1.</w:t>
      </w:r>
      <w:r w:rsidRPr="00822527">
        <w:rPr>
          <w:rFonts w:ascii="Times New Roman" w:hAnsi="Times New Roman" w:cs="Times New Roman" w:hint="eastAsia"/>
          <w:b/>
          <w:bCs/>
          <w:sz w:val="22"/>
        </w:rPr>
        <w:t>5</w:t>
      </w:r>
      <w:r w:rsidRPr="00822527">
        <w:rPr>
          <w:rFonts w:ascii="Times New Roman" w:hAnsi="Times New Roman" w:cs="Times New Roman"/>
          <w:b/>
          <w:bCs/>
          <w:sz w:val="22"/>
        </w:rPr>
        <w:t xml:space="preserve"> Statistical analysis</w:t>
      </w:r>
    </w:p>
    <w:p w14:paraId="080F59E1" w14:textId="77777777" w:rsidR="00125EBF" w:rsidRPr="00822527" w:rsidRDefault="00125EBF" w:rsidP="00012802">
      <w:pPr>
        <w:widowControl/>
        <w:spacing w:after="160" w:line="480" w:lineRule="auto"/>
        <w:rPr>
          <w:rFonts w:ascii="Times New Roman" w:eastAsia="宋体" w:hAnsi="Times New Roman" w:cs="Times New Roman"/>
          <w:kern w:val="0"/>
          <w:sz w:val="22"/>
          <w14:ligatures w14:val="none"/>
        </w:rPr>
      </w:pPr>
      <w:r w:rsidRPr="00822527">
        <w:rPr>
          <w:rFonts w:ascii="Times New Roman" w:eastAsia="Calibri" w:hAnsi="Times New Roman" w:cs="Times New Roman"/>
          <w:kern w:val="0"/>
          <w:sz w:val="22"/>
          <w:lang w:eastAsia="en-US"/>
          <w14:ligatures w14:val="none"/>
        </w:rPr>
        <w:t xml:space="preserve">All continuous data demonstrated a skewed distribution; therefore, variables are presented as medians with IQRs, while categorical data are presented as counts (percentages). For intergroup comparisons, the Mann-Whitney U test was applied for continuous variables and the chi-squared test for categorical data, unless specified otherwise. </w:t>
      </w:r>
    </w:p>
    <w:p w14:paraId="4FF7D44B" w14:textId="77777777" w:rsidR="00125EBF" w:rsidRPr="00822527" w:rsidRDefault="00125EBF" w:rsidP="00012802">
      <w:pPr>
        <w:widowControl/>
        <w:spacing w:after="160" w:line="480" w:lineRule="auto"/>
        <w:rPr>
          <w:rFonts w:ascii="Times New Roman" w:eastAsia="宋体" w:hAnsi="Times New Roman" w:cs="Times New Roman"/>
          <w:kern w:val="0"/>
          <w:sz w:val="22"/>
          <w14:ligatures w14:val="none"/>
        </w:rPr>
      </w:pPr>
      <w:r w:rsidRPr="00822527">
        <w:rPr>
          <w:rFonts w:ascii="Times New Roman" w:eastAsia="Calibri" w:hAnsi="Times New Roman" w:cs="Times New Roman"/>
          <w:kern w:val="0"/>
          <w:sz w:val="22"/>
          <w:lang w:eastAsia="en-US"/>
          <w14:ligatures w14:val="none"/>
        </w:rPr>
        <w:t xml:space="preserve">We initially examined the cross-sectional associations between </w:t>
      </w:r>
      <w:r w:rsidRPr="00822527">
        <w:rPr>
          <w:rFonts w:ascii="Times New Roman" w:eastAsia="Calibri" w:hAnsi="Times New Roman" w:cs="Times New Roman"/>
          <w:kern w:val="0"/>
          <w:sz w:val="22"/>
          <w:vertAlign w:val="superscript"/>
          <w:lang w:eastAsia="en-US"/>
          <w14:ligatures w14:val="none"/>
        </w:rPr>
        <w:t>18</w:t>
      </w:r>
      <w:r w:rsidRPr="00822527">
        <w:rPr>
          <w:rFonts w:ascii="Times New Roman" w:eastAsia="Calibri" w:hAnsi="Times New Roman" w:cs="Times New Roman"/>
          <w:kern w:val="0"/>
          <w:sz w:val="22"/>
          <w:lang w:eastAsia="en-US"/>
          <w14:ligatures w14:val="none"/>
        </w:rPr>
        <w:t>F-Florzolotau PET and clinical severity using two approaches</w:t>
      </w:r>
      <w:r w:rsidRPr="00822527">
        <w:rPr>
          <w:rFonts w:ascii="Times New Roman" w:eastAsia="宋体" w:hAnsi="Times New Roman" w:cs="Times New Roman" w:hint="eastAsia"/>
          <w:kern w:val="0"/>
          <w:sz w:val="22"/>
          <w14:ligatures w14:val="none"/>
        </w:rPr>
        <w:t>: (1)</w:t>
      </w:r>
      <w:r w:rsidRPr="00822527">
        <w:rPr>
          <w:rFonts w:ascii="Times New Roman" w:eastAsia="Calibri" w:hAnsi="Times New Roman" w:cs="Times New Roman"/>
          <w:kern w:val="0"/>
          <w:sz w:val="22"/>
          <w:lang w:eastAsia="en-US"/>
          <w14:ligatures w14:val="none"/>
        </w:rPr>
        <w:t xml:space="preserve"> generalized linear models were employed to compare </w:t>
      </w:r>
      <w:r w:rsidRPr="00822527">
        <w:rPr>
          <w:rFonts w:ascii="Times New Roman" w:eastAsia="Calibri" w:hAnsi="Times New Roman" w:cs="Times New Roman"/>
          <w:kern w:val="0"/>
          <w:sz w:val="22"/>
          <w:vertAlign w:val="superscript"/>
          <w:lang w:eastAsia="en-US"/>
          <w14:ligatures w14:val="none"/>
        </w:rPr>
        <w:t>18</w:t>
      </w:r>
      <w:r w:rsidRPr="00822527">
        <w:rPr>
          <w:rFonts w:ascii="Times New Roman" w:eastAsia="Calibri" w:hAnsi="Times New Roman" w:cs="Times New Roman"/>
          <w:kern w:val="0"/>
          <w:sz w:val="22"/>
          <w:lang w:eastAsia="en-US"/>
          <w14:ligatures w14:val="none"/>
        </w:rPr>
        <w:t>F-Florzolotau SUVRs across adjacent CDR</w:t>
      </w:r>
      <w:r w:rsidRPr="00822527">
        <w:rPr>
          <w:rFonts w:ascii="Times New Roman" w:eastAsia="宋体" w:hAnsi="Times New Roman" w:cs="Times New Roman"/>
          <w:kern w:val="0"/>
          <w:sz w:val="22"/>
          <w14:ligatures w14:val="none"/>
        </w:rPr>
        <w:t>-GS</w:t>
      </w:r>
      <w:r w:rsidRPr="00822527">
        <w:rPr>
          <w:rFonts w:ascii="Times New Roman" w:eastAsia="Calibri" w:hAnsi="Times New Roman" w:cs="Times New Roman"/>
          <w:kern w:val="0"/>
          <w:sz w:val="22"/>
          <w:lang w:eastAsia="en-US"/>
          <w14:ligatures w14:val="none"/>
        </w:rPr>
        <w:t xml:space="preserve"> categories, after allowance for age at baseline, sex, and years of education</w:t>
      </w:r>
      <w:r w:rsidRPr="00822527">
        <w:rPr>
          <w:rFonts w:ascii="Times New Roman" w:eastAsia="宋体" w:hAnsi="Times New Roman" w:cs="Times New Roman" w:hint="eastAsia"/>
          <w:kern w:val="0"/>
          <w:sz w:val="22"/>
          <w14:ligatures w14:val="none"/>
        </w:rPr>
        <w:t>; (2)</w:t>
      </w:r>
      <w:r w:rsidRPr="00822527">
        <w:rPr>
          <w:rFonts w:ascii="Times New Roman" w:eastAsia="Calibri" w:hAnsi="Times New Roman" w:cs="Times New Roman"/>
          <w:kern w:val="0"/>
          <w:sz w:val="22"/>
          <w:lang w:eastAsia="en-US"/>
          <w14:ligatures w14:val="none"/>
        </w:rPr>
        <w:t xml:space="preserve"> partial correlation analyses were conducted to </w:t>
      </w:r>
      <w:r w:rsidRPr="00822527">
        <w:rPr>
          <w:rFonts w:ascii="Times New Roman" w:eastAsia="Calibri" w:hAnsi="Times New Roman" w:cs="Times New Roman"/>
          <w:kern w:val="0"/>
          <w:sz w:val="22"/>
          <w:lang w:eastAsia="en-US"/>
          <w14:ligatures w14:val="none"/>
        </w:rPr>
        <w:lastRenderedPageBreak/>
        <w:t xml:space="preserve">explore the relationships between </w:t>
      </w:r>
      <w:r w:rsidRPr="00822527">
        <w:rPr>
          <w:rFonts w:ascii="Times New Roman" w:eastAsia="Calibri" w:hAnsi="Times New Roman" w:cs="Times New Roman"/>
          <w:kern w:val="0"/>
          <w:sz w:val="22"/>
          <w:vertAlign w:val="superscript"/>
          <w:lang w:eastAsia="en-US"/>
          <w14:ligatures w14:val="none"/>
        </w:rPr>
        <w:t>18</w:t>
      </w:r>
      <w:r w:rsidRPr="00822527">
        <w:rPr>
          <w:rFonts w:ascii="Times New Roman" w:eastAsia="Calibri" w:hAnsi="Times New Roman" w:cs="Times New Roman"/>
          <w:kern w:val="0"/>
          <w:sz w:val="22"/>
          <w:lang w:eastAsia="en-US"/>
          <w14:ligatures w14:val="none"/>
        </w:rPr>
        <w:t>F-Florzolotau PET SUVR</w:t>
      </w:r>
      <w:r w:rsidRPr="00822527">
        <w:rPr>
          <w:rFonts w:ascii="Times New Roman" w:eastAsia="宋体" w:hAnsi="Times New Roman" w:cs="Times New Roman"/>
          <w:kern w:val="0"/>
          <w:sz w:val="22"/>
          <w14:ligatures w14:val="none"/>
        </w:rPr>
        <w:t>s</w:t>
      </w:r>
      <w:r w:rsidRPr="00822527">
        <w:rPr>
          <w:rFonts w:ascii="Times New Roman" w:eastAsia="Calibri" w:hAnsi="Times New Roman" w:cs="Times New Roman"/>
          <w:kern w:val="0"/>
          <w:sz w:val="22"/>
          <w:lang w:eastAsia="en-US"/>
          <w14:ligatures w14:val="none"/>
        </w:rPr>
        <w:t xml:space="preserve"> and cognitive performance, using the same covariates. </w:t>
      </w:r>
    </w:p>
    <w:p w14:paraId="71982CFE" w14:textId="77777777" w:rsidR="00125EBF" w:rsidRPr="00822527" w:rsidRDefault="00125EBF" w:rsidP="00012802">
      <w:pPr>
        <w:widowControl/>
        <w:spacing w:after="160" w:line="480" w:lineRule="auto"/>
        <w:rPr>
          <w:rFonts w:ascii="Times New Roman" w:eastAsia="宋体" w:hAnsi="Times New Roman" w:cs="Times New Roman"/>
          <w:kern w:val="0"/>
          <w:sz w:val="22"/>
          <w14:ligatures w14:val="none"/>
        </w:rPr>
      </w:pPr>
      <w:r w:rsidRPr="00822527">
        <w:rPr>
          <w:rFonts w:ascii="Times New Roman" w:eastAsia="Calibri" w:hAnsi="Times New Roman" w:cs="Times New Roman"/>
          <w:kern w:val="0"/>
          <w:sz w:val="22"/>
          <w:lang w:eastAsia="en-US"/>
          <w14:ligatures w14:val="none"/>
        </w:rPr>
        <w:t xml:space="preserve">We next investigated the prognostic significance of biological markers in patients with clinical follow-up data. Kaplan-Meier curves were generated to visualize and compare time-to-progression across patient groups stratified by </w:t>
      </w:r>
      <w:r w:rsidRPr="00822527">
        <w:rPr>
          <w:rFonts w:ascii="Times New Roman" w:eastAsia="宋体" w:hAnsi="Times New Roman" w:cs="Times New Roman"/>
          <w:kern w:val="0"/>
          <w:sz w:val="22"/>
          <w14:ligatures w14:val="none"/>
        </w:rPr>
        <w:t xml:space="preserve">the combination of </w:t>
      </w:r>
      <w:r w:rsidRPr="00822527">
        <w:rPr>
          <w:rFonts w:ascii="Times New Roman" w:eastAsia="Calibri" w:hAnsi="Times New Roman" w:cs="Times New Roman"/>
          <w:kern w:val="0"/>
          <w:sz w:val="22"/>
          <w:lang w:eastAsia="en-US"/>
          <w14:ligatures w14:val="none"/>
        </w:rPr>
        <w:t xml:space="preserve">binary amyloid and tau biomarker status. </w:t>
      </w:r>
      <w:r w:rsidRPr="00822527">
        <w:rPr>
          <w:rFonts w:ascii="Times New Roman" w:eastAsia="宋体" w:hAnsi="Times New Roman" w:cs="Times New Roman"/>
          <w:kern w:val="0"/>
          <w:sz w:val="22"/>
          <w14:ligatures w14:val="none"/>
        </w:rPr>
        <w:t xml:space="preserve">Next, we assessed all demographic and clinical variables of interest </w:t>
      </w:r>
      <w:r w:rsidRPr="00822527">
        <w:rPr>
          <w:rFonts w:ascii="Times New Roman" w:eastAsia="Calibri" w:hAnsi="Times New Roman" w:cs="Times New Roman"/>
          <w:kern w:val="0"/>
          <w:sz w:val="22"/>
          <w:lang w:eastAsia="en-US"/>
          <w14:ligatures w14:val="none"/>
        </w:rPr>
        <w:t>(age</w:t>
      </w:r>
      <w:r w:rsidRPr="00822527">
        <w:rPr>
          <w:rFonts w:ascii="Times New Roman" w:eastAsia="宋体" w:hAnsi="Times New Roman" w:cs="Times New Roman"/>
          <w:kern w:val="0"/>
          <w:sz w:val="22"/>
          <w14:ligatures w14:val="none"/>
        </w:rPr>
        <w:t xml:space="preserve"> at baseline</w:t>
      </w:r>
      <w:r w:rsidRPr="00822527">
        <w:rPr>
          <w:rFonts w:ascii="Times New Roman" w:eastAsia="Calibri" w:hAnsi="Times New Roman" w:cs="Times New Roman"/>
          <w:kern w:val="0"/>
          <w:sz w:val="22"/>
          <w:lang w:eastAsia="en-US"/>
          <w14:ligatures w14:val="none"/>
        </w:rPr>
        <w:t xml:space="preserve">, sex, education, </w:t>
      </w:r>
      <w:bookmarkStart w:id="4" w:name="_Hlk207393366"/>
      <w:r w:rsidRPr="00822527">
        <w:rPr>
          <w:rFonts w:ascii="Times New Roman" w:eastAsia="Calibri" w:hAnsi="Times New Roman" w:cs="Times New Roman"/>
          <w:kern w:val="0"/>
          <w:sz w:val="22"/>
          <w:lang w:eastAsia="en-US"/>
          <w14:ligatures w14:val="none"/>
        </w:rPr>
        <w:t xml:space="preserve">apolipoprotein E </w:t>
      </w:r>
      <w:r w:rsidRPr="00822527">
        <w:rPr>
          <w:rFonts w:ascii="Times New Roman" w:eastAsia="宋体" w:hAnsi="Times New Roman" w:cs="Times New Roman"/>
          <w:kern w:val="0"/>
          <w:sz w:val="22"/>
          <w14:ligatures w14:val="none"/>
        </w:rPr>
        <w:t>[</w:t>
      </w:r>
      <w:r w:rsidRPr="00822527">
        <w:rPr>
          <w:rFonts w:ascii="Times New Roman" w:eastAsia="Calibri" w:hAnsi="Times New Roman" w:cs="Times New Roman"/>
          <w:kern w:val="0"/>
          <w:sz w:val="22"/>
          <w:lang w:eastAsia="en-US"/>
          <w14:ligatures w14:val="none"/>
        </w:rPr>
        <w:t>APOE</w:t>
      </w:r>
      <w:r w:rsidRPr="00822527">
        <w:rPr>
          <w:rFonts w:ascii="Times New Roman" w:eastAsia="宋体" w:hAnsi="Times New Roman" w:cs="Times New Roman"/>
          <w:kern w:val="0"/>
          <w:sz w:val="22"/>
          <w14:ligatures w14:val="none"/>
        </w:rPr>
        <w:t>]</w:t>
      </w:r>
      <w:r w:rsidRPr="00822527">
        <w:rPr>
          <w:rFonts w:ascii="Times New Roman" w:eastAsia="Calibri" w:hAnsi="Times New Roman" w:cs="Times New Roman"/>
          <w:kern w:val="0"/>
          <w:sz w:val="22"/>
          <w:lang w:eastAsia="en-US"/>
          <w14:ligatures w14:val="none"/>
        </w:rPr>
        <w:t xml:space="preserve"> ε4 status, Montreal Cognitive Assessment </w:t>
      </w:r>
      <w:r w:rsidRPr="00822527">
        <w:rPr>
          <w:rFonts w:ascii="Times New Roman" w:eastAsia="宋体" w:hAnsi="Times New Roman" w:cs="Times New Roman" w:hint="eastAsia"/>
          <w:kern w:val="0"/>
          <w:sz w:val="22"/>
          <w14:ligatures w14:val="none"/>
        </w:rPr>
        <w:t>[</w:t>
      </w:r>
      <w:r w:rsidRPr="00822527">
        <w:rPr>
          <w:rFonts w:ascii="Times New Roman" w:eastAsia="Calibri" w:hAnsi="Times New Roman" w:cs="Times New Roman"/>
          <w:kern w:val="0"/>
          <w:sz w:val="22"/>
          <w:lang w:eastAsia="en-US"/>
          <w14:ligatures w14:val="none"/>
        </w:rPr>
        <w:t>M</w:t>
      </w:r>
      <w:r w:rsidRPr="00822527">
        <w:rPr>
          <w:rFonts w:ascii="Times New Roman" w:eastAsia="宋体" w:hAnsi="Times New Roman" w:cs="Times New Roman"/>
          <w:kern w:val="0"/>
          <w:sz w:val="22"/>
          <w14:ligatures w14:val="none"/>
        </w:rPr>
        <w:t>OCA</w:t>
      </w:r>
      <w:r w:rsidRPr="00822527">
        <w:rPr>
          <w:rFonts w:ascii="Times New Roman" w:eastAsia="宋体" w:hAnsi="Times New Roman" w:cs="Times New Roman" w:hint="eastAsia"/>
          <w:kern w:val="0"/>
          <w:sz w:val="22"/>
          <w14:ligatures w14:val="none"/>
        </w:rPr>
        <w:t>]</w:t>
      </w:r>
      <w:bookmarkEnd w:id="4"/>
      <w:r w:rsidRPr="00822527">
        <w:rPr>
          <w:rFonts w:ascii="Times New Roman" w:eastAsia="Calibri" w:hAnsi="Times New Roman" w:cs="Times New Roman"/>
          <w:kern w:val="0"/>
          <w:sz w:val="22"/>
          <w:lang w:eastAsia="en-US"/>
          <w14:ligatures w14:val="none"/>
        </w:rPr>
        <w:t>)</w:t>
      </w:r>
      <w:r w:rsidRPr="00822527">
        <w:rPr>
          <w:rFonts w:ascii="Times New Roman" w:eastAsia="宋体" w:hAnsi="Times New Roman" w:cs="Times New Roman"/>
          <w:kern w:val="0"/>
          <w:sz w:val="22"/>
          <w14:ligatures w14:val="none"/>
        </w:rPr>
        <w:t xml:space="preserve"> in a univariate Cox proportional hazards regression model to search for significant variables for disease progression prediction (p </w:t>
      </w:r>
      <w:r w:rsidRPr="00822527">
        <w:rPr>
          <w:rFonts w:ascii="Times New Roman" w:eastAsia="Calibri" w:hAnsi="Times New Roman" w:cs="Times New Roman"/>
          <w:kern w:val="0"/>
          <w:sz w:val="22"/>
          <w:lang w:eastAsia="en-US"/>
          <w14:ligatures w14:val="none"/>
        </w:rPr>
        <w:t>&lt; 0</w:t>
      </w:r>
      <w:r w:rsidRPr="00822527">
        <w:rPr>
          <w:rFonts w:ascii="Times New Roman" w:eastAsia="宋体" w:hAnsi="Times New Roman" w:cs="Times New Roman"/>
          <w:kern w:val="0"/>
          <w:sz w:val="22"/>
          <w14:ligatures w14:val="none"/>
        </w:rPr>
        <w:t>.</w:t>
      </w:r>
      <w:r w:rsidRPr="00822527">
        <w:rPr>
          <w:rFonts w:ascii="Times New Roman" w:eastAsia="Calibri" w:hAnsi="Times New Roman" w:cs="Times New Roman"/>
          <w:kern w:val="0"/>
          <w:sz w:val="22"/>
          <w:lang w:eastAsia="en-US"/>
          <w14:ligatures w14:val="none"/>
        </w:rPr>
        <w:t>05</w:t>
      </w:r>
      <w:r w:rsidRPr="00822527">
        <w:rPr>
          <w:rFonts w:ascii="Times New Roman" w:eastAsia="宋体" w:hAnsi="Times New Roman" w:cs="Times New Roman"/>
          <w:kern w:val="0"/>
          <w:sz w:val="22"/>
          <w14:ligatures w14:val="none"/>
        </w:rPr>
        <w:t xml:space="preserve">). Following, every single biological parameter was then assessed in separate adjusted Cox models to determine its independent prognostic value beyond significant demographic and clinical variables. </w:t>
      </w:r>
      <w:r w:rsidRPr="00822527">
        <w:rPr>
          <w:rFonts w:ascii="Times New Roman" w:eastAsia="Calibri" w:hAnsi="Times New Roman" w:cs="Times New Roman"/>
          <w:kern w:val="0"/>
          <w:sz w:val="22"/>
          <w:lang w:eastAsia="en-US"/>
          <w14:ligatures w14:val="none"/>
        </w:rPr>
        <w:t>Additionally,</w:t>
      </w:r>
      <w:r w:rsidRPr="00822527">
        <w:rPr>
          <w:rFonts w:ascii="Times New Roman" w:eastAsia="宋体" w:hAnsi="Times New Roman" w:cs="Times New Roman"/>
          <w:kern w:val="0"/>
          <w:sz w:val="22"/>
          <w14:ligatures w14:val="none"/>
        </w:rPr>
        <w:t xml:space="preserve"> w</w:t>
      </w:r>
      <w:r w:rsidRPr="00822527">
        <w:rPr>
          <w:rFonts w:ascii="Times New Roman" w:eastAsia="Calibri" w:hAnsi="Times New Roman" w:cs="Times New Roman"/>
          <w:kern w:val="0"/>
          <w:sz w:val="22"/>
          <w:lang w:eastAsia="en-US"/>
          <w14:ligatures w14:val="none"/>
        </w:rPr>
        <w:t xml:space="preserve">e assessed the incremental prognostic value of biomarkers using </w:t>
      </w:r>
      <w:bookmarkStart w:id="5" w:name="_Hlk207393378"/>
      <w:r w:rsidRPr="00822527">
        <w:rPr>
          <w:rFonts w:ascii="Times New Roman" w:eastAsia="Calibri" w:hAnsi="Times New Roman" w:cs="Times New Roman"/>
          <w:kern w:val="0"/>
          <w:sz w:val="22"/>
          <w:lang w:eastAsia="en-US"/>
          <w14:ligatures w14:val="none"/>
        </w:rPr>
        <w:t>receiver operating characteristic (ROC)</w:t>
      </w:r>
      <w:bookmarkEnd w:id="5"/>
      <w:r w:rsidRPr="00822527">
        <w:rPr>
          <w:rFonts w:ascii="Times New Roman" w:eastAsia="Calibri" w:hAnsi="Times New Roman" w:cs="Times New Roman"/>
          <w:kern w:val="0"/>
          <w:sz w:val="22"/>
          <w:lang w:eastAsia="en-US"/>
          <w14:ligatures w14:val="none"/>
        </w:rPr>
        <w:t xml:space="preserve"> analysis with DeLong tests for comparisons</w:t>
      </w:r>
      <w:r w:rsidRPr="00822527">
        <w:rPr>
          <w:rFonts w:ascii="Times New Roman" w:eastAsia="宋体" w:hAnsi="Times New Roman" w:cs="Times New Roman"/>
          <w:kern w:val="0"/>
          <w:sz w:val="22"/>
          <w14:ligatures w14:val="none"/>
        </w:rPr>
        <w:t xml:space="preserve"> versus the basic model with significant demographic and clinical variables</w:t>
      </w:r>
      <w:r w:rsidRPr="00822527">
        <w:rPr>
          <w:rFonts w:ascii="Times New Roman" w:eastAsia="Calibri" w:hAnsi="Times New Roman" w:cs="Times New Roman"/>
          <w:kern w:val="0"/>
          <w:sz w:val="22"/>
          <w:lang w:eastAsia="en-US"/>
          <w14:ligatures w14:val="none"/>
        </w:rPr>
        <w:t xml:space="preserve">. After adjustment for age, sex, and education, longitudinal cognitive trajectories were examined using linear mixed-effects models with participant-specific random intercepts – incorporating follow-up interval, clinical group, and their interaction as independent variables. Differences in rates of decline were determined by the significance of the group-by-interval interaction term. Furthermore, </w:t>
      </w:r>
      <w:bookmarkStart w:id="6" w:name="_Hlk207393014"/>
      <w:r w:rsidRPr="00822527">
        <w:rPr>
          <w:rFonts w:ascii="Times New Roman" w:eastAsia="Calibri" w:hAnsi="Times New Roman" w:cs="Times New Roman"/>
          <w:kern w:val="0"/>
          <w:sz w:val="22"/>
          <w:lang w:eastAsia="en-US"/>
          <w14:ligatures w14:val="none"/>
        </w:rPr>
        <w:t xml:space="preserve">voxel- and ROI-wise regression models were constructed to assess the predictive value of baseline </w:t>
      </w:r>
      <w:r w:rsidRPr="00822527">
        <w:rPr>
          <w:rFonts w:ascii="Times New Roman" w:eastAsia="Calibri" w:hAnsi="Times New Roman" w:cs="Times New Roman"/>
          <w:kern w:val="0"/>
          <w:sz w:val="22"/>
          <w:vertAlign w:val="superscript"/>
          <w:lang w:eastAsia="en-US"/>
          <w14:ligatures w14:val="none"/>
        </w:rPr>
        <w:t>18</w:t>
      </w:r>
      <w:r w:rsidRPr="00822527">
        <w:rPr>
          <w:rFonts w:ascii="Times New Roman" w:eastAsia="Calibri" w:hAnsi="Times New Roman" w:cs="Times New Roman"/>
          <w:kern w:val="0"/>
          <w:sz w:val="22"/>
          <w:lang w:eastAsia="en-US"/>
          <w14:ligatures w14:val="none"/>
        </w:rPr>
        <w:t>F-Florzolotau PET SUVR for the annualized rate of cognitive decline</w:t>
      </w:r>
      <w:bookmarkEnd w:id="6"/>
      <w:r w:rsidRPr="00822527">
        <w:rPr>
          <w:rFonts w:ascii="Times New Roman" w:eastAsia="Calibri" w:hAnsi="Times New Roman" w:cs="Times New Roman"/>
          <w:kern w:val="0"/>
          <w:sz w:val="22"/>
          <w:lang w:eastAsia="en-US"/>
          <w14:ligatures w14:val="none"/>
        </w:rPr>
        <w:t xml:space="preserve">, adjusting for age, sex, education, and follow-up interval. </w:t>
      </w:r>
    </w:p>
    <w:p w14:paraId="7602EDC1" w14:textId="77777777" w:rsidR="00125EBF" w:rsidRPr="00822527" w:rsidRDefault="00125EBF" w:rsidP="00012802">
      <w:pPr>
        <w:widowControl/>
        <w:spacing w:after="160" w:line="480" w:lineRule="auto"/>
        <w:rPr>
          <w:rFonts w:ascii="Times New Roman" w:eastAsia="宋体" w:hAnsi="Times New Roman" w:cs="Times New Roman"/>
          <w:kern w:val="0"/>
          <w:sz w:val="22"/>
          <w14:ligatures w14:val="none"/>
        </w:rPr>
      </w:pPr>
      <w:r w:rsidRPr="00822527">
        <w:rPr>
          <w:rFonts w:ascii="Times New Roman" w:eastAsia="Calibri" w:hAnsi="Times New Roman" w:cs="Times New Roman"/>
          <w:kern w:val="0"/>
          <w:sz w:val="22"/>
          <w:lang w:eastAsia="en-US"/>
          <w14:ligatures w14:val="none"/>
        </w:rPr>
        <w:lastRenderedPageBreak/>
        <w:t xml:space="preserve">In a further analysis, we evaluated the utility of biological markers for disease monitoring in the subset of </w:t>
      </w:r>
      <w:r w:rsidRPr="00822527">
        <w:rPr>
          <w:rFonts w:ascii="Times New Roman" w:eastAsia="宋体" w:hAnsi="Times New Roman" w:cs="Times New Roman"/>
          <w:kern w:val="0"/>
          <w:sz w:val="22"/>
          <w14:ligatures w14:val="none"/>
        </w:rPr>
        <w:t xml:space="preserve">AD </w:t>
      </w:r>
      <w:r w:rsidRPr="00822527">
        <w:rPr>
          <w:rFonts w:ascii="Times New Roman" w:eastAsia="Calibri" w:hAnsi="Times New Roman" w:cs="Times New Roman"/>
          <w:kern w:val="0"/>
          <w:sz w:val="22"/>
          <w:lang w:eastAsia="en-US"/>
          <w14:ligatures w14:val="none"/>
        </w:rPr>
        <w:t xml:space="preserve">subjects with longitudinal </w:t>
      </w:r>
      <w:r w:rsidRPr="00822527">
        <w:rPr>
          <w:rFonts w:ascii="Times New Roman" w:eastAsia="Calibri" w:hAnsi="Times New Roman" w:cs="Times New Roman"/>
          <w:kern w:val="0"/>
          <w:sz w:val="22"/>
          <w:vertAlign w:val="superscript"/>
          <w:lang w:eastAsia="en-US"/>
          <w14:ligatures w14:val="none"/>
        </w:rPr>
        <w:t>18</w:t>
      </w:r>
      <w:r w:rsidRPr="00822527">
        <w:rPr>
          <w:rFonts w:ascii="Times New Roman" w:eastAsia="Calibri" w:hAnsi="Times New Roman" w:cs="Times New Roman"/>
          <w:kern w:val="0"/>
          <w:sz w:val="22"/>
          <w:lang w:eastAsia="en-US"/>
          <w14:ligatures w14:val="none"/>
        </w:rPr>
        <w:t xml:space="preserve">F-Florzolotau PET follow-up data. Linear mixed-effects models were used to examine changes in tau deposition over time in relation to the trajectories of cognitive decline. Generalized linear models compared annualized rates of cognitive decline between clinically progressive and stable groups, after adjustment for age, sex, education, and intervals between repeat </w:t>
      </w:r>
      <w:r w:rsidRPr="00822527">
        <w:rPr>
          <w:rFonts w:ascii="Times New Roman" w:eastAsia="Calibri" w:hAnsi="Times New Roman" w:cs="Times New Roman"/>
          <w:kern w:val="0"/>
          <w:sz w:val="22"/>
          <w:vertAlign w:val="superscript"/>
          <w:lang w:eastAsia="en-US"/>
          <w14:ligatures w14:val="none"/>
        </w:rPr>
        <w:t>18</w:t>
      </w:r>
      <w:r w:rsidRPr="00822527">
        <w:rPr>
          <w:rFonts w:ascii="Times New Roman" w:eastAsia="Calibri" w:hAnsi="Times New Roman" w:cs="Times New Roman"/>
          <w:kern w:val="0"/>
          <w:sz w:val="22"/>
          <w:lang w:eastAsia="en-US"/>
          <w14:ligatures w14:val="none"/>
        </w:rPr>
        <w:t xml:space="preserve">F-Florzolotau PET scans. We applied voxel-level two-sample Student’s t-tests to compare annualized changes in </w:t>
      </w:r>
      <w:r w:rsidRPr="00822527">
        <w:rPr>
          <w:rFonts w:ascii="Times New Roman" w:eastAsia="Calibri" w:hAnsi="Times New Roman" w:cs="Times New Roman"/>
          <w:kern w:val="0"/>
          <w:sz w:val="22"/>
          <w:vertAlign w:val="superscript"/>
          <w:lang w:eastAsia="en-US"/>
          <w14:ligatures w14:val="none"/>
        </w:rPr>
        <w:t>18</w:t>
      </w:r>
      <w:r w:rsidRPr="00822527">
        <w:rPr>
          <w:rFonts w:ascii="Times New Roman" w:eastAsia="Calibri" w:hAnsi="Times New Roman" w:cs="Times New Roman"/>
          <w:kern w:val="0"/>
          <w:sz w:val="22"/>
          <w:lang w:eastAsia="en-US"/>
          <w14:ligatures w14:val="none"/>
        </w:rPr>
        <w:t xml:space="preserve">F-Florzolotau PET SUVR values between groups, adjusting for relevant covariates. Associations between annualized changes in </w:t>
      </w:r>
      <w:r w:rsidRPr="00822527">
        <w:rPr>
          <w:rFonts w:ascii="Times New Roman" w:eastAsia="Calibri" w:hAnsi="Times New Roman" w:cs="Times New Roman"/>
          <w:kern w:val="0"/>
          <w:sz w:val="22"/>
          <w:vertAlign w:val="superscript"/>
          <w:lang w:eastAsia="en-US"/>
          <w14:ligatures w14:val="none"/>
        </w:rPr>
        <w:t>18</w:t>
      </w:r>
      <w:r w:rsidRPr="00822527">
        <w:rPr>
          <w:rFonts w:ascii="Times New Roman" w:eastAsia="Calibri" w:hAnsi="Times New Roman" w:cs="Times New Roman"/>
          <w:kern w:val="0"/>
          <w:sz w:val="22"/>
          <w:lang w:eastAsia="en-US"/>
          <w14:ligatures w14:val="none"/>
        </w:rPr>
        <w:t xml:space="preserve">F-Florzolotau PET SUVR and cognitive scores were examined using linear regression adjusted for potential confounders. </w:t>
      </w:r>
    </w:p>
    <w:p w14:paraId="6967EB17" w14:textId="77777777" w:rsidR="00125EBF" w:rsidRPr="00822527" w:rsidRDefault="00125EBF" w:rsidP="00012802">
      <w:pPr>
        <w:widowControl/>
        <w:spacing w:after="160" w:line="480" w:lineRule="auto"/>
        <w:rPr>
          <w:rFonts w:ascii="Times New Roman" w:eastAsia="宋体" w:hAnsi="Times New Roman" w:cs="Times New Roman"/>
          <w:kern w:val="0"/>
          <w:sz w:val="22"/>
          <w14:ligatures w14:val="none"/>
        </w:rPr>
      </w:pPr>
      <w:bookmarkStart w:id="7" w:name="_Hlk207393171"/>
      <w:r w:rsidRPr="00822527">
        <w:rPr>
          <w:rFonts w:ascii="Times New Roman" w:eastAsia="Calibri" w:hAnsi="Times New Roman" w:cs="Times New Roman"/>
          <w:kern w:val="0"/>
          <w:sz w:val="22"/>
          <w:lang w:eastAsia="en-US"/>
          <w14:ligatures w14:val="none"/>
        </w:rPr>
        <w:t>Voxel-wise analyses</w:t>
      </w:r>
      <w:bookmarkEnd w:id="7"/>
      <w:r w:rsidRPr="00822527">
        <w:rPr>
          <w:rFonts w:ascii="Times New Roman" w:eastAsia="Calibri" w:hAnsi="Times New Roman" w:cs="Times New Roman"/>
          <w:kern w:val="0"/>
          <w:sz w:val="22"/>
          <w:lang w:eastAsia="en-US"/>
          <w14:ligatures w14:val="none"/>
        </w:rPr>
        <w:t xml:space="preserve"> were conducted in </w:t>
      </w:r>
      <w:bookmarkStart w:id="8" w:name="_Hlk207393332"/>
      <w:r w:rsidRPr="00822527">
        <w:rPr>
          <w:rFonts w:ascii="Times New Roman" w:eastAsia="Calibri" w:hAnsi="Times New Roman" w:cs="Times New Roman"/>
          <w:kern w:val="0"/>
          <w:sz w:val="22"/>
          <w:lang w:eastAsia="en-US"/>
          <w14:ligatures w14:val="none"/>
        </w:rPr>
        <w:t>Statistical Parametric Mapping 12</w:t>
      </w:r>
      <w:bookmarkEnd w:id="8"/>
      <w:r w:rsidRPr="00822527">
        <w:rPr>
          <w:rFonts w:ascii="Times New Roman" w:eastAsia="Calibri" w:hAnsi="Times New Roman" w:cs="Times New Roman"/>
          <w:kern w:val="0"/>
          <w:sz w:val="22"/>
          <w:lang w:eastAsia="en-US"/>
          <w14:ligatures w14:val="none"/>
        </w:rPr>
        <w:t xml:space="preserve">, with </w:t>
      </w:r>
      <w:bookmarkStart w:id="9" w:name="_Hlk207393182"/>
      <w:r w:rsidRPr="00822527">
        <w:rPr>
          <w:rFonts w:ascii="Times New Roman" w:eastAsia="Calibri" w:hAnsi="Times New Roman" w:cs="Times New Roman"/>
          <w:kern w:val="0"/>
          <w:sz w:val="22"/>
          <w:lang w:eastAsia="en-US"/>
          <w14:ligatures w14:val="none"/>
        </w:rPr>
        <w:t>statistical significance defined as a voxel-wise p value &lt; 0</w:t>
      </w:r>
      <w:r w:rsidRPr="00822527">
        <w:rPr>
          <w:rFonts w:ascii="Times New Roman" w:eastAsia="宋体" w:hAnsi="Times New Roman" w:cs="Times New Roman"/>
          <w:kern w:val="0"/>
          <w:sz w:val="22"/>
          <w14:ligatures w14:val="none"/>
        </w:rPr>
        <w:t>.</w:t>
      </w:r>
      <w:r w:rsidRPr="00822527">
        <w:rPr>
          <w:rFonts w:ascii="Times New Roman" w:eastAsia="Calibri" w:hAnsi="Times New Roman" w:cs="Times New Roman"/>
          <w:kern w:val="0"/>
          <w:sz w:val="22"/>
          <w:lang w:eastAsia="en-US"/>
          <w14:ligatures w14:val="none"/>
        </w:rPr>
        <w:t>01 (uncorrected) and a cluster threshold of p &lt; 0</w:t>
      </w:r>
      <w:r w:rsidRPr="00822527">
        <w:rPr>
          <w:rFonts w:ascii="Times New Roman" w:eastAsia="宋体" w:hAnsi="Times New Roman" w:cs="Times New Roman"/>
          <w:kern w:val="0"/>
          <w:sz w:val="22"/>
          <w14:ligatures w14:val="none"/>
        </w:rPr>
        <w:t>.</w:t>
      </w:r>
      <w:r w:rsidRPr="00822527">
        <w:rPr>
          <w:rFonts w:ascii="Times New Roman" w:eastAsia="Calibri" w:hAnsi="Times New Roman" w:cs="Times New Roman"/>
          <w:kern w:val="0"/>
          <w:sz w:val="22"/>
          <w:lang w:eastAsia="en-US"/>
          <w14:ligatures w14:val="none"/>
        </w:rPr>
        <w:t>05 (uncorrected).</w:t>
      </w:r>
      <w:bookmarkEnd w:id="9"/>
      <w:r w:rsidRPr="00822527">
        <w:rPr>
          <w:rFonts w:ascii="Times New Roman" w:eastAsia="Calibri" w:hAnsi="Times New Roman" w:cs="Times New Roman"/>
          <w:kern w:val="0"/>
          <w:sz w:val="22"/>
          <w:lang w:eastAsia="en-US"/>
          <w14:ligatures w14:val="none"/>
        </w:rPr>
        <w:t xml:space="preserve"> All other statistical analyses were performed in the R environment (Vienna, Austria), with all tests two-sided at a 5% level of significance. Given the exploratory nature of this real-world study, no correction for multiple comparisons was applied.</w:t>
      </w:r>
    </w:p>
    <w:p w14:paraId="18EA7520" w14:textId="77777777" w:rsidR="00125EBF" w:rsidRPr="00822527" w:rsidRDefault="00125EBF" w:rsidP="00012802">
      <w:pPr>
        <w:spacing w:line="480" w:lineRule="auto"/>
        <w:rPr>
          <w:rFonts w:ascii="Times New Roman" w:hAnsi="Times New Roman" w:cs="Times New Roman"/>
          <w:sz w:val="22"/>
        </w:rPr>
      </w:pPr>
    </w:p>
    <w:p w14:paraId="3F5E7059" w14:textId="409F80FB" w:rsidR="00322F4F" w:rsidRPr="00822527" w:rsidRDefault="00322F4F" w:rsidP="00012802">
      <w:pPr>
        <w:spacing w:line="480" w:lineRule="auto"/>
        <w:rPr>
          <w:rFonts w:ascii="Times New Roman" w:hAnsi="Times New Roman" w:cs="Times New Roman"/>
          <w:sz w:val="22"/>
        </w:rPr>
      </w:pPr>
      <w:r w:rsidRPr="00822527">
        <w:rPr>
          <w:rFonts w:ascii="Times New Roman" w:hAnsi="Times New Roman" w:cs="Times New Roman" w:hint="eastAsia"/>
          <w:sz w:val="22"/>
        </w:rPr>
        <w:t>Reference:</w:t>
      </w:r>
    </w:p>
    <w:p w14:paraId="750F2F7E" w14:textId="633BD4FA" w:rsidR="003022D8" w:rsidRPr="00822527" w:rsidRDefault="00463CE5" w:rsidP="003022D8">
      <w:pPr>
        <w:autoSpaceDE w:val="0"/>
        <w:autoSpaceDN w:val="0"/>
        <w:adjustRightInd w:val="0"/>
        <w:spacing w:line="480" w:lineRule="auto"/>
        <w:rPr>
          <w:rFonts w:ascii="Times New Roman" w:hAnsi="Times New Roman" w:cs="Times New Roman"/>
          <w:noProof/>
          <w:kern w:val="0"/>
          <w:sz w:val="22"/>
        </w:rPr>
      </w:pPr>
      <w:r w:rsidRPr="00822527">
        <w:rPr>
          <w:rFonts w:ascii="Times New Roman" w:hAnsi="Times New Roman" w:cs="Times New Roman"/>
          <w:sz w:val="22"/>
        </w:rPr>
        <w:fldChar w:fldCharType="begin" w:fldLock="1"/>
      </w:r>
      <w:r w:rsidRPr="00822527">
        <w:rPr>
          <w:rFonts w:ascii="Times New Roman" w:hAnsi="Times New Roman" w:cs="Times New Roman"/>
          <w:sz w:val="22"/>
        </w:rPr>
        <w:instrText xml:space="preserve">ADDIN Mendeley Bibliography CSL_BIBLIOGRAPHY </w:instrText>
      </w:r>
      <w:r w:rsidRPr="00822527">
        <w:rPr>
          <w:rFonts w:ascii="Times New Roman" w:hAnsi="Times New Roman" w:cs="Times New Roman"/>
          <w:sz w:val="22"/>
        </w:rPr>
        <w:fldChar w:fldCharType="separate"/>
      </w:r>
      <w:r w:rsidR="003022D8" w:rsidRPr="00822527">
        <w:rPr>
          <w:rFonts w:ascii="Times New Roman" w:hAnsi="Times New Roman" w:cs="Times New Roman"/>
          <w:noProof/>
          <w:kern w:val="0"/>
          <w:sz w:val="22"/>
        </w:rPr>
        <w:t>1. Ding D, Zhao Q, Guo Q, Meng H, Wang B, Luo J, et al. Prevalence of mild cognitive impairment in an urban community in China: a cross-sectional analysis of the Shanghai Aging Study. Alzheimer’s Dement. 2015;11:300–9.</w:t>
      </w:r>
    </w:p>
    <w:p w14:paraId="629DE131" w14:textId="77777777" w:rsidR="003022D8" w:rsidRPr="00822527" w:rsidRDefault="003022D8" w:rsidP="003022D8">
      <w:pPr>
        <w:autoSpaceDE w:val="0"/>
        <w:autoSpaceDN w:val="0"/>
        <w:adjustRightInd w:val="0"/>
        <w:spacing w:line="480" w:lineRule="auto"/>
        <w:rPr>
          <w:rFonts w:ascii="Times New Roman" w:hAnsi="Times New Roman" w:cs="Times New Roman"/>
          <w:noProof/>
          <w:kern w:val="0"/>
          <w:sz w:val="22"/>
        </w:rPr>
      </w:pPr>
      <w:r w:rsidRPr="00822527">
        <w:rPr>
          <w:rFonts w:ascii="Times New Roman" w:hAnsi="Times New Roman" w:cs="Times New Roman"/>
          <w:noProof/>
          <w:kern w:val="0"/>
          <w:sz w:val="22"/>
        </w:rPr>
        <w:t xml:space="preserve">2. Lu J, Ma X, Zhang H, Xiao Z, Li M, Wu J, et al. Head-to-head comparison of plasma and PET imaging ATN markers in subjects with cognitive complaints. Transl Neurodegener. </w:t>
      </w:r>
      <w:r w:rsidRPr="00822527">
        <w:rPr>
          <w:rFonts w:ascii="Times New Roman" w:hAnsi="Times New Roman" w:cs="Times New Roman"/>
          <w:noProof/>
          <w:kern w:val="0"/>
          <w:sz w:val="22"/>
        </w:rPr>
        <w:lastRenderedPageBreak/>
        <w:t xml:space="preserve">2023;12:1–15. </w:t>
      </w:r>
    </w:p>
    <w:p w14:paraId="5DD50EB5" w14:textId="614B1045" w:rsidR="003022D8" w:rsidRPr="00822527" w:rsidRDefault="003022D8" w:rsidP="003022D8">
      <w:pPr>
        <w:autoSpaceDE w:val="0"/>
        <w:autoSpaceDN w:val="0"/>
        <w:adjustRightInd w:val="0"/>
        <w:spacing w:line="480" w:lineRule="auto"/>
        <w:rPr>
          <w:rFonts w:ascii="Times New Roman" w:hAnsi="Times New Roman" w:cs="Times New Roman"/>
          <w:noProof/>
          <w:kern w:val="0"/>
          <w:sz w:val="22"/>
        </w:rPr>
      </w:pPr>
      <w:r w:rsidRPr="00822527">
        <w:rPr>
          <w:rFonts w:ascii="Times New Roman" w:hAnsi="Times New Roman" w:cs="Times New Roman"/>
          <w:noProof/>
          <w:kern w:val="0"/>
          <w:sz w:val="22"/>
        </w:rPr>
        <w:t xml:space="preserve">3. Müller-Gärtner HW, Links JM, Prince JL, Bryan RN, McVeigh E, Leal JP, et al. Measurement of radiotracer concentration in brain gray matter using positron  emission tomography: MRI-based correction for partial volume effects. J Cereb blood flow Metab. 1992;12:571–83. </w:t>
      </w:r>
    </w:p>
    <w:p w14:paraId="51A223E6" w14:textId="42E2AA6D" w:rsidR="003022D8" w:rsidRPr="00822527" w:rsidRDefault="003022D8" w:rsidP="003022D8">
      <w:pPr>
        <w:autoSpaceDE w:val="0"/>
        <w:autoSpaceDN w:val="0"/>
        <w:adjustRightInd w:val="0"/>
        <w:spacing w:line="480" w:lineRule="auto"/>
        <w:rPr>
          <w:rFonts w:ascii="Times New Roman" w:hAnsi="Times New Roman" w:cs="Times New Roman"/>
          <w:noProof/>
          <w:kern w:val="0"/>
          <w:sz w:val="22"/>
        </w:rPr>
      </w:pPr>
      <w:r w:rsidRPr="00822527">
        <w:rPr>
          <w:rFonts w:ascii="Times New Roman" w:hAnsi="Times New Roman" w:cs="Times New Roman"/>
          <w:noProof/>
          <w:kern w:val="0"/>
          <w:sz w:val="22"/>
        </w:rPr>
        <w:t xml:space="preserve">4. Gonzalez-Escamilla G, Lange C, Teipel S, Buchert R, Grothe MJ, Alzheimer’s Disease Neuroimaging Initiative. PETPVE12: an SPM toolbox for Partial Volume Effects correction in brain PET - Application to amyloid imaging with AV45-PET. Neuroimage. 2017;147:669–77. </w:t>
      </w:r>
    </w:p>
    <w:p w14:paraId="544808D8" w14:textId="5B8285B6" w:rsidR="003022D8" w:rsidRPr="00822527" w:rsidRDefault="003022D8" w:rsidP="003022D8">
      <w:pPr>
        <w:autoSpaceDE w:val="0"/>
        <w:autoSpaceDN w:val="0"/>
        <w:adjustRightInd w:val="0"/>
        <w:spacing w:line="480" w:lineRule="auto"/>
        <w:rPr>
          <w:rFonts w:ascii="Times New Roman" w:hAnsi="Times New Roman" w:cs="Times New Roman"/>
          <w:noProof/>
          <w:kern w:val="0"/>
          <w:sz w:val="22"/>
        </w:rPr>
      </w:pPr>
      <w:r w:rsidRPr="00822527">
        <w:rPr>
          <w:rFonts w:ascii="Times New Roman" w:hAnsi="Times New Roman" w:cs="Times New Roman"/>
          <w:noProof/>
          <w:kern w:val="0"/>
          <w:sz w:val="22"/>
        </w:rPr>
        <w:t>5. Desikan RS, Ségonne F, Fischl B, Quinn BT, Dickerson BC, Blacker D, et al. An automated labeling system for subdividing the human cerebral cortex on MRI scans into gyral based regions of interest. Neuroimage. 2006;31:968–80.</w:t>
      </w:r>
    </w:p>
    <w:p w14:paraId="6A881B96" w14:textId="5D973DD9" w:rsidR="003022D8" w:rsidRPr="00822527" w:rsidRDefault="003022D8" w:rsidP="003022D8">
      <w:pPr>
        <w:autoSpaceDE w:val="0"/>
        <w:autoSpaceDN w:val="0"/>
        <w:adjustRightInd w:val="0"/>
        <w:spacing w:line="480" w:lineRule="auto"/>
        <w:rPr>
          <w:rFonts w:ascii="Times New Roman" w:hAnsi="Times New Roman" w:cs="Times New Roman"/>
          <w:noProof/>
          <w:kern w:val="0"/>
          <w:sz w:val="22"/>
        </w:rPr>
      </w:pPr>
      <w:r w:rsidRPr="00822527">
        <w:rPr>
          <w:rFonts w:ascii="Times New Roman" w:hAnsi="Times New Roman" w:cs="Times New Roman"/>
          <w:noProof/>
          <w:kern w:val="0"/>
          <w:sz w:val="22"/>
        </w:rPr>
        <w:t xml:space="preserve">6. Ossenkoppele R, Pichet Binette A, Groot C, Smith R, Strandberg O, Palmqvist S, et al. Amyloid and tau PET-positive cognitively unimpaired individuals are at high risk for future cognitive decline. Nat Med. 2022;28:2381–7. </w:t>
      </w:r>
    </w:p>
    <w:p w14:paraId="02973086" w14:textId="77777777" w:rsidR="003022D8" w:rsidRPr="00822527" w:rsidRDefault="003022D8" w:rsidP="003022D8">
      <w:pPr>
        <w:autoSpaceDE w:val="0"/>
        <w:autoSpaceDN w:val="0"/>
        <w:adjustRightInd w:val="0"/>
        <w:spacing w:line="480" w:lineRule="auto"/>
        <w:rPr>
          <w:rFonts w:ascii="Times New Roman" w:hAnsi="Times New Roman" w:cs="Times New Roman"/>
          <w:noProof/>
          <w:kern w:val="0"/>
          <w:sz w:val="22"/>
        </w:rPr>
      </w:pPr>
      <w:r w:rsidRPr="00822527">
        <w:rPr>
          <w:rFonts w:ascii="Times New Roman" w:hAnsi="Times New Roman" w:cs="Times New Roman"/>
          <w:noProof/>
          <w:kern w:val="0"/>
          <w:sz w:val="22"/>
        </w:rPr>
        <w:t xml:space="preserve">7. Ossenkoppele R, Smith R, Mattsson-Carlgren N, Groot C, Leuzy A, Strandberg O, et al. Accuracy of Tau Positron Emission Tomography as a Prognostic Marker in Preclinical and Prodromal Alzheimer Disease: A Head-to-Head Comparison against Amyloid Positron Emission Tomography and Magnetic Resonance Imaging. JAMA Neurol. 2021;78:961–71. </w:t>
      </w:r>
    </w:p>
    <w:p w14:paraId="7D2D2EC9" w14:textId="5F015046" w:rsidR="003022D8" w:rsidRPr="00822527" w:rsidRDefault="003022D8" w:rsidP="003022D8">
      <w:pPr>
        <w:autoSpaceDE w:val="0"/>
        <w:autoSpaceDN w:val="0"/>
        <w:adjustRightInd w:val="0"/>
        <w:spacing w:line="480" w:lineRule="auto"/>
        <w:rPr>
          <w:rFonts w:ascii="Times New Roman" w:hAnsi="Times New Roman" w:cs="Times New Roman"/>
          <w:noProof/>
          <w:sz w:val="22"/>
        </w:rPr>
      </w:pPr>
      <w:r w:rsidRPr="00822527">
        <w:rPr>
          <w:rFonts w:ascii="Times New Roman" w:hAnsi="Times New Roman" w:cs="Times New Roman"/>
          <w:noProof/>
          <w:kern w:val="0"/>
          <w:sz w:val="22"/>
        </w:rPr>
        <w:t xml:space="preserve">8. Lundeen TF, Seibyl JP, Covington MF, Eshghi N, Kuo PH. Signs and artifacts in amyloid PET. Radiographics. 2018;38:2123–33. </w:t>
      </w:r>
    </w:p>
    <w:p w14:paraId="37941C64" w14:textId="49260A29" w:rsidR="00463CE5" w:rsidRPr="00822527" w:rsidRDefault="00463CE5" w:rsidP="00012802">
      <w:pPr>
        <w:spacing w:line="480" w:lineRule="auto"/>
        <w:rPr>
          <w:rFonts w:ascii="Times New Roman" w:hAnsi="Times New Roman" w:cs="Times New Roman"/>
          <w:sz w:val="22"/>
        </w:rPr>
      </w:pPr>
      <w:r w:rsidRPr="00822527">
        <w:rPr>
          <w:rFonts w:ascii="Times New Roman" w:hAnsi="Times New Roman" w:cs="Times New Roman"/>
          <w:sz w:val="22"/>
        </w:rPr>
        <w:fldChar w:fldCharType="end"/>
      </w:r>
    </w:p>
    <w:sectPr w:rsidR="00463CE5" w:rsidRPr="0082252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67A03D" w14:textId="77777777" w:rsidR="00026FF4" w:rsidRDefault="00026FF4" w:rsidP="00436F90">
      <w:r>
        <w:separator/>
      </w:r>
    </w:p>
  </w:endnote>
  <w:endnote w:type="continuationSeparator" w:id="0">
    <w:p w14:paraId="6FFA7588" w14:textId="77777777" w:rsidR="00026FF4" w:rsidRDefault="00026FF4" w:rsidP="00436F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FE4971" w14:textId="77777777" w:rsidR="00026FF4" w:rsidRDefault="00026FF4" w:rsidP="00436F90">
      <w:r>
        <w:separator/>
      </w:r>
    </w:p>
  </w:footnote>
  <w:footnote w:type="continuationSeparator" w:id="0">
    <w:p w14:paraId="65317604" w14:textId="77777777" w:rsidR="00026FF4" w:rsidRDefault="00026FF4" w:rsidP="00436F9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7"/>
  <w:bordersDoNotSurroundHeader/>
  <w:bordersDoNotSurroundFooter/>
  <w:defaultTabStop w:val="4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7064"/>
    <w:rsid w:val="00012802"/>
    <w:rsid w:val="00026FF4"/>
    <w:rsid w:val="00027618"/>
    <w:rsid w:val="00104E56"/>
    <w:rsid w:val="00116344"/>
    <w:rsid w:val="00125EBF"/>
    <w:rsid w:val="00144C86"/>
    <w:rsid w:val="001601A3"/>
    <w:rsid w:val="00175A70"/>
    <w:rsid w:val="001F5B82"/>
    <w:rsid w:val="00272401"/>
    <w:rsid w:val="00281DB8"/>
    <w:rsid w:val="002C1D01"/>
    <w:rsid w:val="003022D8"/>
    <w:rsid w:val="00322F4F"/>
    <w:rsid w:val="003365AC"/>
    <w:rsid w:val="003A56A6"/>
    <w:rsid w:val="003E6B46"/>
    <w:rsid w:val="00436F90"/>
    <w:rsid w:val="00463CE5"/>
    <w:rsid w:val="004B5F2E"/>
    <w:rsid w:val="004C4D6D"/>
    <w:rsid w:val="00601E9C"/>
    <w:rsid w:val="00654897"/>
    <w:rsid w:val="00663D54"/>
    <w:rsid w:val="00790095"/>
    <w:rsid w:val="007F058A"/>
    <w:rsid w:val="00822527"/>
    <w:rsid w:val="008A36A6"/>
    <w:rsid w:val="00903CA9"/>
    <w:rsid w:val="00941AB8"/>
    <w:rsid w:val="0098135A"/>
    <w:rsid w:val="00A04478"/>
    <w:rsid w:val="00A211F3"/>
    <w:rsid w:val="00A2302F"/>
    <w:rsid w:val="00A6722D"/>
    <w:rsid w:val="00AF383D"/>
    <w:rsid w:val="00B33BBF"/>
    <w:rsid w:val="00BB11C3"/>
    <w:rsid w:val="00BD5148"/>
    <w:rsid w:val="00C239A9"/>
    <w:rsid w:val="00C47064"/>
    <w:rsid w:val="00CA2943"/>
    <w:rsid w:val="00EB48D8"/>
    <w:rsid w:val="00F116A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1060F2F"/>
  <w15:chartTrackingRefBased/>
  <w15:docId w15:val="{DBA48CAB-1D26-44DB-9315-8244F5E67B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C47064"/>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unhideWhenUsed/>
    <w:qFormat/>
    <w:rsid w:val="00C47064"/>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C47064"/>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C47064"/>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C47064"/>
    <w:pPr>
      <w:keepNext/>
      <w:keepLines/>
      <w:spacing w:before="80" w:after="40"/>
      <w:outlineLvl w:val="4"/>
    </w:pPr>
    <w:rPr>
      <w:rFonts w:cstheme="majorBidi"/>
      <w:color w:val="0F4761" w:themeColor="accent1" w:themeShade="BF"/>
      <w:sz w:val="24"/>
      <w:szCs w:val="24"/>
    </w:rPr>
  </w:style>
  <w:style w:type="paragraph" w:styleId="6">
    <w:name w:val="heading 6"/>
    <w:basedOn w:val="a"/>
    <w:next w:val="a"/>
    <w:link w:val="60"/>
    <w:uiPriority w:val="9"/>
    <w:semiHidden/>
    <w:unhideWhenUsed/>
    <w:qFormat/>
    <w:rsid w:val="00C47064"/>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C47064"/>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C47064"/>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C47064"/>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C47064"/>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rsid w:val="00C47064"/>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C47064"/>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C47064"/>
    <w:rPr>
      <w:rFonts w:cstheme="majorBidi"/>
      <w:color w:val="0F4761" w:themeColor="accent1" w:themeShade="BF"/>
      <w:sz w:val="28"/>
      <w:szCs w:val="28"/>
    </w:rPr>
  </w:style>
  <w:style w:type="character" w:customStyle="1" w:styleId="50">
    <w:name w:val="标题 5 字符"/>
    <w:basedOn w:val="a0"/>
    <w:link w:val="5"/>
    <w:uiPriority w:val="9"/>
    <w:semiHidden/>
    <w:rsid w:val="00C47064"/>
    <w:rPr>
      <w:rFonts w:cstheme="majorBidi"/>
      <w:color w:val="0F4761" w:themeColor="accent1" w:themeShade="BF"/>
      <w:sz w:val="24"/>
      <w:szCs w:val="24"/>
    </w:rPr>
  </w:style>
  <w:style w:type="character" w:customStyle="1" w:styleId="60">
    <w:name w:val="标题 6 字符"/>
    <w:basedOn w:val="a0"/>
    <w:link w:val="6"/>
    <w:uiPriority w:val="9"/>
    <w:semiHidden/>
    <w:rsid w:val="00C47064"/>
    <w:rPr>
      <w:rFonts w:cstheme="majorBidi"/>
      <w:b/>
      <w:bCs/>
      <w:color w:val="0F4761" w:themeColor="accent1" w:themeShade="BF"/>
    </w:rPr>
  </w:style>
  <w:style w:type="character" w:customStyle="1" w:styleId="70">
    <w:name w:val="标题 7 字符"/>
    <w:basedOn w:val="a0"/>
    <w:link w:val="7"/>
    <w:uiPriority w:val="9"/>
    <w:semiHidden/>
    <w:rsid w:val="00C47064"/>
    <w:rPr>
      <w:rFonts w:cstheme="majorBidi"/>
      <w:b/>
      <w:bCs/>
      <w:color w:val="595959" w:themeColor="text1" w:themeTint="A6"/>
    </w:rPr>
  </w:style>
  <w:style w:type="character" w:customStyle="1" w:styleId="80">
    <w:name w:val="标题 8 字符"/>
    <w:basedOn w:val="a0"/>
    <w:link w:val="8"/>
    <w:uiPriority w:val="9"/>
    <w:semiHidden/>
    <w:rsid w:val="00C47064"/>
    <w:rPr>
      <w:rFonts w:cstheme="majorBidi"/>
      <w:color w:val="595959" w:themeColor="text1" w:themeTint="A6"/>
    </w:rPr>
  </w:style>
  <w:style w:type="character" w:customStyle="1" w:styleId="90">
    <w:name w:val="标题 9 字符"/>
    <w:basedOn w:val="a0"/>
    <w:link w:val="9"/>
    <w:uiPriority w:val="9"/>
    <w:semiHidden/>
    <w:rsid w:val="00C47064"/>
    <w:rPr>
      <w:rFonts w:eastAsiaTheme="majorEastAsia" w:cstheme="majorBidi"/>
      <w:color w:val="595959" w:themeColor="text1" w:themeTint="A6"/>
    </w:rPr>
  </w:style>
  <w:style w:type="paragraph" w:styleId="a3">
    <w:name w:val="Title"/>
    <w:basedOn w:val="a"/>
    <w:next w:val="a"/>
    <w:link w:val="a4"/>
    <w:uiPriority w:val="10"/>
    <w:qFormat/>
    <w:rsid w:val="00C47064"/>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C4706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47064"/>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C47064"/>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C47064"/>
    <w:pPr>
      <w:spacing w:before="160" w:after="160"/>
      <w:jc w:val="center"/>
    </w:pPr>
    <w:rPr>
      <w:i/>
      <w:iCs/>
      <w:color w:val="404040" w:themeColor="text1" w:themeTint="BF"/>
    </w:rPr>
  </w:style>
  <w:style w:type="character" w:customStyle="1" w:styleId="a8">
    <w:name w:val="引用 字符"/>
    <w:basedOn w:val="a0"/>
    <w:link w:val="a7"/>
    <w:uiPriority w:val="29"/>
    <w:rsid w:val="00C47064"/>
    <w:rPr>
      <w:i/>
      <w:iCs/>
      <w:color w:val="404040" w:themeColor="text1" w:themeTint="BF"/>
    </w:rPr>
  </w:style>
  <w:style w:type="paragraph" w:styleId="a9">
    <w:name w:val="List Paragraph"/>
    <w:basedOn w:val="a"/>
    <w:uiPriority w:val="34"/>
    <w:qFormat/>
    <w:rsid w:val="00C47064"/>
    <w:pPr>
      <w:ind w:left="720"/>
      <w:contextualSpacing/>
    </w:pPr>
  </w:style>
  <w:style w:type="character" w:styleId="aa">
    <w:name w:val="Intense Emphasis"/>
    <w:basedOn w:val="a0"/>
    <w:uiPriority w:val="21"/>
    <w:qFormat/>
    <w:rsid w:val="00C47064"/>
    <w:rPr>
      <w:i/>
      <w:iCs/>
      <w:color w:val="0F4761" w:themeColor="accent1" w:themeShade="BF"/>
    </w:rPr>
  </w:style>
  <w:style w:type="paragraph" w:styleId="ab">
    <w:name w:val="Intense Quote"/>
    <w:basedOn w:val="a"/>
    <w:next w:val="a"/>
    <w:link w:val="ac"/>
    <w:uiPriority w:val="30"/>
    <w:qFormat/>
    <w:rsid w:val="00C4706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C47064"/>
    <w:rPr>
      <w:i/>
      <w:iCs/>
      <w:color w:val="0F4761" w:themeColor="accent1" w:themeShade="BF"/>
    </w:rPr>
  </w:style>
  <w:style w:type="character" w:styleId="ad">
    <w:name w:val="Intense Reference"/>
    <w:basedOn w:val="a0"/>
    <w:uiPriority w:val="32"/>
    <w:qFormat/>
    <w:rsid w:val="00C47064"/>
    <w:rPr>
      <w:b/>
      <w:bCs/>
      <w:smallCaps/>
      <w:color w:val="0F4761" w:themeColor="accent1" w:themeShade="BF"/>
      <w:spacing w:val="5"/>
    </w:rPr>
  </w:style>
  <w:style w:type="paragraph" w:styleId="ae">
    <w:name w:val="header"/>
    <w:basedOn w:val="a"/>
    <w:link w:val="af"/>
    <w:uiPriority w:val="99"/>
    <w:unhideWhenUsed/>
    <w:rsid w:val="00436F90"/>
    <w:pPr>
      <w:tabs>
        <w:tab w:val="center" w:pos="4153"/>
        <w:tab w:val="right" w:pos="8306"/>
      </w:tabs>
      <w:snapToGrid w:val="0"/>
      <w:jc w:val="center"/>
    </w:pPr>
    <w:rPr>
      <w:sz w:val="18"/>
      <w:szCs w:val="18"/>
    </w:rPr>
  </w:style>
  <w:style w:type="character" w:customStyle="1" w:styleId="af">
    <w:name w:val="页眉 字符"/>
    <w:basedOn w:val="a0"/>
    <w:link w:val="ae"/>
    <w:uiPriority w:val="99"/>
    <w:rsid w:val="00436F90"/>
    <w:rPr>
      <w:sz w:val="18"/>
      <w:szCs w:val="18"/>
    </w:rPr>
  </w:style>
  <w:style w:type="paragraph" w:styleId="af0">
    <w:name w:val="footer"/>
    <w:basedOn w:val="a"/>
    <w:link w:val="af1"/>
    <w:uiPriority w:val="99"/>
    <w:unhideWhenUsed/>
    <w:rsid w:val="00436F90"/>
    <w:pPr>
      <w:tabs>
        <w:tab w:val="center" w:pos="4153"/>
        <w:tab w:val="right" w:pos="8306"/>
      </w:tabs>
      <w:snapToGrid w:val="0"/>
      <w:jc w:val="left"/>
    </w:pPr>
    <w:rPr>
      <w:sz w:val="18"/>
      <w:szCs w:val="18"/>
    </w:rPr>
  </w:style>
  <w:style w:type="character" w:customStyle="1" w:styleId="af1">
    <w:name w:val="页脚 字符"/>
    <w:basedOn w:val="a0"/>
    <w:link w:val="af0"/>
    <w:uiPriority w:val="99"/>
    <w:rsid w:val="00436F90"/>
    <w:rPr>
      <w:sz w:val="18"/>
      <w:szCs w:val="18"/>
    </w:rPr>
  </w:style>
  <w:style w:type="paragraph" w:styleId="af2">
    <w:name w:val="Revision"/>
    <w:hidden/>
    <w:uiPriority w:val="99"/>
    <w:semiHidden/>
    <w:rsid w:val="001163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F52857-F646-4024-9F3C-F1AE175CF2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TotalTime>
  <Pages>6</Pages>
  <Words>6504</Words>
  <Characters>37075</Characters>
  <Application>Microsoft Office Word</Application>
  <DocSecurity>0</DocSecurity>
  <Lines>308</Lines>
  <Paragraphs>86</Paragraphs>
  <ScaleCrop>false</ScaleCrop>
  <Company/>
  <LinksUpToDate>false</LinksUpToDate>
  <CharactersWithSpaces>43493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Jiaying Lu</dc:creator>
  <cp:keywords/>
  <dc:description/>
  <cp:lastModifiedBy>Jiaying Lu</cp:lastModifiedBy>
  <cp:revision>14</cp:revision>
  <dcterms:created xsi:type="dcterms:W3CDTF">2025-07-20T02:32:00Z</dcterms:created>
  <dcterms:modified xsi:type="dcterms:W3CDTF">2025-11-03T05:30:00Z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http://www.zotero.org/styles/alzheimers-research-and-therapy</vt:lpwstr>
  </property>
  <property fmtid="{D5CDD505-2E9C-101B-9397-08002B2CF9AE}" pid="3" name="Mendeley Recent Style Name 0_1">
    <vt:lpwstr>Alzheimer's Research &amp; Therapy</vt:lpwstr>
  </property>
  <property fmtid="{D5CDD505-2E9C-101B-9397-08002B2CF9AE}" pid="4" name="Mendeley Recent Style Id 1_1">
    <vt:lpwstr>http://www.zotero.org/styles/annals-of-nuclear-medicine</vt:lpwstr>
  </property>
  <property fmtid="{D5CDD505-2E9C-101B-9397-08002B2CF9AE}" pid="5" name="Mendeley Recent Style Name 1_1">
    <vt:lpwstr>Annals of Nuclear Medicine</vt:lpwstr>
  </property>
  <property fmtid="{D5CDD505-2E9C-101B-9397-08002B2CF9AE}" pid="6" name="Mendeley Recent Style Id 2_1">
    <vt:lpwstr>http://www.zotero.org/styles/brain</vt:lpwstr>
  </property>
  <property fmtid="{D5CDD505-2E9C-101B-9397-08002B2CF9AE}" pid="7" name="Mendeley Recent Style Name 2_1">
    <vt:lpwstr>Brain</vt:lpwstr>
  </property>
  <property fmtid="{D5CDD505-2E9C-101B-9397-08002B2CF9AE}" pid="8" name="Mendeley Recent Style Id 3_1">
    <vt:lpwstr>http://www.zotero.org/styles/european-journal-of-neuroscience</vt:lpwstr>
  </property>
  <property fmtid="{D5CDD505-2E9C-101B-9397-08002B2CF9AE}" pid="9" name="Mendeley Recent Style Name 3_1">
    <vt:lpwstr>European Journal of Neuroscience</vt:lpwstr>
  </property>
  <property fmtid="{D5CDD505-2E9C-101B-9397-08002B2CF9AE}" pid="10" name="Mendeley Recent Style Id 4_1">
    <vt:lpwstr>http://www.zotero.org/styles/nature-communications</vt:lpwstr>
  </property>
  <property fmtid="{D5CDD505-2E9C-101B-9397-08002B2CF9AE}" pid="11" name="Mendeley Recent Style Name 4_1">
    <vt:lpwstr>Nature Communications</vt:lpwstr>
  </property>
  <property fmtid="{D5CDD505-2E9C-101B-9397-08002B2CF9AE}" pid="12" name="Mendeley Recent Style Id 5_1">
    <vt:lpwstr>http://www.zotero.org/styles/neurology</vt:lpwstr>
  </property>
  <property fmtid="{D5CDD505-2E9C-101B-9397-08002B2CF9AE}" pid="13" name="Mendeley Recent Style Name 5_1">
    <vt:lpwstr>Neurology</vt:lpwstr>
  </property>
  <property fmtid="{D5CDD505-2E9C-101B-9397-08002B2CF9AE}" pid="14" name="Mendeley Recent Style Id 6_1">
    <vt:lpwstr>http://www.zotero.org/styles/radiology</vt:lpwstr>
  </property>
  <property fmtid="{D5CDD505-2E9C-101B-9397-08002B2CF9AE}" pid="15" name="Mendeley Recent Style Name 6_1">
    <vt:lpwstr>Radiology</vt:lpwstr>
  </property>
  <property fmtid="{D5CDD505-2E9C-101B-9397-08002B2CF9AE}" pid="16" name="Mendeley Recent Style Id 7_1">
    <vt:lpwstr>http://www.zotero.org/styles/sage-harvard</vt:lpwstr>
  </property>
  <property fmtid="{D5CDD505-2E9C-101B-9397-08002B2CF9AE}" pid="17" name="Mendeley Recent Style Name 7_1">
    <vt:lpwstr>SAGE - Harvard</vt:lpwstr>
  </property>
  <property fmtid="{D5CDD505-2E9C-101B-9397-08002B2CF9AE}" pid="18" name="Mendeley Recent Style Id 8_1">
    <vt:lpwstr>http://www.zotero.org/styles/the-embo-journal</vt:lpwstr>
  </property>
  <property fmtid="{D5CDD505-2E9C-101B-9397-08002B2CF9AE}" pid="19" name="Mendeley Recent Style Name 8_1">
    <vt:lpwstr>The EMBO Journal</vt:lpwstr>
  </property>
  <property fmtid="{D5CDD505-2E9C-101B-9397-08002B2CF9AE}" pid="20" name="Mendeley Recent Style Id 9_1">
    <vt:lpwstr>http://www.zotero.org/styles/the-journal-of-nuclear-medicine</vt:lpwstr>
  </property>
  <property fmtid="{D5CDD505-2E9C-101B-9397-08002B2CF9AE}" pid="21" name="Mendeley Recent Style Name 9_1">
    <vt:lpwstr>The Journal of Nuclear Medicine</vt:lpwstr>
  </property>
  <property fmtid="{D5CDD505-2E9C-101B-9397-08002B2CF9AE}" pid="22" name="Mendeley Document_1">
    <vt:lpwstr>True</vt:lpwstr>
  </property>
  <property fmtid="{D5CDD505-2E9C-101B-9397-08002B2CF9AE}" pid="23" name="Mendeley Unique User Id_1">
    <vt:lpwstr>85fdcfd3-abb9-3417-9e15-76b4f7247388</vt:lpwstr>
  </property>
  <property fmtid="{D5CDD505-2E9C-101B-9397-08002B2CF9AE}" pid="24" name="Mendeley Citation Style_1">
    <vt:lpwstr>http://www.zotero.org/styles/alzheimers-research-and-therapy</vt:lpwstr>
  </property>
</Properties>
</file>