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3E18A" w14:textId="77777777" w:rsidR="00764E2B" w:rsidRPr="00B151E1" w:rsidRDefault="00764E2B" w:rsidP="00764E2B">
      <w:pPr>
        <w:spacing w:line="360" w:lineRule="auto"/>
        <w:rPr>
          <w:rFonts w:ascii="Calibri" w:hAnsi="Calibri" w:cs="Calibri"/>
          <w:b/>
          <w:bCs/>
          <w:sz w:val="28"/>
          <w:szCs w:val="28"/>
          <w:lang w:val="en-GB"/>
        </w:rPr>
      </w:pPr>
      <w:r w:rsidRPr="00B151E1">
        <w:rPr>
          <w:rFonts w:ascii="Calibri" w:hAnsi="Calibri" w:cs="Calibri"/>
          <w:b/>
          <w:bCs/>
          <w:sz w:val="28"/>
          <w:szCs w:val="28"/>
          <w:lang w:val="en-GB"/>
        </w:rPr>
        <w:t>Automated high-throughput quantification of plasma p-tau217 and APOE-ε4 for Alzheimer’s disease diagnosis and cognitive decline in a memory cohort</w:t>
      </w:r>
    </w:p>
    <w:p w14:paraId="04903D1C" w14:textId="77777777" w:rsidR="00764E2B" w:rsidRPr="00B151E1" w:rsidRDefault="00764E2B" w:rsidP="00764E2B">
      <w:pPr>
        <w:spacing w:line="240" w:lineRule="auto"/>
        <w:rPr>
          <w:rFonts w:ascii="Calibri" w:hAnsi="Calibri" w:cs="Calibri"/>
          <w:sz w:val="24"/>
          <w:szCs w:val="24"/>
          <w:vertAlign w:val="superscript"/>
          <w:lang w:val="en-GB"/>
        </w:rPr>
      </w:pPr>
      <w:r w:rsidRPr="00B151E1">
        <w:rPr>
          <w:rFonts w:ascii="Calibri" w:hAnsi="Calibri" w:cs="Calibri"/>
          <w:sz w:val="24"/>
          <w:szCs w:val="24"/>
          <w:lang w:val="en-GB"/>
        </w:rPr>
        <w:t>Jochen Titeca</w:t>
      </w:r>
      <w:r w:rsidRPr="00B151E1">
        <w:rPr>
          <w:rFonts w:ascii="Calibri" w:hAnsi="Calibri" w:cs="Calibri"/>
          <w:sz w:val="24"/>
          <w:szCs w:val="24"/>
          <w:vertAlign w:val="superscript"/>
          <w:lang w:val="en-GB"/>
        </w:rPr>
        <w:t>1</w:t>
      </w:r>
      <w:r w:rsidRPr="00B151E1">
        <w:rPr>
          <w:rFonts w:ascii="Calibri" w:hAnsi="Calibri" w:cs="Calibri"/>
          <w:sz w:val="24"/>
          <w:szCs w:val="24"/>
          <w:lang w:val="en-GB"/>
        </w:rPr>
        <w:t>, Marta Scarioni</w:t>
      </w:r>
      <w:proofErr w:type="gramStart"/>
      <w:r w:rsidRPr="00B151E1">
        <w:rPr>
          <w:rFonts w:ascii="Calibri" w:hAnsi="Calibri" w:cs="Calibri"/>
          <w:sz w:val="24"/>
          <w:szCs w:val="24"/>
          <w:vertAlign w:val="superscript"/>
          <w:lang w:val="en-GB"/>
        </w:rPr>
        <w:t>1,</w:t>
      </w:r>
      <w:r w:rsidRPr="00B151E1">
        <w:rPr>
          <w:rFonts w:ascii="Calibri" w:hAnsi="Calibri" w:cs="Calibri"/>
          <w:sz w:val="24"/>
          <w:szCs w:val="24"/>
          <w:lang w:val="en-GB"/>
        </w:rPr>
        <w:t>,</w:t>
      </w:r>
      <w:proofErr w:type="gramEnd"/>
      <w:r w:rsidRPr="00B151E1">
        <w:rPr>
          <w:rFonts w:ascii="Calibri" w:hAnsi="Calibri" w:cs="Calibri"/>
          <w:sz w:val="24"/>
          <w:szCs w:val="24"/>
          <w:lang w:val="en-GB"/>
        </w:rPr>
        <w:t xml:space="preserve"> Matthijs Oyaert</w:t>
      </w:r>
      <w:proofErr w:type="gramStart"/>
      <w:r w:rsidRPr="00B151E1">
        <w:rPr>
          <w:rFonts w:ascii="Calibri" w:hAnsi="Calibri" w:cs="Calibri"/>
          <w:sz w:val="24"/>
          <w:szCs w:val="24"/>
          <w:vertAlign w:val="superscript"/>
          <w:lang w:val="en-GB"/>
        </w:rPr>
        <w:t>2,$</w:t>
      </w:r>
      <w:proofErr w:type="gramEnd"/>
      <w:r w:rsidRPr="00B151E1">
        <w:rPr>
          <w:rFonts w:ascii="Calibri" w:hAnsi="Calibri" w:cs="Calibri"/>
          <w:sz w:val="24"/>
          <w:szCs w:val="24"/>
          <w:lang w:val="en-GB"/>
        </w:rPr>
        <w:t>, Tim Van Langenhove</w:t>
      </w:r>
      <w:proofErr w:type="gramStart"/>
      <w:r w:rsidRPr="00B151E1">
        <w:rPr>
          <w:rFonts w:ascii="Calibri" w:hAnsi="Calibri" w:cs="Calibri"/>
          <w:sz w:val="24"/>
          <w:szCs w:val="24"/>
          <w:vertAlign w:val="superscript"/>
          <w:lang w:val="en-GB"/>
        </w:rPr>
        <w:t>1,$</w:t>
      </w:r>
      <w:proofErr w:type="gramEnd"/>
      <w:r w:rsidRPr="00B151E1">
        <w:rPr>
          <w:rFonts w:ascii="Calibri" w:hAnsi="Calibri" w:cs="Calibri"/>
          <w:sz w:val="24"/>
          <w:szCs w:val="24"/>
          <w:vertAlign w:val="superscript"/>
          <w:lang w:val="en-GB"/>
        </w:rPr>
        <w:t>,#</w:t>
      </w:r>
    </w:p>
    <w:p w14:paraId="2C8503B6" w14:textId="77777777" w:rsidR="00764E2B" w:rsidRPr="00B151E1" w:rsidRDefault="00764E2B" w:rsidP="00764E2B">
      <w:pPr>
        <w:pStyle w:val="Lijstalinea"/>
        <w:numPr>
          <w:ilvl w:val="0"/>
          <w:numId w:val="1"/>
        </w:numPr>
        <w:spacing w:line="240" w:lineRule="auto"/>
        <w:rPr>
          <w:rFonts w:ascii="Calibri" w:hAnsi="Calibri" w:cs="Calibri"/>
          <w:lang w:val="en-GB"/>
        </w:rPr>
      </w:pPr>
      <w:r w:rsidRPr="00B151E1">
        <w:rPr>
          <w:rFonts w:ascii="Calibri" w:hAnsi="Calibri" w:cs="Calibri"/>
          <w:lang w:val="en-GB"/>
        </w:rPr>
        <w:t>Cognitive Centre, Department of Neurology, Ghent University Hospital, Ghent, Belgium</w:t>
      </w:r>
    </w:p>
    <w:p w14:paraId="05EC1ADD" w14:textId="77777777" w:rsidR="00764E2B" w:rsidRPr="00B151E1" w:rsidRDefault="00764E2B" w:rsidP="00764E2B">
      <w:pPr>
        <w:pStyle w:val="Lijstalinea"/>
        <w:numPr>
          <w:ilvl w:val="0"/>
          <w:numId w:val="1"/>
        </w:numPr>
        <w:spacing w:line="240" w:lineRule="auto"/>
        <w:rPr>
          <w:rFonts w:ascii="Calibri" w:hAnsi="Calibri" w:cs="Calibri"/>
          <w:lang w:val="en-GB"/>
        </w:rPr>
      </w:pPr>
      <w:r w:rsidRPr="00B151E1">
        <w:rPr>
          <w:rFonts w:ascii="Calibri" w:hAnsi="Calibri" w:cs="Calibri"/>
          <w:lang w:val="en-GB"/>
        </w:rPr>
        <w:t>Department of Laboratory Medicine, Ghent University Hospital, Ghent, Belgium</w:t>
      </w:r>
    </w:p>
    <w:p w14:paraId="4DCF372C" w14:textId="77777777" w:rsidR="00764E2B" w:rsidRPr="00B151E1" w:rsidRDefault="00764E2B" w:rsidP="00764E2B">
      <w:pPr>
        <w:pBdr>
          <w:bottom w:val="single" w:sz="6" w:space="1" w:color="auto"/>
        </w:pBdr>
        <w:spacing w:line="480" w:lineRule="auto"/>
        <w:rPr>
          <w:rFonts w:ascii="Calibri" w:hAnsi="Calibri" w:cs="Calibri"/>
          <w:i/>
          <w:iCs/>
          <w:sz w:val="20"/>
          <w:szCs w:val="20"/>
          <w:lang w:val="en-GB"/>
        </w:rPr>
      </w:pPr>
      <w:r w:rsidRPr="00B151E1">
        <w:rPr>
          <w:rFonts w:ascii="Calibri" w:hAnsi="Calibri" w:cs="Calibri"/>
          <w:i/>
          <w:iCs/>
          <w:sz w:val="20"/>
          <w:szCs w:val="20"/>
          <w:lang w:val="en-GB"/>
        </w:rPr>
        <w:t>$ Both authors contributed equally</w:t>
      </w:r>
    </w:p>
    <w:p w14:paraId="2184773E" w14:textId="77777777" w:rsidR="00764E2B" w:rsidRPr="00B151E1" w:rsidRDefault="00764E2B" w:rsidP="00764E2B">
      <w:pPr>
        <w:spacing w:line="276" w:lineRule="auto"/>
        <w:rPr>
          <w:rFonts w:ascii="Calibri" w:hAnsi="Calibri" w:cs="Calibri"/>
          <w:b/>
          <w:bCs/>
          <w:lang w:val="en-GB"/>
        </w:rPr>
      </w:pPr>
    </w:p>
    <w:p w14:paraId="71DF3A58" w14:textId="77777777" w:rsidR="00764E2B" w:rsidRPr="00B151E1" w:rsidRDefault="00764E2B" w:rsidP="00764E2B">
      <w:pPr>
        <w:spacing w:line="276" w:lineRule="auto"/>
        <w:rPr>
          <w:rFonts w:ascii="Calibri" w:hAnsi="Calibri" w:cs="Calibri"/>
          <w:lang w:val="en-GB"/>
        </w:rPr>
      </w:pPr>
      <w:r w:rsidRPr="00B151E1">
        <w:rPr>
          <w:rFonts w:ascii="Calibri" w:hAnsi="Calibri" w:cs="Calibri"/>
          <w:b/>
          <w:bCs/>
          <w:lang w:val="en-GB"/>
        </w:rPr>
        <w:t>Supplemental Table 1</w:t>
      </w:r>
      <w:r w:rsidRPr="00B151E1">
        <w:rPr>
          <w:rFonts w:ascii="Calibri" w:hAnsi="Calibri" w:cs="Calibri"/>
          <w:lang w:val="en-GB"/>
        </w:rPr>
        <w:t xml:space="preserve">. Analytical performance (within-run, between-run, and within-laboratory imprecision, bias and total error) of the p-tau181 and p-tau217 (RUO) assays on the Roche </w:t>
      </w:r>
      <w:proofErr w:type="spellStart"/>
      <w:r w:rsidRPr="00B151E1">
        <w:rPr>
          <w:rFonts w:ascii="Calibri" w:hAnsi="Calibri" w:cs="Calibri"/>
          <w:lang w:val="en-GB"/>
        </w:rPr>
        <w:t>cobas</w:t>
      </w:r>
      <w:proofErr w:type="spellEnd"/>
      <w:r w:rsidRPr="00B151E1">
        <w:rPr>
          <w:rFonts w:ascii="Calibri" w:hAnsi="Calibri" w:cs="Calibri"/>
          <w:lang w:val="en-GB"/>
        </w:rPr>
        <w:t xml:space="preserve"> pro e801 determined by measuring Roche PC p-tau181 and Roche PC p-tau217 QC-solutions in a 5x5 protocol (CLSI E15-A3)</w:t>
      </w:r>
    </w:p>
    <w:tbl>
      <w:tblPr>
        <w:tblStyle w:val="Tabelraster"/>
        <w:tblW w:w="918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3123"/>
        <w:gridCol w:w="1138"/>
        <w:gridCol w:w="1138"/>
        <w:gridCol w:w="1138"/>
        <w:gridCol w:w="1138"/>
        <w:gridCol w:w="1138"/>
        <w:gridCol w:w="367"/>
      </w:tblGrid>
      <w:tr w:rsidR="00764E2B" w:rsidRPr="00B151E1" w14:paraId="7ECFFC56" w14:textId="77777777" w:rsidTr="00560027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BCE4459" w14:textId="77777777" w:rsidR="00764E2B" w:rsidRPr="00B151E1" w:rsidRDefault="00764E2B" w:rsidP="00560027">
            <w:pPr>
              <w:spacing w:line="360" w:lineRule="auto"/>
              <w:rPr>
                <w:rFonts w:ascii="Calibri" w:eastAsia="Aptos" w:hAnsi="Calibri" w:cs="Calibri"/>
                <w:b/>
                <w:bCs/>
                <w:lang w:val="en-GB"/>
              </w:rPr>
            </w:pPr>
          </w:p>
        </w:tc>
        <w:tc>
          <w:tcPr>
            <w:tcW w:w="2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320BFE8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Plasma p-tau181</w:t>
            </w:r>
          </w:p>
        </w:tc>
        <w:tc>
          <w:tcPr>
            <w:tcW w:w="378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6EFC4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Plasma p-tau217</w:t>
            </w:r>
          </w:p>
        </w:tc>
      </w:tr>
      <w:tr w:rsidR="00764E2B" w:rsidRPr="00B151E1" w14:paraId="7EC25DE8" w14:textId="77777777" w:rsidTr="00560027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106E5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D651C06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Level 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AF1030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Level 2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B0DC5C8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Level 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A698A3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Level 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DE8EDF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Level 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D481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0D66B990" w14:textId="77777777" w:rsidTr="00560027">
        <w:trPr>
          <w:trHeight w:val="300"/>
        </w:trPr>
        <w:tc>
          <w:tcPr>
            <w:tcW w:w="31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999428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Mean concentration (</w:t>
            </w: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pg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D5743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0.67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D7FF8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2.00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71CC9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0.12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C340DC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0.70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9BF6A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1.02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51A654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27AED098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8E98302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Target (</w:t>
            </w: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pg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153B85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0.70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3D2FE67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2.02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0767C6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C8E493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0.66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9C854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0.98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0A4C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1698B6EE" w14:textId="77777777" w:rsidTr="00560027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8530A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Imprecision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A97EC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711347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FD37C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5099F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30659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 xml:space="preserve"> 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B5194F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0A67D927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AE957C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SD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wr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 xml:space="preserve"> </w:t>
            </w: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(</w:t>
            </w: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pg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A9ABC2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2F191A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E2DC6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2D383A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D2CB6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13EE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3F2EABAD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02527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CV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wr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23240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3.5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2B1216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61D08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5.2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8897B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32145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1.3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2150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42935263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7CF3C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SD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br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(</w:t>
            </w: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pg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A0CA4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7D9782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42A1E28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D3CCC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62FB5A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19379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4BD1DAE3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CC7A1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CV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br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7524F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18ED2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4FCD6E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6.8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88FF5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3.1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5B90C6C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0.5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E2DDA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79425A36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C7165F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SD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wl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(</w:t>
            </w: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pg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B22789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A3714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3CDD8B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0C254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FE80A3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0.01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9CC5F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  <w:tr w:rsidR="00764E2B" w:rsidRPr="00B151E1" w14:paraId="4FC51001" w14:textId="77777777" w:rsidTr="00560027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18BB3A5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>CV</w:t>
            </w:r>
            <w:r w:rsidRPr="00B151E1">
              <w:rPr>
                <w:rFonts w:ascii="Calibri" w:eastAsia="Aptos" w:hAnsi="Calibri" w:cs="Calibri"/>
                <w:b/>
                <w:bCs/>
                <w:vertAlign w:val="subscript"/>
                <w:lang w:val="en-GB"/>
              </w:rPr>
              <w:t>wl</w:t>
            </w:r>
            <w:proofErr w:type="spellEnd"/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7777550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3.8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CDC7CFD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1B3F609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8.6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FF2A856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3.6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B30C8C1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B151E1">
              <w:rPr>
                <w:rFonts w:ascii="Calibri" w:eastAsia="Aptos" w:hAnsi="Calibri" w:cs="Calibri"/>
                <w:lang w:val="en-GB"/>
              </w:rPr>
              <w:t>1.4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9261F8" w14:textId="77777777" w:rsidR="00764E2B" w:rsidRPr="00B151E1" w:rsidRDefault="00764E2B" w:rsidP="00560027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B151E1">
              <w:rPr>
                <w:rFonts w:ascii="Calibri" w:eastAsia="Aptos" w:hAnsi="Calibri" w:cs="Calibri"/>
                <w:b/>
                <w:bCs/>
                <w:lang w:val="en-GB"/>
              </w:rPr>
              <w:t xml:space="preserve"> </w:t>
            </w:r>
          </w:p>
        </w:tc>
      </w:tr>
    </w:tbl>
    <w:p w14:paraId="5603D6F2" w14:textId="77777777" w:rsidR="00764E2B" w:rsidRPr="00B151E1" w:rsidRDefault="00764E2B" w:rsidP="00764E2B">
      <w:pPr>
        <w:spacing w:after="0" w:line="276" w:lineRule="auto"/>
        <w:rPr>
          <w:rFonts w:ascii="Calibri" w:eastAsia="Aptos" w:hAnsi="Calibri" w:cs="Calibri"/>
          <w:i/>
          <w:iCs/>
          <w:color w:val="000000" w:themeColor="text1"/>
          <w:lang w:val="en-GB"/>
        </w:rPr>
      </w:pPr>
      <w:r w:rsidRPr="00B151E1">
        <w:rPr>
          <w:rFonts w:ascii="Calibri" w:eastAsia="Aptos" w:hAnsi="Calibri" w:cs="Calibri"/>
          <w:i/>
          <w:iCs/>
          <w:color w:val="000000" w:themeColor="text1"/>
          <w:lang w:val="en-GB"/>
        </w:rPr>
        <w:t xml:space="preserve">Abbreviations: WR: within-run; BR: between-run, WL: within-lab, SD: standard deviation, CV: coefficient of variation, </w:t>
      </w:r>
      <w:proofErr w:type="spellStart"/>
      <w:r w:rsidRPr="00B151E1">
        <w:rPr>
          <w:rFonts w:ascii="Calibri" w:eastAsia="Aptos" w:hAnsi="Calibri" w:cs="Calibri"/>
          <w:i/>
          <w:iCs/>
          <w:color w:val="000000" w:themeColor="text1"/>
          <w:lang w:val="en-GB"/>
        </w:rPr>
        <w:t>CV</w:t>
      </w:r>
      <w:r w:rsidRPr="00B151E1">
        <w:rPr>
          <w:rFonts w:ascii="Calibri" w:eastAsia="Aptos" w:hAnsi="Calibri" w:cs="Calibri"/>
          <w:i/>
          <w:iCs/>
          <w:color w:val="000000" w:themeColor="text1"/>
          <w:vertAlign w:val="subscript"/>
          <w:lang w:val="en-GB"/>
        </w:rPr>
        <w:t>wr</w:t>
      </w:r>
      <w:proofErr w:type="spellEnd"/>
      <w:r w:rsidRPr="00B151E1">
        <w:rPr>
          <w:rFonts w:ascii="Calibri" w:eastAsia="Aptos" w:hAnsi="Calibri" w:cs="Calibri"/>
          <w:i/>
          <w:iCs/>
          <w:color w:val="000000" w:themeColor="text1"/>
          <w:lang w:val="en-GB"/>
        </w:rPr>
        <w:t>: within-run coefficient, Abs: absolute</w:t>
      </w:r>
    </w:p>
    <w:p w14:paraId="6C59E0EC" w14:textId="77777777" w:rsidR="00764E2B" w:rsidRPr="00B151E1" w:rsidRDefault="00764E2B" w:rsidP="00764E2B">
      <w:pPr>
        <w:spacing w:line="360" w:lineRule="auto"/>
        <w:rPr>
          <w:rFonts w:ascii="Calibri" w:hAnsi="Calibri" w:cs="Calibri"/>
          <w:lang w:val="en-GB"/>
        </w:rPr>
      </w:pPr>
    </w:p>
    <w:p w14:paraId="4F16A3DC" w14:textId="77777777" w:rsidR="00764E2B" w:rsidRPr="00B151E1" w:rsidRDefault="00764E2B" w:rsidP="00764E2B">
      <w:pPr>
        <w:spacing w:after="0" w:line="360" w:lineRule="auto"/>
        <w:rPr>
          <w:rFonts w:ascii="Calibri" w:hAnsi="Calibri" w:cs="Calibri"/>
          <w:lang w:val="en-GB"/>
        </w:rPr>
      </w:pPr>
      <w:r w:rsidRPr="00B151E1">
        <w:rPr>
          <w:rFonts w:ascii="Calibri" w:hAnsi="Calibri" w:cs="Calibri"/>
          <w:b/>
          <w:bCs/>
          <w:lang w:val="en-GB"/>
        </w:rPr>
        <w:t>Supplemental Table 2.</w:t>
      </w:r>
      <w:r w:rsidRPr="00B151E1">
        <w:rPr>
          <w:rFonts w:ascii="Calibri" w:hAnsi="Calibri" w:cs="Calibri"/>
          <w:lang w:val="en-GB"/>
        </w:rPr>
        <w:t xml:space="preserve"> Demographic, clinical and neurological characteristics of study cohort: other neurodegenerative disorders (ND) vs. psychiatric or psychological causes of cognitive complaints (PSY). </w:t>
      </w:r>
    </w:p>
    <w:p w14:paraId="32991EF1" w14:textId="77777777" w:rsidR="00764E2B" w:rsidRPr="00B151E1" w:rsidRDefault="00764E2B" w:rsidP="00764E2B">
      <w:pPr>
        <w:spacing w:after="0" w:line="360" w:lineRule="auto"/>
        <w:rPr>
          <w:rFonts w:ascii="Calibri" w:hAnsi="Calibri" w:cs="Calibri"/>
          <w:lang w:val="en-GB"/>
        </w:rPr>
      </w:pPr>
    </w:p>
    <w:tbl>
      <w:tblPr>
        <w:tblStyle w:val="Tabelrasterlicht"/>
        <w:tblW w:w="0" w:type="auto"/>
        <w:tblLook w:val="06A0" w:firstRow="1" w:lastRow="0" w:firstColumn="1" w:lastColumn="0" w:noHBand="1" w:noVBand="1"/>
      </w:tblPr>
      <w:tblGrid>
        <w:gridCol w:w="3855"/>
        <w:gridCol w:w="1740"/>
        <w:gridCol w:w="1800"/>
        <w:gridCol w:w="771"/>
        <w:gridCol w:w="672"/>
      </w:tblGrid>
      <w:tr w:rsidR="00764E2B" w:rsidRPr="00B151E1" w14:paraId="35308102" w14:textId="77777777" w:rsidTr="00560027">
        <w:trPr>
          <w:trHeight w:val="300"/>
        </w:trPr>
        <w:tc>
          <w:tcPr>
            <w:tcW w:w="3855" w:type="dxa"/>
          </w:tcPr>
          <w:p w14:paraId="3744CC3B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40" w:type="dxa"/>
          </w:tcPr>
          <w:p w14:paraId="655BD49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ND (n=54)</w:t>
            </w:r>
          </w:p>
        </w:tc>
        <w:tc>
          <w:tcPr>
            <w:tcW w:w="1800" w:type="dxa"/>
          </w:tcPr>
          <w:p w14:paraId="0EF87B6E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PSY (n=30)</w:t>
            </w:r>
          </w:p>
        </w:tc>
        <w:tc>
          <w:tcPr>
            <w:tcW w:w="705" w:type="dxa"/>
          </w:tcPr>
          <w:p w14:paraId="6DA3F01E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p-value </w:t>
            </w:r>
          </w:p>
        </w:tc>
        <w:tc>
          <w:tcPr>
            <w:tcW w:w="657" w:type="dxa"/>
          </w:tcPr>
          <w:p w14:paraId="453FA1D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ES</w:t>
            </w:r>
          </w:p>
        </w:tc>
      </w:tr>
      <w:tr w:rsidR="00764E2B" w:rsidRPr="00B151E1" w14:paraId="005C0127" w14:textId="77777777" w:rsidTr="00560027">
        <w:trPr>
          <w:trHeight w:val="300"/>
        </w:trPr>
        <w:tc>
          <w:tcPr>
            <w:tcW w:w="3855" w:type="dxa"/>
          </w:tcPr>
          <w:p w14:paraId="20D203A5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Age, median (IQR, Q1, Q3)</w:t>
            </w:r>
          </w:p>
        </w:tc>
        <w:tc>
          <w:tcPr>
            <w:tcW w:w="1740" w:type="dxa"/>
          </w:tcPr>
          <w:p w14:paraId="33E2833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71.5 (12, 65.0, 77.25)</w:t>
            </w:r>
          </w:p>
        </w:tc>
        <w:tc>
          <w:tcPr>
            <w:tcW w:w="1800" w:type="dxa"/>
          </w:tcPr>
          <w:p w14:paraId="13D0D09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66.0 (11, 61.75, 72.25)</w:t>
            </w:r>
          </w:p>
        </w:tc>
        <w:tc>
          <w:tcPr>
            <w:tcW w:w="705" w:type="dxa"/>
          </w:tcPr>
          <w:p w14:paraId="4CDFE5A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0.012</w:t>
            </w:r>
          </w:p>
        </w:tc>
        <w:tc>
          <w:tcPr>
            <w:tcW w:w="657" w:type="dxa"/>
          </w:tcPr>
          <w:p w14:paraId="4479667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0.27</w:t>
            </w:r>
          </w:p>
        </w:tc>
      </w:tr>
      <w:tr w:rsidR="00764E2B" w:rsidRPr="00B151E1" w14:paraId="4ACBC28E" w14:textId="77777777" w:rsidTr="00560027">
        <w:trPr>
          <w:trHeight w:val="300"/>
        </w:trPr>
        <w:tc>
          <w:tcPr>
            <w:tcW w:w="3855" w:type="dxa"/>
          </w:tcPr>
          <w:p w14:paraId="64A4F18F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Male, n (%)</w:t>
            </w:r>
          </w:p>
        </w:tc>
        <w:tc>
          <w:tcPr>
            <w:tcW w:w="1740" w:type="dxa"/>
          </w:tcPr>
          <w:p w14:paraId="26D3E43A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63%</w:t>
            </w:r>
          </w:p>
        </w:tc>
        <w:tc>
          <w:tcPr>
            <w:tcW w:w="1800" w:type="dxa"/>
          </w:tcPr>
          <w:p w14:paraId="29E74EC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66,7%</w:t>
            </w:r>
          </w:p>
        </w:tc>
        <w:tc>
          <w:tcPr>
            <w:tcW w:w="705" w:type="dxa"/>
          </w:tcPr>
          <w:p w14:paraId="29C6DE2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0,734</w:t>
            </w:r>
          </w:p>
        </w:tc>
        <w:tc>
          <w:tcPr>
            <w:tcW w:w="657" w:type="dxa"/>
          </w:tcPr>
          <w:p w14:paraId="4D44285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0.04</w:t>
            </w:r>
          </w:p>
        </w:tc>
      </w:tr>
      <w:tr w:rsidR="00764E2B" w:rsidRPr="00B151E1" w14:paraId="28D8A316" w14:textId="77777777" w:rsidTr="00560027">
        <w:trPr>
          <w:trHeight w:val="300"/>
        </w:trPr>
        <w:tc>
          <w:tcPr>
            <w:tcW w:w="3855" w:type="dxa"/>
          </w:tcPr>
          <w:p w14:paraId="05F3A99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MoCA at baseline, median (IQR, Q1, Q3)</w:t>
            </w:r>
          </w:p>
        </w:tc>
        <w:tc>
          <w:tcPr>
            <w:tcW w:w="1740" w:type="dxa"/>
          </w:tcPr>
          <w:p w14:paraId="6FBDBDD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19.5 (9, 15.25, 23.75)</w:t>
            </w:r>
          </w:p>
        </w:tc>
        <w:tc>
          <w:tcPr>
            <w:tcW w:w="1800" w:type="dxa"/>
          </w:tcPr>
          <w:p w14:paraId="5D283BCA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26 (4, 23, 27)</w:t>
            </w:r>
          </w:p>
          <w:p w14:paraId="6B8AA30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5" w:type="dxa"/>
          </w:tcPr>
          <w:p w14:paraId="409E0E6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&lt;0,001</w:t>
            </w:r>
          </w:p>
        </w:tc>
        <w:tc>
          <w:tcPr>
            <w:tcW w:w="657" w:type="dxa"/>
          </w:tcPr>
          <w:p w14:paraId="0A9C4A3C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0,47</w:t>
            </w:r>
          </w:p>
        </w:tc>
      </w:tr>
      <w:tr w:rsidR="00764E2B" w:rsidRPr="00B151E1" w14:paraId="230AB229" w14:textId="77777777" w:rsidTr="00560027">
        <w:trPr>
          <w:trHeight w:val="300"/>
        </w:trPr>
        <w:tc>
          <w:tcPr>
            <w:tcW w:w="3855" w:type="dxa"/>
          </w:tcPr>
          <w:p w14:paraId="19F53AD1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eGFR, median (IQR, Q1, Q3)</w:t>
            </w:r>
          </w:p>
        </w:tc>
        <w:tc>
          <w:tcPr>
            <w:tcW w:w="1740" w:type="dxa"/>
          </w:tcPr>
          <w:p w14:paraId="6FDE23C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87.0 (26, 67.5, 93.25)</w:t>
            </w:r>
          </w:p>
          <w:p w14:paraId="380EE6C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00" w:type="dxa"/>
          </w:tcPr>
          <w:p w14:paraId="2EB737C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83.5 (22, 70.25, 92.0)</w:t>
            </w:r>
          </w:p>
          <w:p w14:paraId="45E3B9F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5" w:type="dxa"/>
          </w:tcPr>
          <w:p w14:paraId="4C61149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0,978</w:t>
            </w:r>
          </w:p>
        </w:tc>
        <w:tc>
          <w:tcPr>
            <w:tcW w:w="657" w:type="dxa"/>
          </w:tcPr>
          <w:p w14:paraId="435EB32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0.003</w:t>
            </w:r>
          </w:p>
        </w:tc>
      </w:tr>
      <w:tr w:rsidR="00764E2B" w:rsidRPr="00B151E1" w14:paraId="2D8D55B3" w14:textId="77777777" w:rsidTr="00560027">
        <w:trPr>
          <w:trHeight w:val="300"/>
        </w:trPr>
        <w:tc>
          <w:tcPr>
            <w:tcW w:w="3855" w:type="dxa"/>
          </w:tcPr>
          <w:p w14:paraId="6C61991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2 or more lobar microbleeds on MRI</w:t>
            </w:r>
          </w:p>
        </w:tc>
        <w:tc>
          <w:tcPr>
            <w:tcW w:w="1740" w:type="dxa"/>
          </w:tcPr>
          <w:p w14:paraId="773A40FF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9,4%</w:t>
            </w:r>
          </w:p>
        </w:tc>
        <w:tc>
          <w:tcPr>
            <w:tcW w:w="1800" w:type="dxa"/>
          </w:tcPr>
          <w:p w14:paraId="10DC616A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3,4%</w:t>
            </w:r>
          </w:p>
        </w:tc>
        <w:tc>
          <w:tcPr>
            <w:tcW w:w="705" w:type="dxa"/>
          </w:tcPr>
          <w:p w14:paraId="7191CCD6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0,32</w:t>
            </w:r>
          </w:p>
        </w:tc>
        <w:tc>
          <w:tcPr>
            <w:tcW w:w="657" w:type="dxa"/>
          </w:tcPr>
          <w:p w14:paraId="016C29D4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0.11</w:t>
            </w:r>
          </w:p>
        </w:tc>
      </w:tr>
      <w:tr w:rsidR="00764E2B" w:rsidRPr="00B151E1" w14:paraId="2533D193" w14:textId="77777777" w:rsidTr="00560027">
        <w:trPr>
          <w:trHeight w:val="300"/>
        </w:trPr>
        <w:tc>
          <w:tcPr>
            <w:tcW w:w="3855" w:type="dxa"/>
          </w:tcPr>
          <w:p w14:paraId="221D89E6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Fazekas grade 3, n (%)</w:t>
            </w:r>
          </w:p>
        </w:tc>
        <w:tc>
          <w:tcPr>
            <w:tcW w:w="1740" w:type="dxa"/>
          </w:tcPr>
          <w:p w14:paraId="624001A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3,7%</w:t>
            </w:r>
          </w:p>
        </w:tc>
        <w:tc>
          <w:tcPr>
            <w:tcW w:w="1800" w:type="dxa"/>
          </w:tcPr>
          <w:p w14:paraId="4C8D261F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6,7%</w:t>
            </w:r>
          </w:p>
        </w:tc>
        <w:tc>
          <w:tcPr>
            <w:tcW w:w="705" w:type="dxa"/>
          </w:tcPr>
          <w:p w14:paraId="5DFC5471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0,541</w:t>
            </w:r>
          </w:p>
        </w:tc>
        <w:tc>
          <w:tcPr>
            <w:tcW w:w="657" w:type="dxa"/>
          </w:tcPr>
          <w:p w14:paraId="3440637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0.07</w:t>
            </w:r>
          </w:p>
        </w:tc>
      </w:tr>
      <w:tr w:rsidR="00764E2B" w:rsidRPr="00B151E1" w14:paraId="4566AB1A" w14:textId="77777777" w:rsidTr="00560027">
        <w:trPr>
          <w:trHeight w:val="300"/>
        </w:trPr>
        <w:tc>
          <w:tcPr>
            <w:tcW w:w="3855" w:type="dxa"/>
          </w:tcPr>
          <w:p w14:paraId="4FFBC0FA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p-tau181, median (IQR, Q1, Q3)</w:t>
            </w:r>
          </w:p>
        </w:tc>
        <w:tc>
          <w:tcPr>
            <w:tcW w:w="1740" w:type="dxa"/>
          </w:tcPr>
          <w:p w14:paraId="0827291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0.90 (0.338, 0.725, 1.063)</w:t>
            </w:r>
          </w:p>
          <w:p w14:paraId="61600AE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00" w:type="dxa"/>
          </w:tcPr>
          <w:p w14:paraId="3C8F3EEC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0.763 (0.277, 0.664, 0.941)</w:t>
            </w:r>
          </w:p>
          <w:p w14:paraId="5E6DB90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5" w:type="dxa"/>
          </w:tcPr>
          <w:p w14:paraId="325F29F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0,024</w:t>
            </w:r>
          </w:p>
        </w:tc>
        <w:tc>
          <w:tcPr>
            <w:tcW w:w="657" w:type="dxa"/>
          </w:tcPr>
          <w:p w14:paraId="07D9B0F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0.25</w:t>
            </w:r>
          </w:p>
        </w:tc>
      </w:tr>
      <w:tr w:rsidR="00764E2B" w:rsidRPr="00B151E1" w14:paraId="2FFA523F" w14:textId="77777777" w:rsidTr="00560027">
        <w:trPr>
          <w:trHeight w:val="300"/>
        </w:trPr>
        <w:tc>
          <w:tcPr>
            <w:tcW w:w="3855" w:type="dxa"/>
          </w:tcPr>
          <w:p w14:paraId="0EBEE734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p-tau217, median (IQR, Q1, Q3)</w:t>
            </w:r>
          </w:p>
        </w:tc>
        <w:tc>
          <w:tcPr>
            <w:tcW w:w="1740" w:type="dxa"/>
          </w:tcPr>
          <w:p w14:paraId="4CB878C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0.249 (0.123, 0.198, 0.322)</w:t>
            </w:r>
          </w:p>
          <w:p w14:paraId="5BFF322E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00" w:type="dxa"/>
          </w:tcPr>
          <w:p w14:paraId="6834E32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0.237 (0.077, 0.199, 0.275)</w:t>
            </w:r>
          </w:p>
          <w:p w14:paraId="4FFB4435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5" w:type="dxa"/>
          </w:tcPr>
          <w:p w14:paraId="7574747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0.403</w:t>
            </w:r>
          </w:p>
        </w:tc>
        <w:tc>
          <w:tcPr>
            <w:tcW w:w="657" w:type="dxa"/>
          </w:tcPr>
          <w:p w14:paraId="0FA45FC2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0,09</w:t>
            </w:r>
          </w:p>
        </w:tc>
      </w:tr>
      <w:tr w:rsidR="00764E2B" w:rsidRPr="00B151E1" w14:paraId="5DD9A1C7" w14:textId="77777777" w:rsidTr="00560027">
        <w:trPr>
          <w:trHeight w:val="300"/>
        </w:trPr>
        <w:tc>
          <w:tcPr>
            <w:tcW w:w="3855" w:type="dxa"/>
          </w:tcPr>
          <w:p w14:paraId="3131FA4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p-tau217, median (IQR, Q1, Q3)</w:t>
            </w:r>
          </w:p>
        </w:tc>
        <w:tc>
          <w:tcPr>
            <w:tcW w:w="1740" w:type="dxa"/>
          </w:tcPr>
          <w:p w14:paraId="655B42E4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0.097 (0.06, 0.079, 0.139)</w:t>
            </w:r>
          </w:p>
        </w:tc>
        <w:tc>
          <w:tcPr>
            <w:tcW w:w="1800" w:type="dxa"/>
          </w:tcPr>
          <w:p w14:paraId="79222181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0.077 (0.048, 0.066, 0.114) </w:t>
            </w:r>
          </w:p>
          <w:p w14:paraId="2D6C5BA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5" w:type="dxa"/>
          </w:tcPr>
          <w:p w14:paraId="3105175F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657" w:type="dxa"/>
          </w:tcPr>
          <w:p w14:paraId="2B5E5B19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0,09</w:t>
            </w:r>
          </w:p>
        </w:tc>
      </w:tr>
      <w:tr w:rsidR="00764E2B" w:rsidRPr="00B151E1" w14:paraId="778FEAE5" w14:textId="77777777" w:rsidTr="00560027">
        <w:trPr>
          <w:trHeight w:val="300"/>
        </w:trPr>
        <w:tc>
          <w:tcPr>
            <w:tcW w:w="3855" w:type="dxa"/>
          </w:tcPr>
          <w:p w14:paraId="01202504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Aβ42, median (IQR, Q1, Q3)</w:t>
            </w:r>
          </w:p>
        </w:tc>
        <w:tc>
          <w:tcPr>
            <w:tcW w:w="1740" w:type="dxa"/>
          </w:tcPr>
          <w:p w14:paraId="4938B62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21.75 (5.8, 18.55, 24.3)</w:t>
            </w:r>
          </w:p>
        </w:tc>
        <w:tc>
          <w:tcPr>
            <w:tcW w:w="1800" w:type="dxa"/>
          </w:tcPr>
          <w:p w14:paraId="1FB03296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20.2 (5.0, 17.8, 22.8)</w:t>
            </w:r>
          </w:p>
        </w:tc>
        <w:tc>
          <w:tcPr>
            <w:tcW w:w="705" w:type="dxa"/>
          </w:tcPr>
          <w:p w14:paraId="4591699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0.17</w:t>
            </w:r>
          </w:p>
        </w:tc>
        <w:tc>
          <w:tcPr>
            <w:tcW w:w="657" w:type="dxa"/>
          </w:tcPr>
          <w:p w14:paraId="768C185F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0.138</w:t>
            </w:r>
          </w:p>
        </w:tc>
      </w:tr>
      <w:tr w:rsidR="00764E2B" w:rsidRPr="00B151E1" w14:paraId="51CC2140" w14:textId="77777777" w:rsidTr="00560027">
        <w:trPr>
          <w:trHeight w:val="300"/>
        </w:trPr>
        <w:tc>
          <w:tcPr>
            <w:tcW w:w="3855" w:type="dxa"/>
          </w:tcPr>
          <w:p w14:paraId="6733531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Aβ40, median (IQR, Q1, Q3)</w:t>
            </w:r>
          </w:p>
        </w:tc>
        <w:tc>
          <w:tcPr>
            <w:tcW w:w="1740" w:type="dxa"/>
          </w:tcPr>
          <w:p w14:paraId="37079BF5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278.7 (86.9, 239.4, 326.25)</w:t>
            </w:r>
          </w:p>
        </w:tc>
        <w:tc>
          <w:tcPr>
            <w:tcW w:w="1800" w:type="dxa"/>
          </w:tcPr>
          <w:p w14:paraId="39F6D07C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 xml:space="preserve"> 238.3 (46.5, 220.3, 266.8)</w:t>
            </w:r>
          </w:p>
        </w:tc>
        <w:tc>
          <w:tcPr>
            <w:tcW w:w="705" w:type="dxa"/>
          </w:tcPr>
          <w:p w14:paraId="4CA8EDA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657" w:type="dxa"/>
          </w:tcPr>
          <w:p w14:paraId="07B1F9E3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0.28</w:t>
            </w:r>
          </w:p>
        </w:tc>
      </w:tr>
      <w:tr w:rsidR="00764E2B" w:rsidRPr="00B151E1" w14:paraId="71D723AF" w14:textId="77777777" w:rsidTr="00560027">
        <w:trPr>
          <w:trHeight w:val="300"/>
        </w:trPr>
        <w:tc>
          <w:tcPr>
            <w:tcW w:w="3855" w:type="dxa"/>
          </w:tcPr>
          <w:p w14:paraId="1F247F66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 / Aβ42</w:t>
            </w:r>
          </w:p>
        </w:tc>
        <w:tc>
          <w:tcPr>
            <w:tcW w:w="1740" w:type="dxa"/>
          </w:tcPr>
          <w:p w14:paraId="56383C2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0.005 (0.002, 0.004, 0.006)</w:t>
            </w:r>
          </w:p>
        </w:tc>
        <w:tc>
          <w:tcPr>
            <w:tcW w:w="1800" w:type="dxa"/>
          </w:tcPr>
          <w:p w14:paraId="466884AD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0.004 (0.001 (0.004, 0.005)</w:t>
            </w:r>
          </w:p>
        </w:tc>
        <w:tc>
          <w:tcPr>
            <w:tcW w:w="705" w:type="dxa"/>
          </w:tcPr>
          <w:p w14:paraId="32B6B8E4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0.219</w:t>
            </w:r>
          </w:p>
        </w:tc>
        <w:tc>
          <w:tcPr>
            <w:tcW w:w="657" w:type="dxa"/>
          </w:tcPr>
          <w:p w14:paraId="26DFC6B7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0.14</w:t>
            </w:r>
          </w:p>
        </w:tc>
      </w:tr>
      <w:tr w:rsidR="00764E2B" w:rsidRPr="00B151E1" w14:paraId="6EF521F6" w14:textId="77777777" w:rsidTr="00560027">
        <w:trPr>
          <w:trHeight w:val="300"/>
        </w:trPr>
        <w:tc>
          <w:tcPr>
            <w:tcW w:w="3855" w:type="dxa"/>
          </w:tcPr>
          <w:p w14:paraId="6580DC2B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 / (Aβ42/</w:t>
            </w: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  <w:lang w:val="en-GB"/>
              </w:rPr>
              <w:t>Aβ40)</w:t>
            </w:r>
          </w:p>
        </w:tc>
        <w:tc>
          <w:tcPr>
            <w:tcW w:w="1740" w:type="dxa"/>
          </w:tcPr>
          <w:p w14:paraId="1B8B5788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1.276 (1.060, 0.976, 2.031)</w:t>
            </w:r>
          </w:p>
        </w:tc>
        <w:tc>
          <w:tcPr>
            <w:tcW w:w="1800" w:type="dxa"/>
          </w:tcPr>
          <w:p w14:paraId="4BA9C43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0.917 (0.70, 0.814, 1.511)</w:t>
            </w:r>
          </w:p>
        </w:tc>
        <w:tc>
          <w:tcPr>
            <w:tcW w:w="771" w:type="dxa"/>
          </w:tcPr>
          <w:p w14:paraId="4AD83FBA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672" w:type="dxa"/>
          </w:tcPr>
          <w:p w14:paraId="651197B0" w14:textId="77777777" w:rsidR="00764E2B" w:rsidRPr="00B151E1" w:rsidRDefault="00764E2B" w:rsidP="00560027">
            <w:pPr>
              <w:spacing w:line="230" w:lineRule="auto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  <w:lang w:val="en-GB"/>
              </w:rPr>
              <w:t>0.283</w:t>
            </w:r>
          </w:p>
        </w:tc>
      </w:tr>
    </w:tbl>
    <w:p w14:paraId="4D24D134" w14:textId="77777777" w:rsidR="00764E2B" w:rsidRPr="00B151E1" w:rsidRDefault="00764E2B" w:rsidP="00764E2B">
      <w:pPr>
        <w:spacing w:after="0" w:line="300" w:lineRule="auto"/>
        <w:rPr>
          <w:rFonts w:ascii="Calibri" w:hAnsi="Calibri" w:cs="Calibri"/>
          <w:lang w:val="en-GB"/>
        </w:rPr>
      </w:pPr>
      <w:r w:rsidRPr="00B151E1">
        <w:rPr>
          <w:rFonts w:ascii="Calibri" w:eastAsia="Calibri" w:hAnsi="Calibri" w:cs="Calibri"/>
          <w:i/>
          <w:iCs/>
          <w:color w:val="000000" w:themeColor="text1"/>
          <w:sz w:val="20"/>
          <w:szCs w:val="20"/>
          <w:lang w:val="en-GB"/>
        </w:rPr>
        <w:t>IQR: interquartile range, ES: estimated effect size, MOCA: Montreal Cognitive Assessment</w:t>
      </w:r>
    </w:p>
    <w:p w14:paraId="187A94E1" w14:textId="77777777" w:rsidR="00764E2B" w:rsidRPr="00B151E1" w:rsidRDefault="00764E2B" w:rsidP="00764E2B">
      <w:pPr>
        <w:spacing w:after="0" w:line="30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en-GB"/>
        </w:rPr>
      </w:pPr>
    </w:p>
    <w:p w14:paraId="31AE3F2D" w14:textId="77777777" w:rsidR="00764E2B" w:rsidRPr="00B151E1" w:rsidRDefault="00764E2B" w:rsidP="00764E2B">
      <w:pPr>
        <w:spacing w:after="0" w:line="276" w:lineRule="auto"/>
        <w:jc w:val="both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Supplemental Table 3. </w:t>
      </w:r>
      <w:r w:rsidRPr="00B151E1">
        <w:rPr>
          <w:rFonts w:ascii="Calibri" w:eastAsia="Calibri" w:hAnsi="Calibri" w:cs="Calibri"/>
          <w:color w:val="000000" w:themeColor="text1"/>
          <w:lang w:val="en-GB"/>
        </w:rPr>
        <w:t>Diagnostic performance using single and two cut-off approach in AD vs. ND</w:t>
      </w:r>
    </w:p>
    <w:tbl>
      <w:tblPr>
        <w:tblStyle w:val="Tabelrasterlicht"/>
        <w:tblW w:w="0" w:type="auto"/>
        <w:tblLook w:val="06A0" w:firstRow="1" w:lastRow="0" w:firstColumn="1" w:lastColumn="0" w:noHBand="1" w:noVBand="1"/>
      </w:tblPr>
      <w:tblGrid>
        <w:gridCol w:w="1420"/>
        <w:gridCol w:w="1250"/>
        <w:gridCol w:w="988"/>
        <w:gridCol w:w="1195"/>
        <w:gridCol w:w="1195"/>
        <w:gridCol w:w="980"/>
        <w:gridCol w:w="980"/>
        <w:gridCol w:w="1054"/>
      </w:tblGrid>
      <w:tr w:rsidR="00764E2B" w:rsidRPr="00B151E1" w14:paraId="72BB2D45" w14:textId="77777777" w:rsidTr="00560027">
        <w:trPr>
          <w:trHeight w:val="300"/>
        </w:trPr>
        <w:tc>
          <w:tcPr>
            <w:tcW w:w="1650" w:type="dxa"/>
          </w:tcPr>
          <w:p w14:paraId="04BA671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816" w:type="dxa"/>
            <w:gridSpan w:val="4"/>
          </w:tcPr>
          <w:p w14:paraId="7E1254C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Single cut-off approach</w:t>
            </w:r>
          </w:p>
        </w:tc>
        <w:tc>
          <w:tcPr>
            <w:tcW w:w="3615" w:type="dxa"/>
            <w:gridSpan w:val="3"/>
          </w:tcPr>
          <w:p w14:paraId="204ADAD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Two cut-off approach</w:t>
            </w:r>
          </w:p>
        </w:tc>
      </w:tr>
      <w:tr w:rsidR="00764E2B" w:rsidRPr="00B151E1" w14:paraId="4477FFF5" w14:textId="77777777" w:rsidTr="00560027">
        <w:trPr>
          <w:trHeight w:val="300"/>
        </w:trPr>
        <w:tc>
          <w:tcPr>
            <w:tcW w:w="1650" w:type="dxa"/>
          </w:tcPr>
          <w:p w14:paraId="11C499D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Parameter </w:t>
            </w:r>
          </w:p>
        </w:tc>
        <w:tc>
          <w:tcPr>
            <w:tcW w:w="1204" w:type="dxa"/>
          </w:tcPr>
          <w:p w14:paraId="3E4F9F6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AUC</w:t>
            </w:r>
          </w:p>
          <w:p w14:paraId="0FA336B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1204" w:type="dxa"/>
          </w:tcPr>
          <w:p w14:paraId="0377E85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Optimal cut-off </w:t>
            </w:r>
          </w:p>
          <w:p w14:paraId="2A186EB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value 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204" w:type="dxa"/>
          </w:tcPr>
          <w:p w14:paraId="065BABD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Sensitivity </w:t>
            </w:r>
          </w:p>
          <w:p w14:paraId="05DCE0C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204" w:type="dxa"/>
          </w:tcPr>
          <w:p w14:paraId="05A8F61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Specificity</w:t>
            </w:r>
          </w:p>
          <w:p w14:paraId="3DF4724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205" w:type="dxa"/>
          </w:tcPr>
          <w:p w14:paraId="65D08C3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Lower cut-off</w:t>
            </w:r>
          </w:p>
          <w:p w14:paraId="0CA0214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  <w:p w14:paraId="762A627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</w:tcPr>
          <w:p w14:paraId="53101A6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Upper cut-off</w:t>
            </w:r>
          </w:p>
          <w:p w14:paraId="2BD139C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  <w:p w14:paraId="14A2842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</w:tcPr>
          <w:p w14:paraId="39B38AA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% inter-mediates</w:t>
            </w:r>
          </w:p>
          <w:p w14:paraId="37DA158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764E2B" w:rsidRPr="00B151E1" w14:paraId="3C9C01CE" w14:textId="77777777" w:rsidTr="00560027">
        <w:trPr>
          <w:trHeight w:val="300"/>
        </w:trPr>
        <w:tc>
          <w:tcPr>
            <w:tcW w:w="1650" w:type="dxa"/>
          </w:tcPr>
          <w:p w14:paraId="4AA32AC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p-tau181</w:t>
            </w:r>
          </w:p>
        </w:tc>
        <w:tc>
          <w:tcPr>
            <w:tcW w:w="1204" w:type="dxa"/>
          </w:tcPr>
          <w:p w14:paraId="70ACE6C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0.881(0.820-0.942)</w:t>
            </w:r>
          </w:p>
        </w:tc>
        <w:tc>
          <w:tcPr>
            <w:tcW w:w="1204" w:type="dxa"/>
          </w:tcPr>
          <w:p w14:paraId="341EACB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1.155</w:t>
            </w:r>
          </w:p>
        </w:tc>
        <w:tc>
          <w:tcPr>
            <w:tcW w:w="1204" w:type="dxa"/>
          </w:tcPr>
          <w:p w14:paraId="17D4164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85.4%(78.6-92.2%)</w:t>
            </w:r>
          </w:p>
        </w:tc>
        <w:tc>
          <w:tcPr>
            <w:tcW w:w="1204" w:type="dxa"/>
          </w:tcPr>
          <w:p w14:paraId="3E67BE6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85.2%(76.4-95.6%)</w:t>
            </w:r>
          </w:p>
        </w:tc>
        <w:tc>
          <w:tcPr>
            <w:tcW w:w="1205" w:type="dxa"/>
          </w:tcPr>
          <w:p w14:paraId="2CFFF44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0.936</w:t>
            </w:r>
          </w:p>
        </w:tc>
        <w:tc>
          <w:tcPr>
            <w:tcW w:w="1205" w:type="dxa"/>
          </w:tcPr>
          <w:p w14:paraId="724BC5A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1.915</w:t>
            </w:r>
          </w:p>
        </w:tc>
        <w:tc>
          <w:tcPr>
            <w:tcW w:w="1205" w:type="dxa"/>
          </w:tcPr>
          <w:p w14:paraId="5FEA5A6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59.2%</w:t>
            </w:r>
          </w:p>
        </w:tc>
      </w:tr>
      <w:tr w:rsidR="00764E2B" w:rsidRPr="00B151E1" w14:paraId="116FCD1D" w14:textId="77777777" w:rsidTr="00560027">
        <w:trPr>
          <w:trHeight w:val="300"/>
        </w:trPr>
        <w:tc>
          <w:tcPr>
            <w:tcW w:w="1650" w:type="dxa"/>
          </w:tcPr>
          <w:p w14:paraId="47FE1F7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lastRenderedPageBreak/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204" w:type="dxa"/>
          </w:tcPr>
          <w:p w14:paraId="7B0AEE9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0.932(0.890-0.974) </w:t>
            </w:r>
          </w:p>
        </w:tc>
        <w:tc>
          <w:tcPr>
            <w:tcW w:w="1204" w:type="dxa"/>
          </w:tcPr>
          <w:p w14:paraId="6D6F7A6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0,405</w:t>
            </w:r>
          </w:p>
        </w:tc>
        <w:tc>
          <w:tcPr>
            <w:tcW w:w="1204" w:type="dxa"/>
          </w:tcPr>
          <w:p w14:paraId="68B6DA8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89.3%(83.3-95.3%)</w:t>
            </w:r>
          </w:p>
        </w:tc>
        <w:tc>
          <w:tcPr>
            <w:tcW w:w="1204" w:type="dxa"/>
          </w:tcPr>
          <w:p w14:paraId="49EAD15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88.9%(80.2-97.6%)</w:t>
            </w:r>
          </w:p>
        </w:tc>
        <w:tc>
          <w:tcPr>
            <w:tcW w:w="1205" w:type="dxa"/>
          </w:tcPr>
          <w:p w14:paraId="506E2EC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0.275</w:t>
            </w:r>
          </w:p>
        </w:tc>
        <w:tc>
          <w:tcPr>
            <w:tcW w:w="1205" w:type="dxa"/>
          </w:tcPr>
          <w:p w14:paraId="2E05744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0.555</w:t>
            </w:r>
          </w:p>
        </w:tc>
        <w:tc>
          <w:tcPr>
            <w:tcW w:w="1205" w:type="dxa"/>
          </w:tcPr>
          <w:p w14:paraId="224A24B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31.8%</w:t>
            </w:r>
          </w:p>
        </w:tc>
      </w:tr>
      <w:tr w:rsidR="00764E2B" w:rsidRPr="00B151E1" w14:paraId="477FC70B" w14:textId="77777777" w:rsidTr="00560027">
        <w:trPr>
          <w:trHeight w:val="300"/>
        </w:trPr>
        <w:tc>
          <w:tcPr>
            <w:tcW w:w="1650" w:type="dxa"/>
          </w:tcPr>
          <w:p w14:paraId="091C875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204" w:type="dxa"/>
          </w:tcPr>
          <w:p w14:paraId="2680B1C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0.938(0.896-0.979)</w:t>
            </w:r>
          </w:p>
        </w:tc>
        <w:tc>
          <w:tcPr>
            <w:tcW w:w="1204" w:type="dxa"/>
          </w:tcPr>
          <w:p w14:paraId="323005D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0.2465</w:t>
            </w:r>
          </w:p>
        </w:tc>
        <w:tc>
          <w:tcPr>
            <w:tcW w:w="1204" w:type="dxa"/>
          </w:tcPr>
          <w:p w14:paraId="775CE2F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85.4%(78.6-92.2%)</w:t>
            </w:r>
          </w:p>
        </w:tc>
        <w:tc>
          <w:tcPr>
            <w:tcW w:w="1204" w:type="dxa"/>
          </w:tcPr>
          <w:p w14:paraId="417B2F9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94.3%(87.4-100%)</w:t>
            </w:r>
          </w:p>
        </w:tc>
        <w:tc>
          <w:tcPr>
            <w:tcW w:w="1205" w:type="dxa"/>
          </w:tcPr>
          <w:p w14:paraId="2DDD66E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0.1305</w:t>
            </w:r>
          </w:p>
        </w:tc>
        <w:tc>
          <w:tcPr>
            <w:tcW w:w="1205" w:type="dxa"/>
          </w:tcPr>
          <w:p w14:paraId="21C0BA5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0.2665</w:t>
            </w:r>
          </w:p>
        </w:tc>
        <w:tc>
          <w:tcPr>
            <w:tcW w:w="1205" w:type="dxa"/>
          </w:tcPr>
          <w:p w14:paraId="79B8F44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26.1%</w:t>
            </w:r>
          </w:p>
        </w:tc>
      </w:tr>
      <w:tr w:rsidR="00764E2B" w:rsidRPr="00B151E1" w14:paraId="13609636" w14:textId="77777777" w:rsidTr="00560027">
        <w:trPr>
          <w:trHeight w:val="300"/>
        </w:trPr>
        <w:tc>
          <w:tcPr>
            <w:tcW w:w="1650" w:type="dxa"/>
          </w:tcPr>
          <w:p w14:paraId="0C03D1E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p-tau217/Aβ42</w:t>
            </w:r>
          </w:p>
        </w:tc>
        <w:tc>
          <w:tcPr>
            <w:tcW w:w="1204" w:type="dxa"/>
          </w:tcPr>
          <w:p w14:paraId="0997794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0.947(0.907-0.987)</w:t>
            </w:r>
          </w:p>
        </w:tc>
        <w:tc>
          <w:tcPr>
            <w:tcW w:w="1204" w:type="dxa"/>
          </w:tcPr>
          <w:p w14:paraId="1313AE9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0.0105</w:t>
            </w:r>
          </w:p>
        </w:tc>
        <w:tc>
          <w:tcPr>
            <w:tcW w:w="1204" w:type="dxa"/>
          </w:tcPr>
          <w:p w14:paraId="751ED4D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90.3%(85.4-95.1%)</w:t>
            </w:r>
          </w:p>
        </w:tc>
        <w:tc>
          <w:tcPr>
            <w:tcW w:w="1204" w:type="dxa"/>
          </w:tcPr>
          <w:p w14:paraId="3AD8161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96.2%(91.5-100%)</w:t>
            </w:r>
          </w:p>
        </w:tc>
        <w:tc>
          <w:tcPr>
            <w:tcW w:w="1205" w:type="dxa"/>
          </w:tcPr>
          <w:p w14:paraId="0ED4766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0.0065</w:t>
            </w:r>
          </w:p>
        </w:tc>
        <w:tc>
          <w:tcPr>
            <w:tcW w:w="1205" w:type="dxa"/>
          </w:tcPr>
          <w:p w14:paraId="07CF258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0.0135</w:t>
            </w:r>
          </w:p>
        </w:tc>
        <w:tc>
          <w:tcPr>
            <w:tcW w:w="1205" w:type="dxa"/>
          </w:tcPr>
          <w:p w14:paraId="30DFC3A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3.8%</w:t>
            </w:r>
          </w:p>
        </w:tc>
      </w:tr>
    </w:tbl>
    <w:p w14:paraId="7B6F5B39" w14:textId="77777777" w:rsidR="00764E2B" w:rsidRPr="00B151E1" w:rsidRDefault="00764E2B" w:rsidP="00764E2B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</w:p>
    <w:p w14:paraId="7A0B9017" w14:textId="77777777" w:rsidR="00764E2B" w:rsidRPr="00B151E1" w:rsidRDefault="00764E2B" w:rsidP="00764E2B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Pr="00B151E1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Supplemental Table 4. </w:t>
      </w:r>
      <w:r w:rsidRPr="00B151E1">
        <w:rPr>
          <w:rFonts w:ascii="Calibri" w:eastAsia="Calibri" w:hAnsi="Calibri" w:cs="Calibri"/>
          <w:color w:val="000000" w:themeColor="text1"/>
          <w:lang w:val="en-GB"/>
        </w:rPr>
        <w:t>Diagnostic performance using single and two cut-off approach in AD vs. PSY</w:t>
      </w:r>
    </w:p>
    <w:tbl>
      <w:tblPr>
        <w:tblStyle w:val="Tabelrasterlicht"/>
        <w:tblW w:w="0" w:type="auto"/>
        <w:tblLook w:val="06A0" w:firstRow="1" w:lastRow="0" w:firstColumn="1" w:lastColumn="0" w:noHBand="1" w:noVBand="1"/>
      </w:tblPr>
      <w:tblGrid>
        <w:gridCol w:w="1418"/>
        <w:gridCol w:w="1250"/>
        <w:gridCol w:w="987"/>
        <w:gridCol w:w="1197"/>
        <w:gridCol w:w="1197"/>
        <w:gridCol w:w="979"/>
        <w:gridCol w:w="979"/>
        <w:gridCol w:w="1055"/>
      </w:tblGrid>
      <w:tr w:rsidR="00764E2B" w:rsidRPr="00B151E1" w14:paraId="0251E97A" w14:textId="77777777" w:rsidTr="00560027">
        <w:trPr>
          <w:trHeight w:val="300"/>
        </w:trPr>
        <w:tc>
          <w:tcPr>
            <w:tcW w:w="1650" w:type="dxa"/>
          </w:tcPr>
          <w:p w14:paraId="28A3C24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844" w:type="dxa"/>
            <w:gridSpan w:val="4"/>
          </w:tcPr>
          <w:p w14:paraId="2D603A3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Single cut-off approach</w:t>
            </w:r>
          </w:p>
        </w:tc>
        <w:tc>
          <w:tcPr>
            <w:tcW w:w="3645" w:type="dxa"/>
            <w:gridSpan w:val="3"/>
          </w:tcPr>
          <w:p w14:paraId="5FA61A7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Two cut-off approach</w:t>
            </w:r>
          </w:p>
        </w:tc>
      </w:tr>
      <w:tr w:rsidR="00764E2B" w:rsidRPr="00B151E1" w14:paraId="303B4B3C" w14:textId="77777777" w:rsidTr="00560027">
        <w:trPr>
          <w:trHeight w:val="300"/>
        </w:trPr>
        <w:tc>
          <w:tcPr>
            <w:tcW w:w="1650" w:type="dxa"/>
          </w:tcPr>
          <w:p w14:paraId="1B76A12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Parameter </w:t>
            </w:r>
          </w:p>
        </w:tc>
        <w:tc>
          <w:tcPr>
            <w:tcW w:w="1211" w:type="dxa"/>
          </w:tcPr>
          <w:p w14:paraId="3111E32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AUC</w:t>
            </w:r>
          </w:p>
          <w:p w14:paraId="1643918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1211" w:type="dxa"/>
          </w:tcPr>
          <w:p w14:paraId="3931C8E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Optimal cut-off </w:t>
            </w:r>
          </w:p>
          <w:p w14:paraId="45F4DA8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value 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211" w:type="dxa"/>
          </w:tcPr>
          <w:p w14:paraId="5D701EA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Sensitivity </w:t>
            </w:r>
          </w:p>
          <w:p w14:paraId="3154833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211" w:type="dxa"/>
          </w:tcPr>
          <w:p w14:paraId="123AEF0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Specificity</w:t>
            </w:r>
          </w:p>
          <w:p w14:paraId="79F0F12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215" w:type="dxa"/>
          </w:tcPr>
          <w:p w14:paraId="2B5F560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Lower cut-off</w:t>
            </w:r>
          </w:p>
          <w:p w14:paraId="0375337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  <w:p w14:paraId="4244815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15" w:type="dxa"/>
          </w:tcPr>
          <w:p w14:paraId="5924003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Upper cut-off</w:t>
            </w:r>
          </w:p>
          <w:p w14:paraId="5529FF1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  <w:p w14:paraId="472D35B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15" w:type="dxa"/>
          </w:tcPr>
          <w:p w14:paraId="2C732F3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% inter-mediates</w:t>
            </w:r>
          </w:p>
          <w:p w14:paraId="59E7E4A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764E2B" w:rsidRPr="00B151E1" w14:paraId="76377033" w14:textId="77777777" w:rsidTr="00560027">
        <w:trPr>
          <w:trHeight w:val="300"/>
        </w:trPr>
        <w:tc>
          <w:tcPr>
            <w:tcW w:w="1650" w:type="dxa"/>
          </w:tcPr>
          <w:p w14:paraId="6DC2069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p-tau181</w:t>
            </w:r>
          </w:p>
        </w:tc>
        <w:tc>
          <w:tcPr>
            <w:tcW w:w="1211" w:type="dxa"/>
          </w:tcPr>
          <w:p w14:paraId="4784189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0.944(0.905-0.984)</w:t>
            </w:r>
          </w:p>
        </w:tc>
        <w:tc>
          <w:tcPr>
            <w:tcW w:w="1211" w:type="dxa"/>
          </w:tcPr>
          <w:p w14:paraId="31AF254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1.130</w:t>
            </w:r>
          </w:p>
        </w:tc>
        <w:tc>
          <w:tcPr>
            <w:tcW w:w="1211" w:type="dxa"/>
          </w:tcPr>
          <w:p w14:paraId="2734F96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86.4%(77.7-92.4%)</w:t>
            </w:r>
          </w:p>
        </w:tc>
        <w:tc>
          <w:tcPr>
            <w:tcW w:w="1211" w:type="dxa"/>
          </w:tcPr>
          <w:p w14:paraId="365055C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90.0%(73.1-92.4%) </w:t>
            </w:r>
          </w:p>
        </w:tc>
        <w:tc>
          <w:tcPr>
            <w:tcW w:w="1215" w:type="dxa"/>
          </w:tcPr>
          <w:p w14:paraId="42F8AFE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0.936</w:t>
            </w:r>
          </w:p>
        </w:tc>
        <w:tc>
          <w:tcPr>
            <w:tcW w:w="1215" w:type="dxa"/>
          </w:tcPr>
          <w:p w14:paraId="59820D1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1.385</w:t>
            </w:r>
          </w:p>
        </w:tc>
        <w:tc>
          <w:tcPr>
            <w:tcW w:w="1215" w:type="dxa"/>
          </w:tcPr>
          <w:p w14:paraId="6D3DC83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15.0%</w:t>
            </w:r>
          </w:p>
        </w:tc>
      </w:tr>
      <w:tr w:rsidR="00764E2B" w:rsidRPr="00B151E1" w14:paraId="5315E1F1" w14:textId="77777777" w:rsidTr="00560027">
        <w:trPr>
          <w:trHeight w:val="300"/>
        </w:trPr>
        <w:tc>
          <w:tcPr>
            <w:tcW w:w="1650" w:type="dxa"/>
          </w:tcPr>
          <w:p w14:paraId="47D83C9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211" w:type="dxa"/>
          </w:tcPr>
          <w:p w14:paraId="4D99C55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0.953(0.915-0.991)</w:t>
            </w:r>
          </w:p>
        </w:tc>
        <w:tc>
          <w:tcPr>
            <w:tcW w:w="1211" w:type="dxa"/>
          </w:tcPr>
          <w:p w14:paraId="1F33D1C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0.3715</w:t>
            </w:r>
          </w:p>
        </w:tc>
        <w:tc>
          <w:tcPr>
            <w:tcW w:w="1211" w:type="dxa"/>
          </w:tcPr>
          <w:p w14:paraId="220383D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92.2%(85.6-96%)</w:t>
            </w:r>
          </w:p>
        </w:tc>
        <w:tc>
          <w:tcPr>
            <w:tcW w:w="1211" w:type="dxa"/>
          </w:tcPr>
          <w:p w14:paraId="7BE623C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96.6%(82.4-100%)</w:t>
            </w:r>
          </w:p>
        </w:tc>
        <w:tc>
          <w:tcPr>
            <w:tcW w:w="1215" w:type="dxa"/>
          </w:tcPr>
          <w:p w14:paraId="46F6699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0.2695</w:t>
            </w:r>
          </w:p>
        </w:tc>
        <w:tc>
          <w:tcPr>
            <w:tcW w:w="1215" w:type="dxa"/>
          </w:tcPr>
          <w:p w14:paraId="763ECFC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0.3715</w:t>
            </w:r>
          </w:p>
        </w:tc>
        <w:tc>
          <w:tcPr>
            <w:tcW w:w="1215" w:type="dxa"/>
          </w:tcPr>
          <w:p w14:paraId="62B4F48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6.0%</w:t>
            </w:r>
          </w:p>
        </w:tc>
      </w:tr>
      <w:tr w:rsidR="00764E2B" w:rsidRPr="00B151E1" w14:paraId="5BD856EC" w14:textId="77777777" w:rsidTr="00560027">
        <w:trPr>
          <w:trHeight w:val="300"/>
        </w:trPr>
        <w:tc>
          <w:tcPr>
            <w:tcW w:w="1650" w:type="dxa"/>
          </w:tcPr>
          <w:p w14:paraId="0989C0E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211" w:type="dxa"/>
          </w:tcPr>
          <w:p w14:paraId="04BA3C6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0.969(0.942-0.997)</w:t>
            </w:r>
          </w:p>
        </w:tc>
        <w:tc>
          <w:tcPr>
            <w:tcW w:w="1211" w:type="dxa"/>
          </w:tcPr>
          <w:p w14:paraId="77AC172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0.180</w:t>
            </w:r>
          </w:p>
        </w:tc>
        <w:tc>
          <w:tcPr>
            <w:tcW w:w="1211" w:type="dxa"/>
          </w:tcPr>
          <w:p w14:paraId="2000336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90.3%(83.6-95.3%)</w:t>
            </w:r>
          </w:p>
        </w:tc>
        <w:tc>
          <w:tcPr>
            <w:tcW w:w="1211" w:type="dxa"/>
          </w:tcPr>
          <w:p w14:paraId="42C14F0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96.7%(83.4-99.9%)</w:t>
            </w:r>
          </w:p>
        </w:tc>
        <w:tc>
          <w:tcPr>
            <w:tcW w:w="1215" w:type="dxa"/>
          </w:tcPr>
          <w:p w14:paraId="0D01EAD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0.1305</w:t>
            </w:r>
          </w:p>
        </w:tc>
        <w:tc>
          <w:tcPr>
            <w:tcW w:w="1215" w:type="dxa"/>
          </w:tcPr>
          <w:p w14:paraId="1D9AA9B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0.1800</w:t>
            </w:r>
          </w:p>
        </w:tc>
        <w:tc>
          <w:tcPr>
            <w:tcW w:w="1215" w:type="dxa"/>
          </w:tcPr>
          <w:p w14:paraId="516CF3F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5.2%</w:t>
            </w:r>
          </w:p>
        </w:tc>
      </w:tr>
      <w:tr w:rsidR="00764E2B" w:rsidRPr="00B151E1" w14:paraId="7F1D9F70" w14:textId="77777777" w:rsidTr="00560027">
        <w:trPr>
          <w:trHeight w:val="300"/>
        </w:trPr>
        <w:tc>
          <w:tcPr>
            <w:tcW w:w="1650" w:type="dxa"/>
          </w:tcPr>
          <w:p w14:paraId="158B6FC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p-tau217/Aβ42</w:t>
            </w:r>
          </w:p>
        </w:tc>
        <w:tc>
          <w:tcPr>
            <w:tcW w:w="1211" w:type="dxa"/>
          </w:tcPr>
          <w:p w14:paraId="214D0409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0.970 (0.940-1.00) </w:t>
            </w:r>
          </w:p>
        </w:tc>
        <w:tc>
          <w:tcPr>
            <w:tcW w:w="1211" w:type="dxa"/>
          </w:tcPr>
          <w:p w14:paraId="22A08AB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0.0085</w:t>
            </w:r>
          </w:p>
        </w:tc>
        <w:tc>
          <w:tcPr>
            <w:tcW w:w="1211" w:type="dxa"/>
          </w:tcPr>
          <w:p w14:paraId="03F63FD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93.2%(88.9-96.4%)</w:t>
            </w:r>
          </w:p>
        </w:tc>
        <w:tc>
          <w:tcPr>
            <w:tcW w:w="1211" w:type="dxa"/>
          </w:tcPr>
          <w:p w14:paraId="18FCA94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96.3(86.0-100%)</w:t>
            </w:r>
          </w:p>
        </w:tc>
        <w:tc>
          <w:tcPr>
            <w:tcW w:w="1215" w:type="dxa"/>
          </w:tcPr>
          <w:p w14:paraId="2FF7A24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0.0065</w:t>
            </w:r>
          </w:p>
        </w:tc>
        <w:tc>
          <w:tcPr>
            <w:tcW w:w="1215" w:type="dxa"/>
          </w:tcPr>
          <w:p w14:paraId="4A1A27B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0.0085</w:t>
            </w:r>
          </w:p>
        </w:tc>
        <w:tc>
          <w:tcPr>
            <w:tcW w:w="1215" w:type="dxa"/>
          </w:tcPr>
          <w:p w14:paraId="68722C6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&lt;1%</w:t>
            </w:r>
          </w:p>
        </w:tc>
      </w:tr>
    </w:tbl>
    <w:p w14:paraId="2E7A84D9" w14:textId="77777777" w:rsidR="00764E2B" w:rsidRPr="00B151E1" w:rsidRDefault="00764E2B" w:rsidP="00764E2B">
      <w:pPr>
        <w:spacing w:after="0" w:line="300" w:lineRule="auto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  </w:t>
      </w:r>
    </w:p>
    <w:p w14:paraId="2D4747BC" w14:textId="77777777" w:rsidR="00764E2B" w:rsidRPr="00B151E1" w:rsidRDefault="00764E2B" w:rsidP="00764E2B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Supplemental Table 5. </w:t>
      </w:r>
      <w:r w:rsidRPr="00B151E1">
        <w:rPr>
          <w:rFonts w:ascii="Calibri" w:eastAsia="Calibri" w:hAnsi="Calibri" w:cs="Calibri"/>
          <w:color w:val="000000" w:themeColor="text1"/>
          <w:lang w:val="en-GB"/>
        </w:rPr>
        <w:t>Diagnostic performance using single cut-off approach defining borderline cases as AD</w:t>
      </w:r>
    </w:p>
    <w:tbl>
      <w:tblPr>
        <w:tblStyle w:val="Tabelrasterlich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677"/>
        <w:gridCol w:w="1617"/>
        <w:gridCol w:w="1620"/>
        <w:gridCol w:w="1440"/>
        <w:gridCol w:w="1702"/>
      </w:tblGrid>
      <w:tr w:rsidR="00764E2B" w:rsidRPr="00B151E1" w14:paraId="5134B47C" w14:textId="77777777" w:rsidTr="00560027">
        <w:trPr>
          <w:trHeight w:val="300"/>
        </w:trPr>
        <w:tc>
          <w:tcPr>
            <w:tcW w:w="279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2297B50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Parameter 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1090DE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AUC</w:t>
            </w:r>
          </w:p>
          <w:p w14:paraId="43667B5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(95%CI)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D972D3F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Optimal cut-off </w:t>
            </w:r>
          </w:p>
          <w:p w14:paraId="3BAFA5E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value (</w:t>
            </w: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pg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C7C447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Sensitivity</w:t>
            </w:r>
          </w:p>
          <w:p w14:paraId="265C6AB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7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277D41D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Specificity</w:t>
            </w:r>
          </w:p>
          <w:p w14:paraId="0A11354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(95% CI)</w:t>
            </w:r>
          </w:p>
        </w:tc>
      </w:tr>
      <w:tr w:rsidR="00764E2B" w:rsidRPr="00B151E1" w14:paraId="2A8271A4" w14:textId="77777777" w:rsidTr="00560027">
        <w:trPr>
          <w:trHeight w:val="300"/>
        </w:trPr>
        <w:tc>
          <w:tcPr>
            <w:tcW w:w="279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DFCE9E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p-Tau181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AA59870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0.867 (0.816-0.919)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DD5B49C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1.1550</w:t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A7EC027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78.2% (66.8-89.6%)</w:t>
            </w:r>
          </w:p>
        </w:tc>
        <w:tc>
          <w:tcPr>
            <w:tcW w:w="17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B9E7F3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86.9% (78.4-95.4%)</w:t>
            </w:r>
          </w:p>
        </w:tc>
      </w:tr>
      <w:tr w:rsidR="00764E2B" w:rsidRPr="00B151E1" w14:paraId="5F2E51CC" w14:textId="77777777" w:rsidTr="00560027">
        <w:trPr>
          <w:trHeight w:val="300"/>
        </w:trPr>
        <w:tc>
          <w:tcPr>
            <w:tcW w:w="279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94E573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Elecsys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D74295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0.891 (0.843-0.938)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C624146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0.405</w:t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06EF87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82.4% (71.9-92.9%)</w:t>
            </w:r>
          </w:p>
        </w:tc>
        <w:tc>
          <w:tcPr>
            <w:tcW w:w="17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C3EC59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91.6% (84.6-98.6%)</w:t>
            </w:r>
          </w:p>
        </w:tc>
      </w:tr>
      <w:tr w:rsidR="00764E2B" w:rsidRPr="00B151E1" w14:paraId="484B8D6C" w14:textId="77777777" w:rsidTr="00560027">
        <w:trPr>
          <w:trHeight w:val="300"/>
        </w:trPr>
        <w:tc>
          <w:tcPr>
            <w:tcW w:w="279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F04DE32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48CCEAE5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0.911 (0.868-0.953)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85C3F03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0.465</w:t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5EA3E8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76.5% (64.7-88.3%)</w:t>
            </w:r>
          </w:p>
        </w:tc>
        <w:tc>
          <w:tcPr>
            <w:tcW w:w="17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66E15EB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95.2% (89.8-100%)</w:t>
            </w:r>
          </w:p>
        </w:tc>
      </w:tr>
      <w:tr w:rsidR="00764E2B" w:rsidRPr="00B151E1" w14:paraId="378E0D71" w14:textId="77777777" w:rsidTr="00560027">
        <w:trPr>
          <w:trHeight w:val="300"/>
        </w:trPr>
        <w:tc>
          <w:tcPr>
            <w:tcW w:w="279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57D32CA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Lumipulse</w:t>
            </w:r>
            <w:proofErr w:type="spellEnd"/>
            <w:r w:rsidRPr="00B151E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p-tau217/Aβ42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F123EF4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0.931 (0.895-0.968)</w:t>
            </w:r>
          </w:p>
        </w:tc>
        <w:tc>
          <w:tcPr>
            <w:tcW w:w="168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A061318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0.0109</w:t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61774AE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83.2% (72.8-93.6%)</w:t>
            </w:r>
          </w:p>
        </w:tc>
        <w:tc>
          <w:tcPr>
            <w:tcW w:w="17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CE425E1" w14:textId="77777777" w:rsidR="00764E2B" w:rsidRPr="00B151E1" w:rsidRDefault="00764E2B" w:rsidP="0056002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B151E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92.4% (85.7-99.1%)</w:t>
            </w:r>
          </w:p>
        </w:tc>
      </w:tr>
    </w:tbl>
    <w:p w14:paraId="5FA686AF" w14:textId="77777777" w:rsidR="00764E2B" w:rsidRPr="00B151E1" w:rsidRDefault="00764E2B" w:rsidP="00764E2B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</w:p>
    <w:p w14:paraId="1289D13A" w14:textId="77777777" w:rsidR="00764E2B" w:rsidRPr="00B151E1" w:rsidRDefault="00764E2B" w:rsidP="00764E2B">
      <w:pPr>
        <w:spacing w:after="0" w:line="276" w:lineRule="auto"/>
        <w:rPr>
          <w:rFonts w:ascii="Calibri" w:eastAsia="Calibri" w:hAnsi="Calibri" w:cs="Calibri"/>
          <w:b/>
          <w:bCs/>
          <w:color w:val="000000" w:themeColor="text1"/>
          <w:lang w:val="en-GB"/>
        </w:rPr>
      </w:pPr>
    </w:p>
    <w:p w14:paraId="4C2C55E4" w14:textId="77777777" w:rsidR="00764E2B" w:rsidRPr="00B151E1" w:rsidRDefault="00764E2B" w:rsidP="00764E2B">
      <w:pPr>
        <w:spacing w:after="0" w:line="276" w:lineRule="auto"/>
        <w:rPr>
          <w:rFonts w:ascii="Calibri" w:eastAsia="Calibri" w:hAnsi="Calibri" w:cs="Calibri"/>
          <w:color w:val="000000" w:themeColor="text1"/>
          <w:lang w:val="en-GB"/>
        </w:rPr>
      </w:pPr>
      <w:r w:rsidRPr="00B151E1">
        <w:rPr>
          <w:rFonts w:ascii="Calibri" w:eastAsia="Calibri" w:hAnsi="Calibri" w:cs="Calibri"/>
          <w:b/>
          <w:bCs/>
          <w:color w:val="000000" w:themeColor="text1"/>
          <w:lang w:val="en-GB"/>
        </w:rPr>
        <w:t>Supplemental Figure 1.</w:t>
      </w:r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 Linearity of plasma p-tau181 and plasma p-tau217 using a patient specimen diluted according to the manufacturer’s instructions. The initial p-tau181 concentration was 2.16 </w:t>
      </w:r>
      <w:proofErr w:type="spellStart"/>
      <w:r w:rsidRPr="00B151E1">
        <w:rPr>
          <w:rFonts w:ascii="Calibri" w:eastAsia="Calibri" w:hAnsi="Calibri" w:cs="Calibri"/>
          <w:color w:val="000000" w:themeColor="text1"/>
          <w:lang w:val="en-GB"/>
        </w:rPr>
        <w:lastRenderedPageBreak/>
        <w:t>pg</w:t>
      </w:r>
      <w:proofErr w:type="spellEnd"/>
      <w:r w:rsidRPr="00B151E1">
        <w:rPr>
          <w:rFonts w:ascii="Calibri" w:eastAsia="Calibri" w:hAnsi="Calibri" w:cs="Calibri"/>
          <w:color w:val="000000" w:themeColor="text1"/>
          <w:lang w:val="en-GB"/>
        </w:rPr>
        <w:t xml:space="preserve">/mL (panel A) and the initial p-tau217 concentration was 1.09 </w:t>
      </w:r>
      <w:proofErr w:type="spellStart"/>
      <w:r w:rsidRPr="00B151E1">
        <w:rPr>
          <w:rFonts w:ascii="Calibri" w:eastAsia="Calibri" w:hAnsi="Calibri" w:cs="Calibri"/>
          <w:color w:val="000000" w:themeColor="text1"/>
          <w:lang w:val="en-GB"/>
        </w:rPr>
        <w:t>pg</w:t>
      </w:r>
      <w:proofErr w:type="spellEnd"/>
      <w:r w:rsidRPr="00B151E1">
        <w:rPr>
          <w:rFonts w:ascii="Calibri" w:eastAsia="Calibri" w:hAnsi="Calibri" w:cs="Calibri"/>
          <w:color w:val="000000" w:themeColor="text1"/>
          <w:lang w:val="en-GB"/>
        </w:rPr>
        <w:t>/mL (panel B). The dotted line represents the linear fitting line.</w:t>
      </w:r>
    </w:p>
    <w:p w14:paraId="5BE7F207" w14:textId="77777777" w:rsidR="00764E2B" w:rsidRPr="00B151E1" w:rsidRDefault="00764E2B" w:rsidP="00764E2B">
      <w:pPr>
        <w:spacing w:line="276" w:lineRule="auto"/>
        <w:rPr>
          <w:rFonts w:ascii="Calibri" w:eastAsiaTheme="minorEastAsia" w:hAnsi="Calibri" w:cs="Calibri"/>
          <w:lang w:val="en-GB"/>
        </w:rPr>
      </w:pPr>
    </w:p>
    <w:p w14:paraId="3FC0EFC9" w14:textId="6C3CED74" w:rsidR="00BE35DC" w:rsidRDefault="00764E2B" w:rsidP="00764E2B">
      <w:r w:rsidRPr="00B151E1">
        <w:rPr>
          <w:rFonts w:ascii="Calibri" w:eastAsiaTheme="minorEastAsia" w:hAnsi="Calibri" w:cs="Calibri"/>
          <w:noProof/>
          <w:lang w:val="en-GB"/>
        </w:rPr>
        <w:drawing>
          <wp:inline distT="0" distB="0" distL="0" distR="0" wp14:anchorId="786E5F18" wp14:editId="3D430166">
            <wp:extent cx="5760720" cy="2313940"/>
            <wp:effectExtent l="0" t="0" r="5080" b="0"/>
            <wp:docPr id="573803127" name="Afbeelding 1" descr="Afbeelding met lijn, diagram, Perceel, helling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45F75299-81CC-A86F-F01D-8B877BFC44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Afbeelding 1" descr="Afbeelding met lijn, diagram, Perceel, helling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45F75299-81CC-A86F-F01D-8B877BFC44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E35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542B2"/>
    <w:multiLevelType w:val="hybridMultilevel"/>
    <w:tmpl w:val="B9602C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26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2B"/>
    <w:rsid w:val="003020CF"/>
    <w:rsid w:val="003C28AE"/>
    <w:rsid w:val="00564227"/>
    <w:rsid w:val="0056537E"/>
    <w:rsid w:val="00650125"/>
    <w:rsid w:val="00764E2B"/>
    <w:rsid w:val="00BE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49271E"/>
  <w15:chartTrackingRefBased/>
  <w15:docId w15:val="{1351B033-E759-3446-A15A-D6CD5ABF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E2B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64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4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4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4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4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4E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4E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4E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4E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4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4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4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4E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4E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4E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4E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4E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4E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4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4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4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4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4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4E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4E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4E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4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4E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4E2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764E2B"/>
    <w:rPr>
      <w:kern w:val="0"/>
      <w:sz w:val="22"/>
      <w:szCs w:val="22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styleId="Tabelrasterlicht">
    <w:name w:val="Grid Table Light"/>
    <w:basedOn w:val="Standaardtabel"/>
    <w:uiPriority w:val="40"/>
    <w:rsid w:val="00764E2B"/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Jochen Titeca</dc:creator>
  <cp:keywords/>
  <dc:description/>
  <cp:lastModifiedBy>Jochen Titeca</cp:lastModifiedBy>
  <cp:revision>1</cp:revision>
  <dcterms:created xsi:type="dcterms:W3CDTF">2026-01-12T22:12:00Z</dcterms:created>
  <dcterms:modified xsi:type="dcterms:W3CDTF">2026-01-12T22:12:00Z</dcterms:modified>
</cp:coreProperties>
</file>