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C5130" w14:textId="38954AC0" w:rsidR="008C2280" w:rsidRDefault="00BE6C39" w:rsidP="00C7094D">
      <w:pPr>
        <w:jc w:val="center"/>
      </w:pPr>
      <w:r>
        <w:rPr>
          <w:noProof/>
        </w:rPr>
        <w:drawing>
          <wp:inline distT="0" distB="0" distL="0" distR="0" wp14:anchorId="3D894383" wp14:editId="2DDDBB1E">
            <wp:extent cx="5548979" cy="5518206"/>
            <wp:effectExtent l="0" t="0" r="0" b="635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203" cy="552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38AC9" w14:textId="41DEA49D" w:rsidR="001E666B" w:rsidRPr="00AC7BD6" w:rsidRDefault="00090820" w:rsidP="001E666B">
      <w:pPr>
        <w:jc w:val="left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 w:hint="eastAsia"/>
          <w:b/>
          <w:sz w:val="21"/>
          <w:szCs w:val="21"/>
        </w:rPr>
        <w:t>Fig.</w:t>
      </w:r>
      <w:r w:rsidR="00866D6C" w:rsidRPr="00AC7BD6">
        <w:rPr>
          <w:rFonts w:ascii="Times New Roman" w:hAnsi="Times New Roman" w:cs="Times New Roman"/>
          <w:b/>
          <w:sz w:val="21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sz w:val="21"/>
          <w:szCs w:val="21"/>
        </w:rPr>
        <w:t>S</w:t>
      </w:r>
      <w:r w:rsidR="00866D6C" w:rsidRPr="00AC7BD6">
        <w:rPr>
          <w:rFonts w:ascii="Times New Roman" w:hAnsi="Times New Roman" w:cs="Times New Roman"/>
          <w:b/>
          <w:sz w:val="21"/>
          <w:szCs w:val="21"/>
        </w:rPr>
        <w:t>1</w:t>
      </w:r>
      <w:proofErr w:type="spellEnd"/>
      <w:r w:rsidR="00866D6C" w:rsidRPr="00AC7BD6">
        <w:rPr>
          <w:rFonts w:ascii="Times New Roman" w:hAnsi="Times New Roman" w:cs="Times New Roman"/>
          <w:sz w:val="21"/>
          <w:szCs w:val="21"/>
        </w:rPr>
        <w:t xml:space="preserve"> </w:t>
      </w:r>
      <w:r w:rsidR="00676447" w:rsidRPr="00AC7BD6">
        <w:rPr>
          <w:rFonts w:ascii="Times New Roman" w:hAnsi="Times New Roman" w:cs="Times New Roman"/>
          <w:b/>
          <w:sz w:val="21"/>
          <w:szCs w:val="21"/>
        </w:rPr>
        <w:t xml:space="preserve">The </w:t>
      </w:r>
      <w:r w:rsidR="00B871C6">
        <w:rPr>
          <w:rFonts w:ascii="Times New Roman" w:hAnsi="Times New Roman" w:cs="Times New Roman" w:hint="eastAsia"/>
          <w:b/>
          <w:sz w:val="21"/>
          <w:szCs w:val="21"/>
        </w:rPr>
        <w:t>workflow</w:t>
      </w:r>
      <w:r w:rsidR="004B45E0" w:rsidRPr="00AC7BD6">
        <w:rPr>
          <w:rFonts w:ascii="Times New Roman" w:hAnsi="Times New Roman" w:cs="Times New Roman"/>
          <w:b/>
          <w:sz w:val="21"/>
          <w:szCs w:val="21"/>
        </w:rPr>
        <w:t xml:space="preserve"> of identifying AD risk genes</w:t>
      </w:r>
    </w:p>
    <w:p w14:paraId="2BF00D86" w14:textId="77777777" w:rsidR="004B45E0" w:rsidRPr="00AC7BD6" w:rsidRDefault="004B45E0" w:rsidP="001E666B">
      <w:pPr>
        <w:jc w:val="left"/>
        <w:rPr>
          <w:rFonts w:ascii="Times New Roman" w:hAnsi="Times New Roman" w:cs="Times New Roman"/>
          <w:sz w:val="21"/>
          <w:szCs w:val="21"/>
        </w:rPr>
      </w:pPr>
      <w:r w:rsidRPr="00AC7BD6">
        <w:rPr>
          <w:rFonts w:ascii="Times New Roman" w:hAnsi="Times New Roman" w:cs="Times New Roman"/>
          <w:sz w:val="21"/>
          <w:szCs w:val="21"/>
        </w:rPr>
        <w:t xml:space="preserve">The flowchart shows </w:t>
      </w:r>
      <w:r w:rsidR="00EA0DF3" w:rsidRPr="00AC7BD6">
        <w:rPr>
          <w:rFonts w:ascii="Times New Roman" w:hAnsi="Times New Roman" w:cs="Times New Roman"/>
          <w:sz w:val="21"/>
          <w:szCs w:val="21"/>
        </w:rPr>
        <w:t xml:space="preserve">the process of identifying </w:t>
      </w:r>
      <w:r w:rsidRPr="00AC7BD6">
        <w:rPr>
          <w:rFonts w:ascii="Times New Roman" w:hAnsi="Times New Roman" w:cs="Times New Roman"/>
          <w:sz w:val="21"/>
          <w:szCs w:val="21"/>
        </w:rPr>
        <w:t>AD risk genes in</w:t>
      </w:r>
      <w:r w:rsidR="00C42C5F">
        <w:rPr>
          <w:rFonts w:ascii="Times New Roman" w:hAnsi="Times New Roman" w:cs="Times New Roman"/>
          <w:sz w:val="21"/>
          <w:szCs w:val="21"/>
        </w:rPr>
        <w:t xml:space="preserve"> the</w:t>
      </w:r>
      <w:r w:rsidRPr="00AC7BD6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AC7BD6">
        <w:rPr>
          <w:rFonts w:ascii="Times New Roman" w:hAnsi="Times New Roman" w:cs="Times New Roman"/>
          <w:sz w:val="21"/>
          <w:szCs w:val="21"/>
        </w:rPr>
        <w:t>ADSP</w:t>
      </w:r>
      <w:proofErr w:type="spellEnd"/>
      <w:r w:rsidRPr="00AC7BD6">
        <w:rPr>
          <w:rFonts w:ascii="Times New Roman" w:hAnsi="Times New Roman" w:cs="Times New Roman"/>
          <w:sz w:val="21"/>
          <w:szCs w:val="21"/>
        </w:rPr>
        <w:t xml:space="preserve"> cohort. VCF, variant call format; </w:t>
      </w:r>
      <w:proofErr w:type="spellStart"/>
      <w:r w:rsidRPr="00AC7BD6">
        <w:rPr>
          <w:rFonts w:ascii="Times New Roman" w:hAnsi="Times New Roman" w:cs="Times New Roman"/>
          <w:sz w:val="21"/>
          <w:szCs w:val="21"/>
        </w:rPr>
        <w:t>pLOF</w:t>
      </w:r>
      <w:proofErr w:type="spellEnd"/>
      <w:r w:rsidRPr="00AC7BD6">
        <w:rPr>
          <w:rFonts w:ascii="Times New Roman" w:hAnsi="Times New Roman" w:cs="Times New Roman"/>
          <w:sz w:val="21"/>
          <w:szCs w:val="21"/>
        </w:rPr>
        <w:t>, putative loss-of-function; MAC, minor allele count; GVB, gene-wise variant burden; FDR, false discovery rate.</w:t>
      </w:r>
    </w:p>
    <w:p w14:paraId="3343929D" w14:textId="77777777" w:rsidR="00AC7BD6" w:rsidRDefault="00AC7BD6" w:rsidP="001E666B">
      <w:pPr>
        <w:jc w:val="left"/>
      </w:pPr>
    </w:p>
    <w:p w14:paraId="425C6F12" w14:textId="77777777" w:rsidR="00AC7BD6" w:rsidRDefault="00AC7BD6" w:rsidP="001E666B">
      <w:pPr>
        <w:jc w:val="left"/>
      </w:pPr>
    </w:p>
    <w:p w14:paraId="6F1DDDCD" w14:textId="77777777" w:rsidR="00AC7BD6" w:rsidRDefault="00AC7BD6" w:rsidP="001E666B">
      <w:pPr>
        <w:jc w:val="left"/>
      </w:pPr>
    </w:p>
    <w:p w14:paraId="67D300A0" w14:textId="77777777" w:rsidR="00AC7BD6" w:rsidRDefault="00AC7BD6" w:rsidP="001E666B">
      <w:pPr>
        <w:jc w:val="left"/>
      </w:pPr>
    </w:p>
    <w:p w14:paraId="2DF94CB2" w14:textId="77777777" w:rsidR="00C7094D" w:rsidRDefault="00C7094D" w:rsidP="001E666B">
      <w:pPr>
        <w:jc w:val="left"/>
      </w:pPr>
    </w:p>
    <w:p w14:paraId="178E6B2A" w14:textId="77777777" w:rsidR="00C7094D" w:rsidRDefault="00C7094D" w:rsidP="001E666B">
      <w:pPr>
        <w:jc w:val="left"/>
      </w:pPr>
    </w:p>
    <w:p w14:paraId="74F47B0F" w14:textId="66F1F468" w:rsidR="00C7094D" w:rsidRDefault="003950E5" w:rsidP="00C7094D">
      <w:pPr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64ABC627" wp14:editId="6B3A30FD">
            <wp:extent cx="5245100" cy="447675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1D3C0" w14:textId="12A0A1FE" w:rsidR="00C7094D" w:rsidRDefault="00C7094D" w:rsidP="00C7094D">
      <w:pPr>
        <w:jc w:val="left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 w:hint="eastAsia"/>
          <w:b/>
          <w:sz w:val="21"/>
          <w:szCs w:val="21"/>
        </w:rPr>
        <w:t>Fig.</w:t>
      </w:r>
      <w:r w:rsidRPr="00726164">
        <w:rPr>
          <w:rFonts w:ascii="Times New Roman" w:hAnsi="Times New Roman" w:cs="Times New Roman"/>
          <w:b/>
          <w:sz w:val="21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sz w:val="21"/>
          <w:szCs w:val="21"/>
        </w:rPr>
        <w:t>S2</w:t>
      </w:r>
      <w:proofErr w:type="spellEnd"/>
      <w:r w:rsidRPr="00726164">
        <w:rPr>
          <w:rFonts w:ascii="Times New Roman" w:hAnsi="Times New Roman" w:cs="Times New Roman"/>
          <w:b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sz w:val="21"/>
          <w:szCs w:val="21"/>
        </w:rPr>
        <w:t>The distribution of GVB</w:t>
      </w:r>
      <w:r w:rsidR="00B871C6">
        <w:rPr>
          <w:rFonts w:ascii="Times New Roman" w:hAnsi="Times New Roman" w:cs="Times New Roman" w:hint="eastAsia"/>
          <w:b/>
          <w:sz w:val="21"/>
          <w:szCs w:val="21"/>
        </w:rPr>
        <w:t xml:space="preserve"> value</w:t>
      </w:r>
      <w:r>
        <w:rPr>
          <w:rFonts w:ascii="Times New Roman" w:hAnsi="Times New Roman" w:cs="Times New Roman"/>
          <w:b/>
          <w:sz w:val="21"/>
          <w:szCs w:val="21"/>
        </w:rPr>
        <w:t>s and their association with AD onset</w:t>
      </w:r>
    </w:p>
    <w:p w14:paraId="46C55CC5" w14:textId="67F4B326" w:rsidR="00C7094D" w:rsidRPr="004D1C21" w:rsidRDefault="002F1F48" w:rsidP="00C7094D">
      <w:pPr>
        <w:jc w:val="left"/>
        <w:rPr>
          <w:rFonts w:ascii="Times New Roman" w:hAnsi="Times New Roman" w:cs="Times New Roman"/>
          <w:sz w:val="21"/>
          <w:szCs w:val="21"/>
        </w:rPr>
      </w:pPr>
      <w:r w:rsidRPr="002F1F48">
        <w:rPr>
          <w:rFonts w:ascii="Times New Roman" w:hAnsi="Times New Roman" w:cs="Times New Roman" w:hint="eastAsia"/>
          <w:b/>
          <w:bCs/>
          <w:sz w:val="21"/>
          <w:szCs w:val="21"/>
        </w:rPr>
        <w:t>A-B</w:t>
      </w:r>
      <w:r w:rsidR="00C7094D">
        <w:rPr>
          <w:rFonts w:ascii="Times New Roman" w:hAnsi="Times New Roman" w:cs="Times New Roman"/>
          <w:sz w:val="21"/>
          <w:szCs w:val="21"/>
        </w:rPr>
        <w:t xml:space="preserve"> </w:t>
      </w:r>
      <w:r w:rsidR="00C7094D" w:rsidRPr="004D1C21">
        <w:rPr>
          <w:rFonts w:ascii="Times New Roman" w:hAnsi="Times New Roman" w:cs="Times New Roman" w:hint="eastAsia"/>
          <w:sz w:val="21"/>
          <w:szCs w:val="21"/>
        </w:rPr>
        <w:t>T</w:t>
      </w:r>
      <w:r w:rsidR="00C7094D" w:rsidRPr="004D1C21">
        <w:rPr>
          <w:rFonts w:ascii="Times New Roman" w:hAnsi="Times New Roman" w:cs="Times New Roman"/>
          <w:sz w:val="21"/>
          <w:szCs w:val="21"/>
        </w:rPr>
        <w:t>he</w:t>
      </w:r>
      <w:r w:rsidR="00C7094D">
        <w:rPr>
          <w:rFonts w:ascii="Times New Roman" w:hAnsi="Times New Roman" w:cs="Times New Roman"/>
          <w:sz w:val="21"/>
          <w:szCs w:val="21"/>
        </w:rPr>
        <w:t xml:space="preserve"> distribution of all GVB values </w:t>
      </w:r>
      <w:r w:rsidR="00C7094D" w:rsidRPr="002F1F48">
        <w:rPr>
          <w:rFonts w:ascii="Times New Roman" w:hAnsi="Times New Roman" w:cs="Times New Roman"/>
          <w:b/>
          <w:bCs/>
          <w:sz w:val="21"/>
          <w:szCs w:val="21"/>
        </w:rPr>
        <w:t>(A)</w:t>
      </w:r>
      <w:r w:rsidR="00C7094D">
        <w:rPr>
          <w:rFonts w:ascii="Times New Roman" w:hAnsi="Times New Roman" w:cs="Times New Roman"/>
          <w:sz w:val="21"/>
          <w:szCs w:val="21"/>
        </w:rPr>
        <w:t xml:space="preserve"> and GVB values excluding 1 </w:t>
      </w:r>
      <w:r w:rsidR="00C7094D" w:rsidRPr="002F1F48">
        <w:rPr>
          <w:rFonts w:ascii="Times New Roman" w:hAnsi="Times New Roman" w:cs="Times New Roman"/>
          <w:b/>
          <w:bCs/>
          <w:sz w:val="21"/>
          <w:szCs w:val="21"/>
        </w:rPr>
        <w:t>(B)</w:t>
      </w:r>
      <w:r w:rsidR="00C7094D">
        <w:rPr>
          <w:rFonts w:ascii="Times New Roman" w:hAnsi="Times New Roman" w:cs="Times New Roman"/>
          <w:sz w:val="21"/>
          <w:szCs w:val="21"/>
        </w:rPr>
        <w:t xml:space="preserve"> in case and control groups. </w:t>
      </w:r>
      <w:r w:rsidRPr="002F1F48">
        <w:rPr>
          <w:rFonts w:ascii="Times New Roman" w:hAnsi="Times New Roman" w:cs="Times New Roman" w:hint="eastAsia"/>
          <w:b/>
          <w:bCs/>
          <w:sz w:val="21"/>
          <w:szCs w:val="21"/>
        </w:rPr>
        <w:t>C-D</w:t>
      </w:r>
      <w:r w:rsidR="00C7094D">
        <w:rPr>
          <w:rFonts w:ascii="Times New Roman" w:hAnsi="Times New Roman" w:cs="Times New Roman"/>
          <w:sz w:val="21"/>
          <w:szCs w:val="21"/>
        </w:rPr>
        <w:t xml:space="preserve"> Kaplan-Meier plots comparing AD-free probability between </w:t>
      </w:r>
      <w:r w:rsidR="00C7094D" w:rsidRPr="00240523">
        <w:rPr>
          <w:rFonts w:ascii="Times New Roman" w:hAnsi="Times New Roman" w:cs="Times New Roman"/>
          <w:sz w:val="21"/>
          <w:szCs w:val="21"/>
        </w:rPr>
        <w:t>high GVB (GVB ≥ 0.2)</w:t>
      </w:r>
      <w:r w:rsidR="00C7094D">
        <w:rPr>
          <w:rFonts w:ascii="Times New Roman" w:hAnsi="Times New Roman" w:cs="Times New Roman"/>
          <w:sz w:val="21"/>
          <w:szCs w:val="21"/>
        </w:rPr>
        <w:t xml:space="preserve"> and low GVB (GVB &lt; 0.2) groups for well-known AD risk genes, </w:t>
      </w:r>
      <w:r w:rsidR="00C7094D" w:rsidRPr="00240523">
        <w:rPr>
          <w:rFonts w:ascii="Times New Roman" w:hAnsi="Times New Roman" w:cs="Times New Roman"/>
          <w:i/>
          <w:sz w:val="21"/>
          <w:szCs w:val="21"/>
        </w:rPr>
        <w:t>APOE</w:t>
      </w:r>
      <w:r w:rsidR="00C7094D">
        <w:rPr>
          <w:rFonts w:ascii="Times New Roman" w:hAnsi="Times New Roman" w:cs="Times New Roman"/>
          <w:sz w:val="21"/>
          <w:szCs w:val="21"/>
        </w:rPr>
        <w:t xml:space="preserve"> </w:t>
      </w:r>
      <w:r w:rsidR="00C7094D" w:rsidRPr="002F1F48">
        <w:rPr>
          <w:rFonts w:ascii="Times New Roman" w:hAnsi="Times New Roman" w:cs="Times New Roman"/>
          <w:b/>
          <w:bCs/>
          <w:sz w:val="21"/>
          <w:szCs w:val="21"/>
        </w:rPr>
        <w:t>(C)</w:t>
      </w:r>
      <w:r w:rsidR="00C7094D">
        <w:rPr>
          <w:rFonts w:ascii="Times New Roman" w:hAnsi="Times New Roman" w:cs="Times New Roman"/>
          <w:sz w:val="21"/>
          <w:szCs w:val="21"/>
        </w:rPr>
        <w:t xml:space="preserve"> and </w:t>
      </w:r>
      <w:proofErr w:type="spellStart"/>
      <w:r w:rsidR="00C7094D" w:rsidRPr="00240523">
        <w:rPr>
          <w:rFonts w:ascii="Times New Roman" w:hAnsi="Times New Roman" w:cs="Times New Roman"/>
          <w:i/>
          <w:sz w:val="21"/>
          <w:szCs w:val="21"/>
        </w:rPr>
        <w:t>TREM2</w:t>
      </w:r>
      <w:proofErr w:type="spellEnd"/>
      <w:r w:rsidR="00C7094D">
        <w:rPr>
          <w:rFonts w:ascii="Times New Roman" w:hAnsi="Times New Roman" w:cs="Times New Roman"/>
          <w:sz w:val="21"/>
          <w:szCs w:val="21"/>
        </w:rPr>
        <w:t xml:space="preserve"> </w:t>
      </w:r>
      <w:r w:rsidR="00C7094D" w:rsidRPr="002F1F48">
        <w:rPr>
          <w:rFonts w:ascii="Times New Roman" w:hAnsi="Times New Roman" w:cs="Times New Roman"/>
          <w:b/>
          <w:bCs/>
          <w:sz w:val="21"/>
          <w:szCs w:val="21"/>
        </w:rPr>
        <w:t>(D)</w:t>
      </w:r>
      <w:r w:rsidR="00C7094D">
        <w:rPr>
          <w:rFonts w:ascii="Times New Roman" w:hAnsi="Times New Roman" w:cs="Times New Roman"/>
          <w:sz w:val="21"/>
          <w:szCs w:val="21"/>
        </w:rPr>
        <w:t>. Each group is annotated with (The number of AD patients in the group / The total number of individuals in the group). Cox proportional hazard regression</w:t>
      </w:r>
      <w:r w:rsidR="008548FF">
        <w:rPr>
          <w:rFonts w:ascii="Times New Roman" w:hAnsi="Times New Roman" w:cs="Times New Roman" w:hint="eastAsia"/>
          <w:sz w:val="21"/>
          <w:szCs w:val="21"/>
        </w:rPr>
        <w:t xml:space="preserve"> adjusting for sex, sequencing center and the top 10 PCs</w:t>
      </w:r>
      <w:r w:rsidR="00C7094D">
        <w:rPr>
          <w:rFonts w:ascii="Times New Roman" w:hAnsi="Times New Roman" w:cs="Times New Roman"/>
          <w:sz w:val="21"/>
          <w:szCs w:val="21"/>
        </w:rPr>
        <w:t xml:space="preserve"> was used to obtain the HR and the p-value.</w:t>
      </w:r>
    </w:p>
    <w:p w14:paraId="57FF372C" w14:textId="77777777" w:rsidR="00C7094D" w:rsidRPr="00C7094D" w:rsidRDefault="00C7094D" w:rsidP="001E666B">
      <w:pPr>
        <w:jc w:val="left"/>
      </w:pPr>
    </w:p>
    <w:p w14:paraId="24CBDD68" w14:textId="45B6C7FF" w:rsidR="00AC7BD6" w:rsidRDefault="00DB6261" w:rsidP="00AC7BD6">
      <w:pPr>
        <w:jc w:val="center"/>
      </w:pPr>
      <w:r>
        <w:rPr>
          <w:noProof/>
        </w:rPr>
        <w:lastRenderedPageBreak/>
        <w:drawing>
          <wp:inline distT="0" distB="0" distL="0" distR="0" wp14:anchorId="243589B9" wp14:editId="3650B98E">
            <wp:extent cx="5669280" cy="5669280"/>
            <wp:effectExtent l="0" t="0" r="7620" b="762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591" cy="567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9AC1C" w14:textId="28C8F931" w:rsidR="00C42C5F" w:rsidRDefault="00EE428D" w:rsidP="00C42C5F">
      <w:pPr>
        <w:jc w:val="left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 w:hint="eastAsia"/>
          <w:b/>
          <w:sz w:val="21"/>
          <w:szCs w:val="21"/>
        </w:rPr>
        <w:t>Fig</w:t>
      </w:r>
      <w:r w:rsidR="00C42C5F" w:rsidRPr="00AC7BD6">
        <w:rPr>
          <w:rFonts w:ascii="Times New Roman" w:hAnsi="Times New Roman" w:cs="Times New Roman"/>
          <w:b/>
          <w:sz w:val="21"/>
          <w:szCs w:val="21"/>
        </w:rPr>
        <w:t>.</w:t>
      </w:r>
      <w:r>
        <w:rPr>
          <w:rFonts w:ascii="Times New Roman" w:hAnsi="Times New Roman" w:cs="Times New Roman" w:hint="eastAsia"/>
          <w:b/>
          <w:sz w:val="21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sz w:val="21"/>
          <w:szCs w:val="21"/>
        </w:rPr>
        <w:t>S</w:t>
      </w:r>
      <w:r w:rsidR="00C7094D">
        <w:rPr>
          <w:rFonts w:ascii="Times New Roman" w:hAnsi="Times New Roman" w:cs="Times New Roman" w:hint="eastAsia"/>
          <w:b/>
          <w:sz w:val="21"/>
          <w:szCs w:val="21"/>
        </w:rPr>
        <w:t>3</w:t>
      </w:r>
      <w:proofErr w:type="spellEnd"/>
      <w:r w:rsidR="00C42C5F" w:rsidRPr="00AC7BD6">
        <w:rPr>
          <w:rFonts w:ascii="Times New Roman" w:hAnsi="Times New Roman" w:cs="Times New Roman"/>
          <w:sz w:val="21"/>
          <w:szCs w:val="21"/>
        </w:rPr>
        <w:t xml:space="preserve"> </w:t>
      </w:r>
      <w:r w:rsidR="00C42C5F">
        <w:rPr>
          <w:rFonts w:ascii="Times New Roman" w:hAnsi="Times New Roman" w:cs="Times New Roman"/>
          <w:b/>
          <w:sz w:val="21"/>
          <w:szCs w:val="21"/>
        </w:rPr>
        <w:t xml:space="preserve">GVB analysis results in the </w:t>
      </w:r>
      <w:proofErr w:type="spellStart"/>
      <w:r w:rsidR="00C42C5F">
        <w:rPr>
          <w:rFonts w:ascii="Times New Roman" w:hAnsi="Times New Roman" w:cs="Times New Roman"/>
          <w:b/>
          <w:sz w:val="21"/>
          <w:szCs w:val="21"/>
        </w:rPr>
        <w:t>ADSP</w:t>
      </w:r>
      <w:proofErr w:type="spellEnd"/>
      <w:r w:rsidR="00C42C5F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917737">
        <w:rPr>
          <w:rFonts w:ascii="Times New Roman" w:hAnsi="Times New Roman" w:cs="Times New Roman"/>
          <w:b/>
          <w:sz w:val="21"/>
          <w:szCs w:val="21"/>
        </w:rPr>
        <w:t>cohort</w:t>
      </w:r>
    </w:p>
    <w:p w14:paraId="128EBCFF" w14:textId="1E444F63" w:rsidR="002B28A9" w:rsidRDefault="00C42C5F" w:rsidP="00C42C5F">
      <w:pPr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</w:rPr>
        <w:t>T</w:t>
      </w:r>
      <w:r>
        <w:rPr>
          <w:rFonts w:ascii="Times New Roman" w:hAnsi="Times New Roman" w:cs="Times New Roman"/>
          <w:sz w:val="21"/>
          <w:szCs w:val="21"/>
        </w:rPr>
        <w:t>he boxplots show the distribution of GVB values for genes identified by GVB analysis</w:t>
      </w:r>
      <w:r w:rsidR="00917737">
        <w:rPr>
          <w:rFonts w:ascii="Times New Roman" w:hAnsi="Times New Roman" w:cs="Times New Roman"/>
          <w:sz w:val="21"/>
          <w:szCs w:val="21"/>
        </w:rPr>
        <w:t xml:space="preserve">. Black dots represent the mean of GVB in each group. P-values are obtained from </w:t>
      </w:r>
      <w:r w:rsidR="00AC3221">
        <w:rPr>
          <w:rFonts w:ascii="Times New Roman" w:hAnsi="Times New Roman" w:cs="Times New Roman" w:hint="eastAsia"/>
          <w:sz w:val="21"/>
          <w:szCs w:val="21"/>
        </w:rPr>
        <w:t>multivariable logistic regression</w:t>
      </w:r>
      <w:r w:rsidR="00C83F4C">
        <w:rPr>
          <w:rFonts w:ascii="Times New Roman" w:hAnsi="Times New Roman" w:cs="Times New Roman"/>
          <w:sz w:val="21"/>
          <w:szCs w:val="21"/>
        </w:rPr>
        <w:t>.</w:t>
      </w:r>
      <w:r w:rsidR="0091773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8F542A1" w14:textId="7E8E9737" w:rsidR="002B28A9" w:rsidRPr="004A3A6B" w:rsidRDefault="00AD02EA" w:rsidP="004A3A6B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344AA778" wp14:editId="6391979E">
            <wp:extent cx="5464800" cy="5464800"/>
            <wp:effectExtent l="0" t="0" r="3175" b="3175"/>
            <wp:docPr id="165441541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800" cy="54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9D29C" w14:textId="1D61B341" w:rsidR="00AC7BD6" w:rsidRDefault="009A60DB" w:rsidP="004A3A6B">
      <w:pPr>
        <w:jc w:val="left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 w:hint="eastAsia"/>
          <w:b/>
          <w:sz w:val="21"/>
          <w:szCs w:val="21"/>
        </w:rPr>
        <w:t>Fig</w:t>
      </w:r>
      <w:r w:rsidR="004A3A6B" w:rsidRPr="00726164">
        <w:rPr>
          <w:rFonts w:ascii="Times New Roman" w:hAnsi="Times New Roman" w:cs="Times New Roman"/>
          <w:b/>
          <w:sz w:val="21"/>
          <w:szCs w:val="21"/>
        </w:rPr>
        <w:t>.</w:t>
      </w:r>
      <w:r>
        <w:rPr>
          <w:rFonts w:ascii="Times New Roman" w:hAnsi="Times New Roman" w:cs="Times New Roman" w:hint="eastAsia"/>
          <w:b/>
          <w:sz w:val="21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sz w:val="21"/>
          <w:szCs w:val="21"/>
        </w:rPr>
        <w:t>S</w:t>
      </w:r>
      <w:r w:rsidR="00C7094D">
        <w:rPr>
          <w:rFonts w:ascii="Times New Roman" w:hAnsi="Times New Roman" w:cs="Times New Roman" w:hint="eastAsia"/>
          <w:b/>
          <w:sz w:val="21"/>
          <w:szCs w:val="21"/>
        </w:rPr>
        <w:t>4</w:t>
      </w:r>
      <w:proofErr w:type="spellEnd"/>
      <w:r w:rsidR="004A3A6B" w:rsidRPr="0072616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726164" w:rsidRPr="00726164">
        <w:rPr>
          <w:rFonts w:ascii="Times New Roman" w:hAnsi="Times New Roman" w:cs="Times New Roman"/>
          <w:b/>
          <w:sz w:val="21"/>
          <w:szCs w:val="21"/>
        </w:rPr>
        <w:t>The molecular genetic features of AD risk genes identified by two different methods</w:t>
      </w:r>
    </w:p>
    <w:p w14:paraId="47E18662" w14:textId="6B0C292B" w:rsidR="00726164" w:rsidRDefault="009625BE" w:rsidP="004A3A6B">
      <w:pPr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</w:rPr>
        <w:t>Boxplots comparing</w:t>
      </w:r>
      <w:r w:rsidR="00726164">
        <w:rPr>
          <w:rFonts w:ascii="Times New Roman" w:hAnsi="Times New Roman" w:cs="Times New Roman"/>
          <w:sz w:val="21"/>
          <w:szCs w:val="21"/>
        </w:rPr>
        <w:t xml:space="preserve"> the molecular genetic features of genes identified</w:t>
      </w:r>
      <w:r>
        <w:rPr>
          <w:rFonts w:ascii="Times New Roman" w:hAnsi="Times New Roman" w:cs="Times New Roman" w:hint="eastAsia"/>
          <w:sz w:val="21"/>
          <w:szCs w:val="21"/>
        </w:rPr>
        <w:t xml:space="preserve"> exclusively</w:t>
      </w:r>
      <w:r w:rsidR="00726164">
        <w:rPr>
          <w:rFonts w:ascii="Times New Roman" w:hAnsi="Times New Roman" w:cs="Times New Roman"/>
          <w:sz w:val="21"/>
          <w:szCs w:val="21"/>
        </w:rPr>
        <w:t xml:space="preserve"> by single</w:t>
      </w:r>
      <w:r>
        <w:rPr>
          <w:rFonts w:ascii="Times New Roman" w:hAnsi="Times New Roman" w:cs="Times New Roman" w:hint="eastAsia"/>
          <w:sz w:val="21"/>
          <w:szCs w:val="21"/>
        </w:rPr>
        <w:t>-</w:t>
      </w:r>
      <w:r w:rsidR="00726164">
        <w:rPr>
          <w:rFonts w:ascii="Times New Roman" w:hAnsi="Times New Roman" w:cs="Times New Roman"/>
          <w:sz w:val="21"/>
          <w:szCs w:val="21"/>
        </w:rPr>
        <w:t>variant analysis (</w:t>
      </w:r>
      <w:r>
        <w:rPr>
          <w:rFonts w:ascii="Times New Roman" w:hAnsi="Times New Roman" w:cs="Times New Roman" w:hint="eastAsia"/>
          <w:sz w:val="21"/>
          <w:szCs w:val="21"/>
        </w:rPr>
        <w:t xml:space="preserve">SV-only, </w:t>
      </w:r>
      <w:r w:rsidR="00726164">
        <w:rPr>
          <w:rFonts w:ascii="Times New Roman" w:hAnsi="Times New Roman" w:cs="Times New Roman"/>
          <w:sz w:val="21"/>
          <w:szCs w:val="21"/>
        </w:rPr>
        <w:t>red) and</w:t>
      </w:r>
      <w:r w:rsidR="006D6AFF">
        <w:rPr>
          <w:rFonts w:ascii="Times New Roman" w:hAnsi="Times New Roman" w:cs="Times New Roman" w:hint="eastAsia"/>
          <w:sz w:val="21"/>
          <w:szCs w:val="21"/>
        </w:rPr>
        <w:t xml:space="preserve"> genes identified by both single-variant and</w:t>
      </w:r>
      <w:r w:rsidR="00726164">
        <w:rPr>
          <w:rFonts w:ascii="Times New Roman" w:hAnsi="Times New Roman" w:cs="Times New Roman"/>
          <w:sz w:val="21"/>
          <w:szCs w:val="21"/>
        </w:rPr>
        <w:t xml:space="preserve"> GVB analys</w:t>
      </w:r>
      <w:r w:rsidR="006D6AFF">
        <w:rPr>
          <w:rFonts w:ascii="Times New Roman" w:hAnsi="Times New Roman" w:cs="Times New Roman" w:hint="eastAsia"/>
          <w:sz w:val="21"/>
          <w:szCs w:val="21"/>
        </w:rPr>
        <w:t>e</w:t>
      </w:r>
      <w:r w:rsidR="00726164">
        <w:rPr>
          <w:rFonts w:ascii="Times New Roman" w:hAnsi="Times New Roman" w:cs="Times New Roman"/>
          <w:sz w:val="21"/>
          <w:szCs w:val="21"/>
        </w:rPr>
        <w:t>s (</w:t>
      </w:r>
      <w:r w:rsidR="006D6AFF">
        <w:rPr>
          <w:rFonts w:ascii="Times New Roman" w:hAnsi="Times New Roman" w:cs="Times New Roman" w:hint="eastAsia"/>
          <w:sz w:val="21"/>
          <w:szCs w:val="21"/>
        </w:rPr>
        <w:t xml:space="preserve">Both, </w:t>
      </w:r>
      <w:r w:rsidR="00726164">
        <w:rPr>
          <w:rFonts w:ascii="Times New Roman" w:hAnsi="Times New Roman" w:cs="Times New Roman"/>
          <w:sz w:val="21"/>
          <w:szCs w:val="21"/>
        </w:rPr>
        <w:t>blue). Four features indicating gene essentiality are shown:</w:t>
      </w:r>
      <w:r w:rsidR="001F74FE">
        <w:rPr>
          <w:rFonts w:ascii="Times New Roman" w:hAnsi="Times New Roman" w:cs="Times New Roman" w:hint="eastAsia"/>
          <w:sz w:val="21"/>
          <w:szCs w:val="21"/>
        </w:rPr>
        <w:t xml:space="preserve"> CDS length</w:t>
      </w:r>
      <w:r w:rsidR="00726164">
        <w:rPr>
          <w:rFonts w:ascii="Times New Roman" w:hAnsi="Times New Roman" w:cs="Times New Roman"/>
          <w:sz w:val="21"/>
          <w:szCs w:val="21"/>
        </w:rPr>
        <w:t xml:space="preserve"> (top left), </w:t>
      </w:r>
      <w:proofErr w:type="spellStart"/>
      <w:r w:rsidR="00726164">
        <w:rPr>
          <w:rFonts w:ascii="Times New Roman" w:hAnsi="Times New Roman" w:cs="Times New Roman"/>
          <w:sz w:val="21"/>
          <w:szCs w:val="21"/>
        </w:rPr>
        <w:t>pLI</w:t>
      </w:r>
      <w:proofErr w:type="spellEnd"/>
      <w:r w:rsidR="00726164">
        <w:rPr>
          <w:rFonts w:ascii="Times New Roman" w:hAnsi="Times New Roman" w:cs="Times New Roman"/>
          <w:sz w:val="21"/>
          <w:szCs w:val="21"/>
        </w:rPr>
        <w:t xml:space="preserve"> score (top right), PPI degree (bottom left), and</w:t>
      </w:r>
      <w:r w:rsidR="001F74FE">
        <w:rPr>
          <w:rFonts w:ascii="Times New Roman" w:hAnsi="Times New Roman" w:cs="Times New Roman" w:hint="eastAsia"/>
          <w:sz w:val="21"/>
          <w:szCs w:val="21"/>
        </w:rPr>
        <w:t xml:space="preserve"> Tau</w:t>
      </w:r>
      <w:r w:rsidR="00726164">
        <w:rPr>
          <w:rFonts w:ascii="Times New Roman" w:hAnsi="Times New Roman" w:cs="Times New Roman"/>
          <w:sz w:val="21"/>
          <w:szCs w:val="21"/>
        </w:rPr>
        <w:t xml:space="preserve"> (bottom right).</w:t>
      </w:r>
      <w:r w:rsidR="001F74FE">
        <w:rPr>
          <w:rFonts w:ascii="Times New Roman" w:hAnsi="Times New Roman" w:cs="Times New Roman" w:hint="eastAsia"/>
          <w:sz w:val="21"/>
          <w:szCs w:val="21"/>
        </w:rPr>
        <w:t xml:space="preserve"> P-values were calculated using the Wilcoxon rank-sum test.</w:t>
      </w:r>
    </w:p>
    <w:p w14:paraId="31ED4408" w14:textId="77777777" w:rsidR="000151D4" w:rsidRDefault="000151D4" w:rsidP="004A3A6B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7657A5FE" w14:textId="77777777" w:rsidR="000151D4" w:rsidRDefault="000151D4" w:rsidP="004A3A6B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15687508" w14:textId="77777777" w:rsidR="005126EE" w:rsidRDefault="005126EE" w:rsidP="004A3A6B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3B1DB055" w14:textId="435A7779" w:rsidR="005126EE" w:rsidRDefault="00881904" w:rsidP="001D647C">
      <w:pPr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105E1D78" wp14:editId="4D88A43C">
            <wp:extent cx="5725160" cy="8174990"/>
            <wp:effectExtent l="0" t="0" r="8890" b="0"/>
            <wp:docPr id="19889188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1063" w14:textId="1D125CCE" w:rsidR="008073EF" w:rsidRPr="002A29C5" w:rsidRDefault="008073EF" w:rsidP="00FA46D5">
      <w:pPr>
        <w:jc w:val="left"/>
        <w:rPr>
          <w:rFonts w:ascii="Times New Roman" w:hAnsi="Times New Roman" w:cs="Times New Roman"/>
          <w:bCs/>
          <w:sz w:val="21"/>
          <w:szCs w:val="21"/>
        </w:rPr>
      </w:pPr>
      <w:r w:rsidRPr="008073EF">
        <w:rPr>
          <w:rFonts w:ascii="Times New Roman" w:hAnsi="Times New Roman" w:cs="Times New Roman" w:hint="eastAsia"/>
          <w:bCs/>
          <w:sz w:val="21"/>
          <w:szCs w:val="21"/>
        </w:rPr>
        <w:t>(</w:t>
      </w:r>
      <w:r>
        <w:rPr>
          <w:rFonts w:ascii="Times New Roman" w:hAnsi="Times New Roman" w:cs="Times New Roman" w:hint="eastAsia"/>
          <w:bCs/>
          <w:sz w:val="21"/>
          <w:szCs w:val="21"/>
        </w:rPr>
        <w:t>Continued on next page)</w:t>
      </w:r>
      <w:r w:rsidR="00881904">
        <w:rPr>
          <w:rFonts w:ascii="Times New Roman" w:hAnsi="Times New Roman" w:cs="Times New Roman" w:hint="eastAsia"/>
          <w:bCs/>
          <w:noProof/>
          <w:sz w:val="21"/>
          <w:szCs w:val="21"/>
        </w:rPr>
        <w:lastRenderedPageBreak/>
        <w:drawing>
          <wp:inline distT="0" distB="0" distL="0" distR="0" wp14:anchorId="6C0170FA" wp14:editId="6D5769F4">
            <wp:extent cx="5725160" cy="6537325"/>
            <wp:effectExtent l="0" t="0" r="8890" b="0"/>
            <wp:docPr id="53914057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653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E86FB" w14:textId="3DFFF854" w:rsidR="00FA46D5" w:rsidRDefault="00757509" w:rsidP="00FA46D5">
      <w:pPr>
        <w:jc w:val="left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 w:hint="eastAsia"/>
          <w:b/>
          <w:sz w:val="21"/>
          <w:szCs w:val="21"/>
        </w:rPr>
        <w:t>Fig.</w:t>
      </w:r>
      <w:r w:rsidR="00FA46D5" w:rsidRPr="00726164">
        <w:rPr>
          <w:rFonts w:ascii="Times New Roman" w:hAnsi="Times New Roman" w:cs="Times New Roman"/>
          <w:b/>
          <w:sz w:val="21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sz w:val="21"/>
          <w:szCs w:val="21"/>
        </w:rPr>
        <w:t>S</w:t>
      </w:r>
      <w:r w:rsidR="00FA46D5">
        <w:rPr>
          <w:rFonts w:ascii="Times New Roman" w:hAnsi="Times New Roman" w:cs="Times New Roman" w:hint="eastAsia"/>
          <w:b/>
          <w:sz w:val="21"/>
          <w:szCs w:val="21"/>
        </w:rPr>
        <w:t>5</w:t>
      </w:r>
      <w:proofErr w:type="spellEnd"/>
      <w:r w:rsidR="00FA46D5" w:rsidRPr="0072616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FA46D5">
        <w:rPr>
          <w:rFonts w:ascii="Times New Roman" w:hAnsi="Times New Roman" w:cs="Times New Roman" w:hint="eastAsia"/>
          <w:b/>
          <w:sz w:val="21"/>
          <w:szCs w:val="21"/>
        </w:rPr>
        <w:t xml:space="preserve">Age of onset analysis-significant SR </w:t>
      </w:r>
      <w:r w:rsidR="0017169E">
        <w:rPr>
          <w:rFonts w:ascii="Times New Roman" w:hAnsi="Times New Roman" w:cs="Times New Roman" w:hint="eastAsia"/>
          <w:b/>
          <w:sz w:val="21"/>
          <w:szCs w:val="21"/>
        </w:rPr>
        <w:t xml:space="preserve">gene </w:t>
      </w:r>
      <w:r w:rsidR="00FA46D5">
        <w:rPr>
          <w:rFonts w:ascii="Times New Roman" w:hAnsi="Times New Roman" w:cs="Times New Roman" w:hint="eastAsia"/>
          <w:b/>
          <w:sz w:val="21"/>
          <w:szCs w:val="21"/>
        </w:rPr>
        <w:t>pairs</w:t>
      </w:r>
    </w:p>
    <w:p w14:paraId="57BF5C7D" w14:textId="4F43DA31" w:rsidR="00881B86" w:rsidRDefault="00FA46D5" w:rsidP="004A3A6B">
      <w:pPr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 w:hint="eastAsia"/>
          <w:sz w:val="21"/>
          <w:szCs w:val="21"/>
        </w:rPr>
        <w:t xml:space="preserve">Kaplan-Meier plots </w:t>
      </w:r>
      <w:r w:rsidR="0017169E">
        <w:rPr>
          <w:rFonts w:ascii="Times New Roman" w:hAnsi="Times New Roman" w:cs="Times New Roman" w:hint="eastAsia"/>
          <w:sz w:val="21"/>
          <w:szCs w:val="21"/>
        </w:rPr>
        <w:t xml:space="preserve">showing </w:t>
      </w:r>
      <w:r w:rsidR="00BB6817">
        <w:rPr>
          <w:rFonts w:ascii="Times New Roman" w:hAnsi="Times New Roman" w:cs="Times New Roman" w:hint="eastAsia"/>
          <w:sz w:val="21"/>
          <w:szCs w:val="21"/>
        </w:rPr>
        <w:t>27</w:t>
      </w:r>
      <w:r w:rsidR="0017169E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6851A1">
        <w:rPr>
          <w:rFonts w:ascii="Times New Roman" w:hAnsi="Times New Roman" w:cs="Times New Roman" w:hint="eastAsia"/>
          <w:sz w:val="21"/>
          <w:szCs w:val="21"/>
        </w:rPr>
        <w:t>SR gene pairs that were significant (</w:t>
      </w:r>
      <w:r w:rsidR="004163E6">
        <w:rPr>
          <w:rFonts w:ascii="Times New Roman" w:hAnsi="Times New Roman" w:cs="Times New Roman" w:hint="eastAsia"/>
          <w:sz w:val="21"/>
          <w:szCs w:val="21"/>
        </w:rPr>
        <w:t xml:space="preserve">HR &lt; 1, </w:t>
      </w:r>
      <w:r w:rsidR="00BB6817">
        <w:rPr>
          <w:rFonts w:ascii="Times New Roman" w:hAnsi="Times New Roman" w:cs="Times New Roman" w:hint="eastAsia"/>
          <w:sz w:val="21"/>
          <w:szCs w:val="21"/>
        </w:rPr>
        <w:t>FDR</w:t>
      </w:r>
      <w:r w:rsidR="006851A1">
        <w:rPr>
          <w:rFonts w:ascii="Times New Roman" w:hAnsi="Times New Roman" w:cs="Times New Roman" w:hint="eastAsia"/>
          <w:sz w:val="21"/>
          <w:szCs w:val="21"/>
        </w:rPr>
        <w:t xml:space="preserve"> &lt; 0.05) in age of onset analysis.</w:t>
      </w:r>
      <w:r w:rsidR="001045F0">
        <w:rPr>
          <w:rFonts w:ascii="Times New Roman" w:hAnsi="Times New Roman" w:cs="Times New Roman" w:hint="eastAsia"/>
          <w:sz w:val="21"/>
          <w:szCs w:val="21"/>
        </w:rPr>
        <w:t xml:space="preserve"> Cox proportional hazards regression was used to obtain the HRs and the p-values.</w:t>
      </w:r>
      <w:r w:rsidR="00C56CE6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C56CE6" w:rsidRPr="00C56CE6">
        <w:rPr>
          <w:rFonts w:ascii="Times New Roman" w:hAnsi="Times New Roman" w:cs="Times New Roman"/>
          <w:sz w:val="21"/>
          <w:szCs w:val="21"/>
        </w:rPr>
        <w:t xml:space="preserve">Each group is annotated with (The number of AD patients in the group / The total number of individuals in the group). </w:t>
      </w:r>
      <w:r w:rsidR="006851A1">
        <w:rPr>
          <w:rFonts w:ascii="Times New Roman" w:hAnsi="Times New Roman" w:cs="Times New Roman" w:hint="eastAsia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sz w:val="21"/>
          <w:szCs w:val="21"/>
        </w:rPr>
        <w:t xml:space="preserve"> </w:t>
      </w:r>
    </w:p>
    <w:p w14:paraId="634BFC14" w14:textId="69A499AE" w:rsidR="00881B86" w:rsidRDefault="002F2B0E" w:rsidP="00475CC2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41B5177D" wp14:editId="6AA8851F">
            <wp:extent cx="5727700" cy="3562985"/>
            <wp:effectExtent l="0" t="0" r="6350" b="0"/>
            <wp:docPr id="111468284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26ED8" w14:textId="7642FC59" w:rsidR="003311DE" w:rsidRDefault="00DD477C" w:rsidP="003311DE">
      <w:pPr>
        <w:jc w:val="left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 w:hint="eastAsia"/>
          <w:b/>
          <w:sz w:val="21"/>
          <w:szCs w:val="21"/>
        </w:rPr>
        <w:t>Fig.</w:t>
      </w:r>
      <w:r w:rsidR="003311DE" w:rsidRPr="00726164">
        <w:rPr>
          <w:rFonts w:ascii="Times New Roman" w:hAnsi="Times New Roman" w:cs="Times New Roman"/>
          <w:b/>
          <w:sz w:val="21"/>
          <w:szCs w:val="21"/>
        </w:rPr>
        <w:t xml:space="preserve"> </w:t>
      </w:r>
      <w:proofErr w:type="spellStart"/>
      <w:r>
        <w:rPr>
          <w:rFonts w:ascii="Times New Roman" w:hAnsi="Times New Roman" w:cs="Times New Roman" w:hint="eastAsia"/>
          <w:b/>
          <w:sz w:val="21"/>
          <w:szCs w:val="21"/>
        </w:rPr>
        <w:t>S</w:t>
      </w:r>
      <w:r w:rsidR="005126EE">
        <w:rPr>
          <w:rFonts w:ascii="Times New Roman" w:hAnsi="Times New Roman" w:cs="Times New Roman" w:hint="eastAsia"/>
          <w:b/>
          <w:sz w:val="21"/>
          <w:szCs w:val="21"/>
        </w:rPr>
        <w:t>6</w:t>
      </w:r>
      <w:proofErr w:type="spellEnd"/>
      <w:r w:rsidR="003311DE" w:rsidRPr="0072616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E46B69">
        <w:rPr>
          <w:rFonts w:ascii="Times New Roman" w:hAnsi="Times New Roman" w:cs="Times New Roman"/>
          <w:b/>
          <w:sz w:val="21"/>
          <w:szCs w:val="21"/>
        </w:rPr>
        <w:t xml:space="preserve">Additive effect of rescuer genes </w:t>
      </w:r>
      <w:r w:rsidR="00475CC2">
        <w:rPr>
          <w:rFonts w:ascii="Times New Roman" w:hAnsi="Times New Roman" w:cs="Times New Roman"/>
          <w:b/>
          <w:sz w:val="21"/>
          <w:szCs w:val="21"/>
        </w:rPr>
        <w:t xml:space="preserve">on AD </w:t>
      </w:r>
      <w:r w:rsidR="00D24EB2">
        <w:rPr>
          <w:rFonts w:ascii="Times New Roman" w:hAnsi="Times New Roman" w:cs="Times New Roman"/>
          <w:b/>
          <w:sz w:val="21"/>
          <w:szCs w:val="21"/>
        </w:rPr>
        <w:t>onset</w:t>
      </w:r>
      <w:r w:rsidR="00475CC2">
        <w:rPr>
          <w:rFonts w:ascii="Times New Roman" w:hAnsi="Times New Roman" w:cs="Times New Roman"/>
          <w:b/>
          <w:sz w:val="21"/>
          <w:szCs w:val="21"/>
        </w:rPr>
        <w:t xml:space="preserve"> in</w:t>
      </w:r>
      <w:r w:rsidR="00E46B69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E46B69" w:rsidRPr="00E46B69">
        <w:rPr>
          <w:rFonts w:ascii="Times New Roman" w:hAnsi="Times New Roman" w:cs="Times New Roman"/>
          <w:b/>
          <w:i/>
          <w:sz w:val="21"/>
          <w:szCs w:val="21"/>
        </w:rPr>
        <w:t>APOE</w:t>
      </w:r>
      <w:r w:rsidR="009234C9" w:rsidRPr="009234C9">
        <w:rPr>
          <w:rFonts w:ascii="Times New Roman" w:hAnsi="Times New Roman" w:cs="Times New Roman"/>
          <w:b/>
          <w:sz w:val="21"/>
          <w:szCs w:val="21"/>
        </w:rPr>
        <w:t>-</w:t>
      </w:r>
      <w:r w:rsidR="00475CC2" w:rsidRPr="00475CC2">
        <w:rPr>
          <w:rFonts w:ascii="Times New Roman" w:hAnsi="Times New Roman" w:cs="Times New Roman"/>
          <w:b/>
          <w:sz w:val="21"/>
          <w:szCs w:val="21"/>
        </w:rPr>
        <w:t>damaged</w:t>
      </w:r>
      <w:r w:rsidR="00E46B69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293537">
        <w:rPr>
          <w:rFonts w:ascii="Times New Roman" w:hAnsi="Times New Roman" w:cs="Times New Roman"/>
          <w:b/>
          <w:sz w:val="21"/>
          <w:szCs w:val="21"/>
        </w:rPr>
        <w:t>individuals</w:t>
      </w:r>
    </w:p>
    <w:p w14:paraId="5F333DAB" w14:textId="41199331" w:rsidR="003311DE" w:rsidRPr="004D1C21" w:rsidRDefault="009234C9" w:rsidP="003311DE">
      <w:pPr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F</w:t>
      </w:r>
      <w:r w:rsidR="005D6C65">
        <w:rPr>
          <w:rFonts w:ascii="Times New Roman" w:hAnsi="Times New Roman" w:cs="Times New Roman"/>
          <w:sz w:val="21"/>
          <w:szCs w:val="21"/>
        </w:rPr>
        <w:t xml:space="preserve">orest plot </w:t>
      </w:r>
      <w:r>
        <w:rPr>
          <w:rFonts w:ascii="Times New Roman" w:hAnsi="Times New Roman" w:cs="Times New Roman"/>
          <w:sz w:val="21"/>
          <w:szCs w:val="21"/>
        </w:rPr>
        <w:t>from</w:t>
      </w:r>
      <w:r w:rsidR="00FC3283">
        <w:rPr>
          <w:rFonts w:ascii="Times New Roman" w:hAnsi="Times New Roman" w:cs="Times New Roman"/>
          <w:sz w:val="21"/>
          <w:szCs w:val="21"/>
        </w:rPr>
        <w:t xml:space="preserve"> Cox proportional hazard</w:t>
      </w:r>
      <w:r>
        <w:rPr>
          <w:rFonts w:ascii="Times New Roman" w:hAnsi="Times New Roman" w:cs="Times New Roman"/>
          <w:sz w:val="21"/>
          <w:szCs w:val="21"/>
        </w:rPr>
        <w:t>s</w:t>
      </w:r>
      <w:r w:rsidR="00FC3283">
        <w:rPr>
          <w:rFonts w:ascii="Times New Roman" w:hAnsi="Times New Roman" w:cs="Times New Roman"/>
          <w:sz w:val="21"/>
          <w:szCs w:val="21"/>
        </w:rPr>
        <w:t xml:space="preserve"> regression</w:t>
      </w:r>
      <w:r>
        <w:rPr>
          <w:rFonts w:ascii="Times New Roman" w:hAnsi="Times New Roman" w:cs="Times New Roman"/>
          <w:sz w:val="21"/>
          <w:szCs w:val="21"/>
        </w:rPr>
        <w:t xml:space="preserve"> showing the effect of the number of SR pairs for </w:t>
      </w:r>
      <w:r w:rsidRPr="00382FC0">
        <w:rPr>
          <w:rFonts w:ascii="Times New Roman" w:hAnsi="Times New Roman" w:cs="Times New Roman"/>
          <w:i/>
          <w:sz w:val="21"/>
          <w:szCs w:val="21"/>
        </w:rPr>
        <w:t>APOE</w:t>
      </w:r>
      <w:r>
        <w:rPr>
          <w:rFonts w:ascii="Times New Roman" w:hAnsi="Times New Roman" w:cs="Times New Roman"/>
          <w:sz w:val="21"/>
          <w:szCs w:val="21"/>
        </w:rPr>
        <w:t xml:space="preserve"> on AD </w:t>
      </w:r>
      <w:r w:rsidR="00D24EB2">
        <w:rPr>
          <w:rFonts w:ascii="Times New Roman" w:hAnsi="Times New Roman" w:cs="Times New Roman"/>
          <w:sz w:val="21"/>
          <w:szCs w:val="21"/>
        </w:rPr>
        <w:t>onset</w:t>
      </w:r>
      <w:r>
        <w:rPr>
          <w:rFonts w:ascii="Times New Roman" w:hAnsi="Times New Roman" w:cs="Times New Roman"/>
          <w:sz w:val="21"/>
          <w:szCs w:val="21"/>
        </w:rPr>
        <w:t>. Only 2,</w:t>
      </w:r>
      <w:r w:rsidR="00020FAD">
        <w:rPr>
          <w:rFonts w:ascii="Times New Roman" w:hAnsi="Times New Roman" w:cs="Times New Roman" w:hint="eastAsia"/>
          <w:sz w:val="21"/>
          <w:szCs w:val="21"/>
        </w:rPr>
        <w:t>761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 w:val="21"/>
          <w:szCs w:val="21"/>
        </w:rPr>
        <w:t>rs429358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carriers (classified as </w:t>
      </w:r>
      <w:r w:rsidRPr="000021DF">
        <w:rPr>
          <w:rFonts w:ascii="Times New Roman" w:hAnsi="Times New Roman" w:cs="Times New Roman"/>
          <w:i/>
          <w:sz w:val="21"/>
          <w:szCs w:val="21"/>
        </w:rPr>
        <w:t>APOE</w:t>
      </w:r>
      <w:r>
        <w:rPr>
          <w:rFonts w:ascii="Times New Roman" w:hAnsi="Times New Roman" w:cs="Times New Roman"/>
          <w:sz w:val="21"/>
          <w:szCs w:val="21"/>
        </w:rPr>
        <w:t>-damaged) were included</w:t>
      </w:r>
      <w:r w:rsidR="0012062C">
        <w:rPr>
          <w:rFonts w:ascii="Times New Roman" w:hAnsi="Times New Roman" w:cs="Times New Roman"/>
          <w:sz w:val="21"/>
          <w:szCs w:val="21"/>
        </w:rPr>
        <w:t>.</w:t>
      </w:r>
    </w:p>
    <w:p w14:paraId="69BDFF4F" w14:textId="77777777" w:rsidR="00736EB5" w:rsidRDefault="00736EB5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713C2EAB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5D03354B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78F3DDBC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7AE819B0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5264D6FE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5BE8AA81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01EA65E2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4E926967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483679EE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61F9DEAB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368D2E29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2339717D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04820AF2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4005FA47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255BF60F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6C425B6C" w14:textId="3994AA52" w:rsidR="00A8084C" w:rsidRDefault="00A8084C" w:rsidP="00AF576D">
      <w:pPr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661032EF" wp14:editId="36EB4E11">
            <wp:extent cx="5377069" cy="6451289"/>
            <wp:effectExtent l="0" t="0" r="0" b="6985"/>
            <wp:docPr id="1751806698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066" cy="648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F0887" w14:textId="29551A0E" w:rsidR="00A8084C" w:rsidRDefault="00A8084C" w:rsidP="004E5FBC">
      <w:pPr>
        <w:jc w:val="left"/>
        <w:rPr>
          <w:rFonts w:ascii="Times New Roman" w:hAnsi="Times New Roman" w:cs="Times New Roman"/>
          <w:b/>
          <w:bCs/>
          <w:sz w:val="21"/>
          <w:szCs w:val="21"/>
        </w:rPr>
      </w:pPr>
      <w:r w:rsidRPr="00A8084C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Fig. </w:t>
      </w:r>
      <w:proofErr w:type="spellStart"/>
      <w:r w:rsidRPr="00A8084C">
        <w:rPr>
          <w:rFonts w:ascii="Times New Roman" w:hAnsi="Times New Roman" w:cs="Times New Roman" w:hint="eastAsia"/>
          <w:b/>
          <w:bCs/>
          <w:sz w:val="21"/>
          <w:szCs w:val="21"/>
        </w:rPr>
        <w:t>S7</w:t>
      </w:r>
      <w:proofErr w:type="spellEnd"/>
      <w:r w:rsidR="00A70588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Sensitivity analysis of SR pairs across alternative GVB thresholds</w:t>
      </w:r>
    </w:p>
    <w:p w14:paraId="05DA21AF" w14:textId="6214115F" w:rsidR="00A70588" w:rsidRPr="00C50462" w:rsidRDefault="00686468" w:rsidP="004E5FBC">
      <w:pPr>
        <w:jc w:val="left"/>
        <w:rPr>
          <w:rFonts w:ascii="Times New Roman" w:hAnsi="Times New Roman" w:cs="Times New Roman"/>
          <w:sz w:val="21"/>
          <w:szCs w:val="21"/>
        </w:rPr>
      </w:pPr>
      <w:r w:rsidRPr="00C50462">
        <w:rPr>
          <w:rFonts w:ascii="Times New Roman" w:hAnsi="Times New Roman" w:cs="Times New Roman"/>
          <w:sz w:val="21"/>
          <w:szCs w:val="21"/>
        </w:rPr>
        <w:t xml:space="preserve">SR pairs identified at </w:t>
      </w:r>
      <w:r w:rsidR="007D0936">
        <w:rPr>
          <w:rFonts w:ascii="Times New Roman" w:hAnsi="Times New Roman" w:cs="Times New Roman" w:hint="eastAsia"/>
          <w:sz w:val="21"/>
          <w:szCs w:val="21"/>
        </w:rPr>
        <w:t>GVB threshold of 0.2</w:t>
      </w:r>
      <w:r w:rsidRPr="00C50462">
        <w:rPr>
          <w:rFonts w:ascii="Times New Roman" w:hAnsi="Times New Roman" w:cs="Times New Roman"/>
          <w:sz w:val="21"/>
          <w:szCs w:val="21"/>
        </w:rPr>
        <w:t xml:space="preserve"> were evaluated for their replication at alternative thresholds of 0.1 and 0.3.</w:t>
      </w:r>
      <w:r w:rsidR="0032398D" w:rsidRPr="00C50462">
        <w:rPr>
          <w:rFonts w:ascii="Times New Roman" w:hAnsi="Times New Roman" w:cs="Times New Roman"/>
          <w:sz w:val="21"/>
          <w:szCs w:val="21"/>
        </w:rPr>
        <w:t xml:space="preserve"> </w:t>
      </w:r>
      <w:r w:rsidR="002B5415">
        <w:rPr>
          <w:rFonts w:ascii="Times New Roman" w:hAnsi="Times New Roman" w:cs="Times New Roman" w:hint="eastAsia"/>
          <w:sz w:val="21"/>
          <w:szCs w:val="21"/>
        </w:rPr>
        <w:t xml:space="preserve">Only significant </w:t>
      </w:r>
      <w:r w:rsidR="0032398D" w:rsidRPr="00C50462">
        <w:rPr>
          <w:rFonts w:ascii="Times New Roman" w:hAnsi="Times New Roman" w:cs="Times New Roman"/>
          <w:sz w:val="21"/>
          <w:szCs w:val="21"/>
        </w:rPr>
        <w:t>HRs obtained from age of onset analysis are shown.</w:t>
      </w:r>
      <w:r w:rsidR="009C220B" w:rsidRPr="00C50462">
        <w:rPr>
          <w:rFonts w:ascii="Times New Roman" w:hAnsi="Times New Roman" w:cs="Times New Roman"/>
          <w:sz w:val="21"/>
          <w:szCs w:val="21"/>
        </w:rPr>
        <w:t xml:space="preserve"> *</w:t>
      </w:r>
      <w:r w:rsidR="00D35F68">
        <w:rPr>
          <w:rFonts w:ascii="Times New Roman" w:hAnsi="Times New Roman" w:cs="Times New Roman" w:hint="eastAsia"/>
          <w:sz w:val="21"/>
          <w:szCs w:val="21"/>
        </w:rPr>
        <w:t>P</w:t>
      </w:r>
      <w:r w:rsidR="009C220B" w:rsidRPr="00C50462">
        <w:rPr>
          <w:rFonts w:ascii="Times New Roman" w:hAnsi="Times New Roman" w:cs="Times New Roman"/>
          <w:sz w:val="21"/>
          <w:szCs w:val="21"/>
        </w:rPr>
        <w:t>rimary GVB threshold.</w:t>
      </w:r>
    </w:p>
    <w:p w14:paraId="68C53ED2" w14:textId="77777777" w:rsidR="00A8084C" w:rsidRPr="00C50462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328DD511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08981676" w14:textId="77777777" w:rsidR="00A8084C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p w14:paraId="6870EBFC" w14:textId="77777777" w:rsidR="00A8084C" w:rsidRPr="005D65E6" w:rsidRDefault="00A8084C" w:rsidP="004E5FBC">
      <w:pPr>
        <w:jc w:val="left"/>
        <w:rPr>
          <w:rFonts w:ascii="Times New Roman" w:hAnsi="Times New Roman" w:cs="Times New Roman"/>
          <w:sz w:val="21"/>
          <w:szCs w:val="21"/>
        </w:rPr>
      </w:pPr>
    </w:p>
    <w:sectPr w:rsidR="00A8084C" w:rsidRPr="005D65E6" w:rsidSect="008E279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AC569" w14:textId="77777777" w:rsidR="006D0275" w:rsidRDefault="006D0275" w:rsidP="00EB0402">
      <w:pPr>
        <w:spacing w:after="0" w:line="240" w:lineRule="auto"/>
      </w:pPr>
      <w:r>
        <w:separator/>
      </w:r>
    </w:p>
  </w:endnote>
  <w:endnote w:type="continuationSeparator" w:id="0">
    <w:p w14:paraId="2C264A72" w14:textId="77777777" w:rsidR="006D0275" w:rsidRDefault="006D0275" w:rsidP="00EB0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47A43" w14:textId="77777777" w:rsidR="006D0275" w:rsidRDefault="006D0275" w:rsidP="00EB0402">
      <w:pPr>
        <w:spacing w:after="0" w:line="240" w:lineRule="auto"/>
      </w:pPr>
      <w:r>
        <w:separator/>
      </w:r>
    </w:p>
  </w:footnote>
  <w:footnote w:type="continuationSeparator" w:id="0">
    <w:p w14:paraId="6F474119" w14:textId="77777777" w:rsidR="006D0275" w:rsidRDefault="006D0275" w:rsidP="00EB04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A28"/>
    <w:rsid w:val="000021DF"/>
    <w:rsid w:val="0001185A"/>
    <w:rsid w:val="000151D4"/>
    <w:rsid w:val="00020FAD"/>
    <w:rsid w:val="00022506"/>
    <w:rsid w:val="0007010A"/>
    <w:rsid w:val="000748DB"/>
    <w:rsid w:val="000777E4"/>
    <w:rsid w:val="00090820"/>
    <w:rsid w:val="00090C6E"/>
    <w:rsid w:val="001045F0"/>
    <w:rsid w:val="0011637C"/>
    <w:rsid w:val="0012062C"/>
    <w:rsid w:val="00127F60"/>
    <w:rsid w:val="00131DA1"/>
    <w:rsid w:val="00147A19"/>
    <w:rsid w:val="0017169E"/>
    <w:rsid w:val="001B4254"/>
    <w:rsid w:val="001C7FB2"/>
    <w:rsid w:val="001D647C"/>
    <w:rsid w:val="001E666B"/>
    <w:rsid w:val="001F74FE"/>
    <w:rsid w:val="00216548"/>
    <w:rsid w:val="0023091C"/>
    <w:rsid w:val="00240523"/>
    <w:rsid w:val="00240EEE"/>
    <w:rsid w:val="00245DE2"/>
    <w:rsid w:val="00293537"/>
    <w:rsid w:val="002A29C5"/>
    <w:rsid w:val="002B28A9"/>
    <w:rsid w:val="002B5415"/>
    <w:rsid w:val="002F1F48"/>
    <w:rsid w:val="002F2B0E"/>
    <w:rsid w:val="002F407F"/>
    <w:rsid w:val="002F41E0"/>
    <w:rsid w:val="002F4D8C"/>
    <w:rsid w:val="003064F3"/>
    <w:rsid w:val="0032398D"/>
    <w:rsid w:val="003311DE"/>
    <w:rsid w:val="00332373"/>
    <w:rsid w:val="00337918"/>
    <w:rsid w:val="00365829"/>
    <w:rsid w:val="00382FC0"/>
    <w:rsid w:val="003950E5"/>
    <w:rsid w:val="003F2061"/>
    <w:rsid w:val="003F55D1"/>
    <w:rsid w:val="004163E6"/>
    <w:rsid w:val="00421E00"/>
    <w:rsid w:val="0044039B"/>
    <w:rsid w:val="00475CC2"/>
    <w:rsid w:val="00480C0D"/>
    <w:rsid w:val="004A3A6B"/>
    <w:rsid w:val="004B45E0"/>
    <w:rsid w:val="004D1C21"/>
    <w:rsid w:val="004E5FBC"/>
    <w:rsid w:val="005126EE"/>
    <w:rsid w:val="0052316B"/>
    <w:rsid w:val="00523CD0"/>
    <w:rsid w:val="00562D01"/>
    <w:rsid w:val="005A1333"/>
    <w:rsid w:val="005A64F9"/>
    <w:rsid w:val="005B27F1"/>
    <w:rsid w:val="005D65E6"/>
    <w:rsid w:val="005D6C65"/>
    <w:rsid w:val="005E4C33"/>
    <w:rsid w:val="00604532"/>
    <w:rsid w:val="00676447"/>
    <w:rsid w:val="006851A1"/>
    <w:rsid w:val="00686468"/>
    <w:rsid w:val="006A2140"/>
    <w:rsid w:val="006C68BA"/>
    <w:rsid w:val="006D0275"/>
    <w:rsid w:val="006D6AFF"/>
    <w:rsid w:val="00726164"/>
    <w:rsid w:val="00736EB5"/>
    <w:rsid w:val="0075266F"/>
    <w:rsid w:val="00757509"/>
    <w:rsid w:val="00787A53"/>
    <w:rsid w:val="007A75E7"/>
    <w:rsid w:val="007B5308"/>
    <w:rsid w:val="007B7E80"/>
    <w:rsid w:val="007C591B"/>
    <w:rsid w:val="007D0936"/>
    <w:rsid w:val="008073EF"/>
    <w:rsid w:val="0084043E"/>
    <w:rsid w:val="008536C1"/>
    <w:rsid w:val="008548FF"/>
    <w:rsid w:val="00857B9A"/>
    <w:rsid w:val="00865494"/>
    <w:rsid w:val="00866D6C"/>
    <w:rsid w:val="00881904"/>
    <w:rsid w:val="00881B86"/>
    <w:rsid w:val="008C2280"/>
    <w:rsid w:val="008E279F"/>
    <w:rsid w:val="00917737"/>
    <w:rsid w:val="009234C9"/>
    <w:rsid w:val="00925BC8"/>
    <w:rsid w:val="00930674"/>
    <w:rsid w:val="00935EE2"/>
    <w:rsid w:val="00960942"/>
    <w:rsid w:val="009625BE"/>
    <w:rsid w:val="009A60DB"/>
    <w:rsid w:val="009C220B"/>
    <w:rsid w:val="00A0480E"/>
    <w:rsid w:val="00A21ED2"/>
    <w:rsid w:val="00A275A4"/>
    <w:rsid w:val="00A64868"/>
    <w:rsid w:val="00A70588"/>
    <w:rsid w:val="00A8084C"/>
    <w:rsid w:val="00A83121"/>
    <w:rsid w:val="00AC3221"/>
    <w:rsid w:val="00AC7BD6"/>
    <w:rsid w:val="00AD02EA"/>
    <w:rsid w:val="00AF576D"/>
    <w:rsid w:val="00B0675E"/>
    <w:rsid w:val="00B14751"/>
    <w:rsid w:val="00B320B9"/>
    <w:rsid w:val="00B5302E"/>
    <w:rsid w:val="00B53C52"/>
    <w:rsid w:val="00B871C6"/>
    <w:rsid w:val="00BA1C70"/>
    <w:rsid w:val="00BB6817"/>
    <w:rsid w:val="00BE39F1"/>
    <w:rsid w:val="00BE6C39"/>
    <w:rsid w:val="00C35A07"/>
    <w:rsid w:val="00C42C5F"/>
    <w:rsid w:val="00C50462"/>
    <w:rsid w:val="00C56CE6"/>
    <w:rsid w:val="00C65BBB"/>
    <w:rsid w:val="00C7094D"/>
    <w:rsid w:val="00C83F4C"/>
    <w:rsid w:val="00C93A30"/>
    <w:rsid w:val="00C93FE8"/>
    <w:rsid w:val="00CA7AD6"/>
    <w:rsid w:val="00CF03EC"/>
    <w:rsid w:val="00D01A48"/>
    <w:rsid w:val="00D24EB2"/>
    <w:rsid w:val="00D26521"/>
    <w:rsid w:val="00D35F68"/>
    <w:rsid w:val="00D715DF"/>
    <w:rsid w:val="00DB6261"/>
    <w:rsid w:val="00DD477C"/>
    <w:rsid w:val="00DE7384"/>
    <w:rsid w:val="00E4054C"/>
    <w:rsid w:val="00E46B69"/>
    <w:rsid w:val="00EA0DF3"/>
    <w:rsid w:val="00EA1993"/>
    <w:rsid w:val="00EB0402"/>
    <w:rsid w:val="00EE428D"/>
    <w:rsid w:val="00F46A28"/>
    <w:rsid w:val="00F60A16"/>
    <w:rsid w:val="00FA46D5"/>
    <w:rsid w:val="00FA73EC"/>
    <w:rsid w:val="00FC3283"/>
    <w:rsid w:val="00FF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074B7"/>
  <w15:chartTrackingRefBased/>
  <w15:docId w15:val="{FADC18D5-D442-49AA-89D7-761E8710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5E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04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B0402"/>
  </w:style>
  <w:style w:type="paragraph" w:styleId="a4">
    <w:name w:val="footer"/>
    <w:basedOn w:val="a"/>
    <w:link w:val="Char0"/>
    <w:uiPriority w:val="99"/>
    <w:unhideWhenUsed/>
    <w:rsid w:val="00EB04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B0402"/>
  </w:style>
  <w:style w:type="table" w:styleId="a5">
    <w:name w:val="Table Grid"/>
    <w:basedOn w:val="a1"/>
    <w:uiPriority w:val="39"/>
    <w:rsid w:val="005D6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3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2E94F-B7D0-49B8-A7C3-1CE665E7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</TotalTime>
  <Pages>8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준기 유</cp:lastModifiedBy>
  <cp:revision>110</cp:revision>
  <dcterms:created xsi:type="dcterms:W3CDTF">2025-07-30T02:46:00Z</dcterms:created>
  <dcterms:modified xsi:type="dcterms:W3CDTF">2026-02-26T08:56:00Z</dcterms:modified>
</cp:coreProperties>
</file>