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7E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Supplementary Table 1: Reference ranges and grey zone thresholds for plasma and cerebrospinal fluid biomarkers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2145"/>
        <w:gridCol w:w="1887"/>
        <w:gridCol w:w="2152"/>
        <w:gridCol w:w="2685"/>
      </w:tblGrid>
      <w:tr w14:paraId="4278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7FCC7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  <w:t>Specimen</w:t>
            </w:r>
          </w:p>
        </w:tc>
        <w:tc>
          <w:tcPr>
            <w:tcW w:w="973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151A3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  <w:t>Test Item</w:t>
            </w:r>
          </w:p>
        </w:tc>
        <w:tc>
          <w:tcPr>
            <w:tcW w:w="856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0A1E6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  <w:t>Unit</w:t>
            </w:r>
          </w:p>
        </w:tc>
        <w:tc>
          <w:tcPr>
            <w:tcW w:w="976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72129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  <w:t xml:space="preserve">Reference </w:t>
            </w:r>
            <w:r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  <w:lang w:eastAsia="zh-CN"/>
              </w:rPr>
              <w:t>Range</w:t>
            </w:r>
          </w:p>
        </w:tc>
        <w:tc>
          <w:tcPr>
            <w:tcW w:w="1218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56662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4"/>
                <w:szCs w:val="24"/>
              </w:rPr>
              <w:t>Grey Zone</w:t>
            </w:r>
          </w:p>
        </w:tc>
      </w:tr>
      <w:tr w14:paraId="1FEC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3B76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Plasma</w:t>
            </w:r>
          </w:p>
        </w:tc>
        <w:tc>
          <w:tcPr>
            <w:tcW w:w="973" w:type="pc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D61F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eastAsia="zh-CN"/>
              </w:rPr>
              <w:t>P-tau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181</w:t>
            </w:r>
          </w:p>
        </w:tc>
        <w:tc>
          <w:tcPr>
            <w:tcW w:w="856" w:type="pc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71C8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1A80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≤4.0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18" w:type="pc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062E4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4.0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 xml:space="preserve"> &lt; 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eastAsia="zh-CN"/>
              </w:rPr>
              <w:t>P-tau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181 ≤ 5.0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</w:p>
        </w:tc>
      </w:tr>
      <w:tr w14:paraId="344CB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8F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284C9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eastAsia="zh-CN"/>
              </w:rPr>
              <w:t>P-tau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217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44E51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0CC93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≤3.3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2343A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3.3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 xml:space="preserve"> &lt; 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eastAsia="zh-CN"/>
              </w:rPr>
              <w:t>P-tau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217 ≤ 5.0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</w:p>
        </w:tc>
      </w:tr>
      <w:tr w14:paraId="4903F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96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37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Aβ40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9C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F9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5F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43E23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20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85DA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Aβ42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5147F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4C6C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≥4.7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0427B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3EA06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F8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51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Aβ42/Aβ40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D0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DC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≥0.06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80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0.05 ≤ Ratio &lt; 0.06</w:t>
            </w:r>
          </w:p>
        </w:tc>
      </w:tr>
      <w:tr w14:paraId="2E925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D0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5EC3E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GFAP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27C22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5DB7E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≤150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.00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7B108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1E72D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0E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2E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NfL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20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E3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≤125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.00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38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3153C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75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val="en-US" w:eastAsia="zh-CN"/>
              </w:rPr>
              <w:t>CSF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2AE6A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eastAsia="zh-CN"/>
              </w:rPr>
              <w:t>P-tau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181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77456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0F315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≤30.00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5CADD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3DA8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9D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B0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  <w:lang w:eastAsia="zh-CN"/>
              </w:rPr>
              <w:t>P-tau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217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62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05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≤20.00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39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5A989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B3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7FC6B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Aβ40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1A1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69572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C928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44985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30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3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Aβ42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7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69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≥1000.00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FF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100CB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CA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2938B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Aβ42/Aβ40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1E632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1AD2B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≥0.05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5FE72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5260B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18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D7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GFAP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FA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6D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≤300.00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AD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  <w:tr w14:paraId="4EDCF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" w:type="pct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9290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2BB88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NfL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EE09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pg/mL</w:t>
            </w:r>
          </w:p>
        </w:tc>
        <w:tc>
          <w:tcPr>
            <w:tcW w:w="97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19EEB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6BF1C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4"/>
                <w:szCs w:val="24"/>
              </w:rPr>
              <w:t>/</w:t>
            </w:r>
          </w:p>
        </w:tc>
      </w:tr>
    </w:tbl>
    <w:p w14:paraId="251EE7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>Note:</w:t>
      </w:r>
      <w:r>
        <w:rPr>
          <w:rFonts w:hint="eastAsia" w:ascii="Times New Roman" w:hAnsi="Times New Roman" w:eastAsia="宋体"/>
          <w:sz w:val="24"/>
          <w:szCs w:val="24"/>
        </w:rPr>
        <w:t xml:space="preserve"> Positive/abnormal determination thresholds may be applied according to the reagent kit instructions (e.g.plasma Aβ42/Aβ40 &lt; 0.05, 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P-tau</w:t>
      </w:r>
      <w:r>
        <w:rPr>
          <w:rFonts w:hint="eastAsia" w:ascii="Times New Roman" w:hAnsi="Times New Roman" w:eastAsia="宋体"/>
          <w:sz w:val="24"/>
          <w:szCs w:val="24"/>
        </w:rPr>
        <w:t>181 &gt; 5.0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eastAsia="宋体"/>
          <w:sz w:val="24"/>
          <w:szCs w:val="24"/>
        </w:rPr>
        <w:t xml:space="preserve">, 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P-tau</w:t>
      </w:r>
      <w:r>
        <w:rPr>
          <w:rFonts w:hint="eastAsia" w:ascii="Times New Roman" w:hAnsi="Times New Roman" w:eastAsia="宋体"/>
          <w:sz w:val="24"/>
          <w:szCs w:val="24"/>
        </w:rPr>
        <w:t>217 &gt; 5.0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eastAsia="宋体"/>
          <w:sz w:val="24"/>
          <w:szCs w:val="24"/>
        </w:rPr>
        <w:t>).</w:t>
      </w:r>
    </w:p>
    <w:p w14:paraId="62C5FD23">
      <w:pPr>
        <w:keepNext w:val="0"/>
        <w:keepLines w:val="0"/>
        <w:pageBreakBefore w:val="0"/>
        <w:widowControl/>
        <w:tabs>
          <w:tab w:val="left" w:pos="471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/>
          <w:b/>
          <w:sz w:val="24"/>
          <w:lang w:eastAsia="zh-CN"/>
        </w:rPr>
      </w:pPr>
      <w:r>
        <w:rPr>
          <w:rFonts w:hint="eastAsia" w:ascii="Times New Roman" w:hAnsi="Times New Roman" w:eastAsia="宋体"/>
          <w:b/>
          <w:sz w:val="24"/>
          <w:lang w:eastAsia="zh-CN"/>
        </w:rPr>
        <w:tab/>
      </w:r>
      <w:bookmarkStart w:id="0" w:name="_GoBack"/>
      <w:bookmarkEnd w:id="0"/>
    </w:p>
    <w:p w14:paraId="48369C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1B0DEC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675048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77321D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23C3C4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50E6AE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474DED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778BB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470E2A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1ABDF0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55BDAF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3E44E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497E21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56FB7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50DF6A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2E885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sz w:val="24"/>
        </w:rPr>
      </w:pPr>
    </w:p>
    <w:p w14:paraId="70B610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Supplementary Table 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>2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hint="eastAsia" w:ascii="Times New Roman" w:hAnsi="Times New Roman"/>
          <w:b/>
          <w:i/>
          <w:iCs/>
          <w:sz w:val="24"/>
        </w:rPr>
        <w:t>APOE</w:t>
      </w:r>
      <w:r>
        <w:rPr>
          <w:rFonts w:hint="eastAsia" w:ascii="Times New Roman" w:hAnsi="Times New Roman"/>
          <w:b/>
          <w:sz w:val="24"/>
        </w:rPr>
        <w:t xml:space="preserve"> genotype–associated risk in Sporadic </w:t>
      </w:r>
      <w:r>
        <w:rPr>
          <w:rFonts w:hint="eastAsia" w:ascii="Times New Roman" w:hAnsi="Times New Roman" w:eastAsia="宋体"/>
          <w:b/>
          <w:sz w:val="24"/>
          <w:lang w:eastAsia="zh-CN"/>
        </w:rPr>
        <w:t>Alzheimer's</w:t>
      </w:r>
      <w:r>
        <w:rPr>
          <w:rFonts w:hint="eastAsia" w:ascii="Times New Roman" w:hAnsi="Times New Roman"/>
          <w:b/>
          <w:sz w:val="24"/>
        </w:rPr>
        <w:t xml:space="preserve"> disease (SAD) versus </w:t>
      </w:r>
      <w:r>
        <w:rPr>
          <w:rFonts w:hint="eastAsia" w:ascii="Times New Roman" w:hAnsi="Times New Roman"/>
          <w:b/>
          <w:i/>
          <w:iCs/>
          <w:sz w:val="24"/>
        </w:rPr>
        <w:t>APP</w:t>
      </w:r>
      <w:r>
        <w:rPr>
          <w:rFonts w:hint="eastAsia" w:ascii="Times New Roman" w:hAnsi="Times New Roman"/>
          <w:b/>
          <w:sz w:val="24"/>
        </w:rPr>
        <w:t xml:space="preserve"> variant carriers</w:t>
      </w:r>
    </w:p>
    <w:tbl>
      <w:tblPr>
        <w:tblStyle w:val="3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1"/>
        <w:gridCol w:w="1326"/>
        <w:gridCol w:w="2628"/>
        <w:gridCol w:w="2318"/>
        <w:gridCol w:w="1799"/>
      </w:tblGrid>
      <w:tr w14:paraId="47F32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1A777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Comparison</w:t>
            </w:r>
          </w:p>
        </w:tc>
        <w:tc>
          <w:tcPr>
            <w:tcW w:w="60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2636E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SAD</w:t>
            </w:r>
          </w:p>
          <w:p w14:paraId="1E453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(n=60)</w:t>
            </w:r>
          </w:p>
        </w:tc>
        <w:tc>
          <w:tcPr>
            <w:tcW w:w="119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0B7CB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APP</w:t>
            </w:r>
            <w:r>
              <w:rPr>
                <w:rFonts w:ascii="Times New Roman" w:hAnsi="Times New Roman"/>
                <w:b/>
                <w:sz w:val="24"/>
              </w:rPr>
              <w:t xml:space="preserve"> variant carriers (n=30)</w:t>
            </w:r>
          </w:p>
        </w:tc>
        <w:tc>
          <w:tcPr>
            <w:tcW w:w="105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6C3BE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sz w:val="24"/>
                <w:lang w:val="en-US" w:eastAsia="zh-CN"/>
              </w:rPr>
              <w:t>OR (95% CI)</w:t>
            </w:r>
          </w:p>
        </w:tc>
        <w:tc>
          <w:tcPr>
            <w:tcW w:w="81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0AD03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P</w:t>
            </w:r>
          </w:p>
        </w:tc>
      </w:tr>
      <w:tr w14:paraId="1820A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E62C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ε4 carrier vs non-ε4</w:t>
            </w:r>
          </w:p>
        </w:tc>
        <w:tc>
          <w:tcPr>
            <w:tcW w:w="602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C6E7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vs 35</w:t>
            </w:r>
          </w:p>
        </w:tc>
        <w:tc>
          <w:tcPr>
            <w:tcW w:w="1193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A6FD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vs 24</w:t>
            </w:r>
          </w:p>
        </w:tc>
        <w:tc>
          <w:tcPr>
            <w:tcW w:w="1052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7BA5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2.86 (0.94–9.73)</w:t>
            </w:r>
          </w:p>
        </w:tc>
        <w:tc>
          <w:tcPr>
            <w:tcW w:w="816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91EE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0.0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6</w:t>
            </w:r>
          </w:p>
        </w:tc>
      </w:tr>
      <w:tr w14:paraId="6EC3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10D17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ε2/ε3 vs ε3/ε3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6310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vs 32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2E24E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vs 17</w:t>
            </w:r>
          </w:p>
        </w:tc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4C4E5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0.23 (0.03–1.19)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75FF4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0.07</w:t>
            </w:r>
          </w:p>
        </w:tc>
      </w:tr>
      <w:tr w14:paraId="2C9E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A8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ε3/ε4 vs ε3/ε3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32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vs 32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E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vs 17</w:t>
            </w:r>
          </w:p>
        </w:tc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FC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1.77 (0.54–6.39)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BF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0.43</w:t>
            </w:r>
          </w:p>
        </w:tc>
      </w:tr>
      <w:tr w14:paraId="67281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6206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ε4/ε4 vs ε3/ε3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2A6BB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vs 32</w:t>
            </w:r>
          </w:p>
        </w:tc>
        <w:tc>
          <w:tcPr>
            <w:tcW w:w="119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2D521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 vs 17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150DA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5.92 (0.43–∞)</w:t>
            </w:r>
          </w:p>
        </w:tc>
        <w:tc>
          <w:tcPr>
            <w:tcW w:w="81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535F9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7</w:t>
            </w:r>
          </w:p>
        </w:tc>
      </w:tr>
    </w:tbl>
    <w:p w14:paraId="55ED3B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宋体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</w:rPr>
        <w:t xml:space="preserve">Note: </w:t>
      </w:r>
      <w:r>
        <w:rPr>
          <w:rFonts w:hint="eastAsia" w:ascii="Times New Roman" w:hAnsi="Times New Roman" w:eastAsia="宋体"/>
          <w:sz w:val="24"/>
          <w:szCs w:val="24"/>
        </w:rPr>
        <w:t xml:space="preserve">Odds ratios (ORs) were calculated for SAD versus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APP</w:t>
      </w:r>
      <w:r>
        <w:rPr>
          <w:rFonts w:hint="eastAsia" w:ascii="Times New Roman" w:hAnsi="Times New Roman" w:eastAsia="宋体"/>
          <w:sz w:val="24"/>
          <w:szCs w:val="24"/>
        </w:rPr>
        <w:t xml:space="preserve"> variant carriers using 2 × 2 contingency tables.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P</w:t>
      </w:r>
      <w:r>
        <w:rPr>
          <w:rFonts w:hint="eastAsia" w:ascii="Times New Roman" w:hAnsi="Times New Roman" w:eastAsia="宋体"/>
          <w:sz w:val="24"/>
          <w:szCs w:val="24"/>
        </w:rPr>
        <w:t xml:space="preserve"> values were obtained from a two-sided 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Fisher's</w:t>
      </w:r>
      <w:r>
        <w:rPr>
          <w:rFonts w:hint="eastAsia" w:ascii="Times New Roman" w:hAnsi="Times New Roman" w:eastAsia="宋体"/>
          <w:sz w:val="24"/>
          <w:szCs w:val="24"/>
        </w:rPr>
        <w:t xml:space="preserve"> exact test. Exact 95% confidence intervals (CIs) were derived using exact methods based on 2 × 2 contingency tables. An infinite upper confidence limit reflects zero cell counts in the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APP</w:t>
      </w:r>
      <w:r>
        <w:rPr>
          <w:rFonts w:hint="eastAsia" w:ascii="Times New Roman" w:hAnsi="Times New Roman" w:eastAsia="宋体"/>
          <w:sz w:val="24"/>
          <w:szCs w:val="24"/>
        </w:rPr>
        <w:t xml:space="preserve"> variant carrier group. Abbreviations: SAD, 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eastAsia="宋体"/>
          <w:sz w:val="24"/>
          <w:szCs w:val="24"/>
        </w:rPr>
        <w:t xml:space="preserve">poradic 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Alzheimer's</w:t>
      </w:r>
      <w:r>
        <w:rPr>
          <w:rFonts w:hint="eastAsia" w:ascii="Times New Roman" w:hAnsi="Times New Roman" w:eastAsia="宋体"/>
          <w:sz w:val="24"/>
          <w:szCs w:val="24"/>
        </w:rPr>
        <w:t xml:space="preserve"> disease; OR, odds ratio; CI, confidence interval.</w:t>
      </w:r>
    </w:p>
    <w:p w14:paraId="5655FB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1959FD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7BF66F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704532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1E8FE2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5013B4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26E13D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47ECA2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62D3E7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032A40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569EF4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26DC43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3DCB2C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063AB4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72DA12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5E2A88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4001C3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674E15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264250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7B528D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082AEF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/>
          <w:b/>
          <w:sz w:val="24"/>
        </w:rPr>
      </w:pPr>
    </w:p>
    <w:p w14:paraId="3F4E44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rPr>
          <w:rFonts w:hint="eastAsia" w:ascii="Times New Roman" w:hAnsi="Times New Roman"/>
          <w:b/>
          <w:sz w:val="24"/>
        </w:rPr>
        <w:t xml:space="preserve">Supplementary Table </w:t>
      </w:r>
      <w:r>
        <w:rPr>
          <w:rFonts w:hint="eastAsia" w:ascii="Times New Roman" w:hAnsi="Times New Roman"/>
          <w:b/>
          <w:sz w:val="24"/>
          <w:lang w:val="en-US" w:eastAsia="zh-CN"/>
        </w:rPr>
        <w:t>3</w:t>
      </w:r>
      <w:r>
        <w:rPr>
          <w:rFonts w:hint="eastAsia" w:ascii="Times New Roman" w:hAnsi="Times New Roman"/>
          <w:b/>
          <w:sz w:val="24"/>
        </w:rPr>
        <w:t xml:space="preserve">. Interaction model testing </w:t>
      </w:r>
      <w:r>
        <w:rPr>
          <w:rFonts w:hint="eastAsia" w:ascii="Times New Roman" w:hAnsi="Times New Roman"/>
          <w:b/>
          <w:i/>
          <w:iCs/>
          <w:sz w:val="24"/>
        </w:rPr>
        <w:t>APOE</w:t>
      </w:r>
      <w:r>
        <w:rPr>
          <w:rFonts w:hint="eastAsia" w:ascii="Times New Roman" w:hAnsi="Times New Roman"/>
          <w:b/>
          <w:sz w:val="24"/>
        </w:rPr>
        <w:t xml:space="preserve"> ε4 modification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2753"/>
        <w:gridCol w:w="2753"/>
        <w:gridCol w:w="2755"/>
      </w:tblGrid>
      <w:tr w14:paraId="557D1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9654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Biomarker</w:t>
            </w:r>
          </w:p>
        </w:tc>
        <w:tc>
          <w:tcPr>
            <w:tcW w:w="124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416EE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APP</w:t>
            </w:r>
            <w:r>
              <w:rPr>
                <w:rFonts w:ascii="Times New Roman" w:hAnsi="Times New Roman"/>
                <w:b/>
                <w:sz w:val="24"/>
              </w:rPr>
              <w:t xml:space="preserve"> main effect</w:t>
            </w:r>
          </w:p>
          <w:p w14:paraId="570EC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(GMR, 95%CI)</w:t>
            </w:r>
          </w:p>
        </w:tc>
        <w:tc>
          <w:tcPr>
            <w:tcW w:w="124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11A2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APOE</w:t>
            </w:r>
            <w:r>
              <w:rPr>
                <w:rFonts w:ascii="Times New Roman" w:hAnsi="Times New Roman"/>
                <w:b/>
                <w:sz w:val="24"/>
              </w:rPr>
              <w:t xml:space="preserve"> ε4 main effect</w:t>
            </w:r>
          </w:p>
          <w:p w14:paraId="6B301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</w:t>
            </w:r>
            <w:r>
              <w:rPr>
                <w:rFonts w:hint="eastAsia" w:ascii="Times New Roman" w:hAnsi="Times New Roman" w:eastAsia="宋体"/>
                <w:b/>
                <w:sz w:val="24"/>
                <w:lang w:eastAsia="zh-CN"/>
              </w:rPr>
              <w:t>GMR, 95%CI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125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29986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APP</w:t>
            </w:r>
            <w:r>
              <w:rPr>
                <w:rFonts w:ascii="Times New Roman" w:hAnsi="Times New Roman"/>
                <w:b/>
                <w:sz w:val="24"/>
              </w:rPr>
              <w:t>×ε4 interaction</w:t>
            </w:r>
          </w:p>
          <w:p w14:paraId="1745E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(GMR, 95%CI)</w:t>
            </w:r>
          </w:p>
        </w:tc>
      </w:tr>
      <w:tr w14:paraId="302DC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09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Aβ40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51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0.71 (0.64-0.78)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t>***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38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1.04 (0.95-1.15)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AB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0.87 (0.74-1.03)</w:t>
            </w:r>
          </w:p>
        </w:tc>
      </w:tr>
      <w:tr w14:paraId="52037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B3D4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Aβ42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443AF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1.12 (0.95-1.32)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43500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0.92 (0.81-1.06)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44EFF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0.91 (0.69-1.19)</w:t>
            </w:r>
          </w:p>
        </w:tc>
      </w:tr>
      <w:tr w14:paraId="4314F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0B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Aβ42/Aβ40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AA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1.58 (1.34-1.86)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t>***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42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0.89 (0.79-1.00)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t>*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EE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1.04 (0.80-1.36)</w:t>
            </w:r>
          </w:p>
        </w:tc>
      </w:tr>
      <w:tr w14:paraId="27069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05DEB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GFAP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6496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0.77 (0.44-1.35)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E70A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0.69 (0.49-0.97)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t>*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7EBA9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1.78 (0.84-3.77)</w:t>
            </w:r>
          </w:p>
        </w:tc>
      </w:tr>
      <w:tr w14:paraId="0AEB5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9E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NfL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87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0.78 (0.48-1.26)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40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0.86 (0.61-1.21)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8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1.31 (0.63-2.75)</w:t>
            </w:r>
          </w:p>
        </w:tc>
      </w:tr>
      <w:tr w14:paraId="040F6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04F53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P-tau</w:t>
            </w:r>
            <w:r>
              <w:rPr>
                <w:rFonts w:ascii="Times New Roman" w:hAnsi="Times New Roman"/>
                <w:sz w:val="24"/>
              </w:rPr>
              <w:t>181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13F79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0.95 (0.56-1.62)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37F65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0.89 (0.61-1.30)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vAlign w:val="center"/>
          </w:tcPr>
          <w:p w14:paraId="2C748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1.09 (0.59-2.04)</w:t>
            </w:r>
          </w:p>
        </w:tc>
      </w:tr>
      <w:tr w14:paraId="6B049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9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34AC9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P-tau</w:t>
            </w:r>
            <w:r>
              <w:rPr>
                <w:rFonts w:ascii="Times New Roman" w:hAnsi="Times New Roman"/>
                <w:sz w:val="24"/>
              </w:rPr>
              <w:t>217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11F1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0.69 (0.40-1.18)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E9D1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0.86 (0.63-1.19)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03AE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1.36 (0.70-2.63)</w:t>
            </w:r>
          </w:p>
        </w:tc>
      </w:tr>
    </w:tbl>
    <w:p w14:paraId="5712B9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br w:type="textWrapping"/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Note</w:t>
      </w: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 xml:space="preserve">: </w:t>
      </w:r>
      <w:r>
        <w:rPr>
          <w:rFonts w:hint="eastAsia" w:ascii="Times New Roman" w:hAnsi="Times New Roman" w:eastAsia="宋体"/>
          <w:sz w:val="24"/>
          <w:szCs w:val="24"/>
        </w:rPr>
        <w:t xml:space="preserve">Model: ln(Y) ~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 xml:space="preserve">APP </w:t>
      </w:r>
      <w:r>
        <w:rPr>
          <w:rFonts w:hint="eastAsia" w:ascii="Times New Roman" w:hAnsi="Times New Roman" w:eastAsia="宋体"/>
          <w:sz w:val="24"/>
          <w:szCs w:val="24"/>
        </w:rPr>
        <w:t xml:space="preserve">+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APOE</w:t>
      </w:r>
      <w:r>
        <w:rPr>
          <w:rFonts w:hint="eastAsia" w:ascii="Times New Roman" w:hAnsi="Times New Roman" w:eastAsia="宋体"/>
          <w:sz w:val="24"/>
          <w:szCs w:val="24"/>
        </w:rPr>
        <w:t xml:space="preserve"> ε4 +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APP</w:t>
      </w:r>
      <w:r>
        <w:rPr>
          <w:rFonts w:hint="eastAsia" w:ascii="Times New Roman" w:hAnsi="Times New Roman" w:eastAsia="宋体"/>
          <w:sz w:val="24"/>
          <w:szCs w:val="24"/>
        </w:rPr>
        <w:t xml:space="preserve">×ε4 + age + sex. Results are geometric mean ratios (GMR = exp(β)) with 95% confidence intervals. Robust SE (HC3).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APP</w:t>
      </w:r>
      <w:r>
        <w:rPr>
          <w:rFonts w:hint="eastAsia" w:ascii="Times New Roman" w:hAnsi="Times New Roman" w:eastAsia="宋体"/>
          <w:sz w:val="24"/>
          <w:szCs w:val="24"/>
        </w:rPr>
        <w:t xml:space="preserve"> and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APOE</w:t>
      </w:r>
      <w:r>
        <w:rPr>
          <w:rFonts w:hint="eastAsia" w:ascii="Times New Roman" w:hAnsi="Times New Roman" w:eastAsia="宋体"/>
          <w:sz w:val="24"/>
          <w:szCs w:val="24"/>
        </w:rPr>
        <w:t xml:space="preserve"> ε4 were coded as binary variables (0/1); the reference corresponds to participants without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APP</w:t>
      </w:r>
      <w:r>
        <w:rPr>
          <w:rFonts w:hint="eastAsia" w:ascii="Times New Roman" w:hAnsi="Times New Roman" w:eastAsia="宋体"/>
          <w:sz w:val="24"/>
          <w:szCs w:val="24"/>
        </w:rPr>
        <w:t xml:space="preserve"> variants and without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APOE</w:t>
      </w:r>
      <w:r>
        <w:rPr>
          <w:rFonts w:hint="eastAsia" w:ascii="Times New Roman" w:hAnsi="Times New Roman" w:eastAsia="宋体"/>
          <w:sz w:val="24"/>
          <w:szCs w:val="24"/>
        </w:rPr>
        <w:t xml:space="preserve"> ε4. Asterisks indicate statistical significance for the corresponding effect term: </w:t>
      </w:r>
      <w:r>
        <w:rPr>
          <w:rFonts w:hint="eastAsia" w:ascii="Times New Roman" w:hAnsi="Times New Roman" w:eastAsia="宋体"/>
          <w:sz w:val="24"/>
          <w:szCs w:val="24"/>
          <w:vertAlign w:val="superscript"/>
        </w:rPr>
        <w:t>*</w:t>
      </w:r>
      <w:r>
        <w:rPr>
          <w:rFonts w:hint="eastAsia" w:ascii="Times New Roman" w:hAnsi="Times New Roman" w:eastAsia="宋体"/>
          <w:i/>
          <w:iCs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宋体"/>
          <w:sz w:val="24"/>
          <w:szCs w:val="24"/>
        </w:rPr>
        <w:t xml:space="preserve"> &lt; 0.05; </w:t>
      </w:r>
      <w:r>
        <w:rPr>
          <w:rFonts w:hint="eastAsia" w:ascii="Times New Roman" w:hAnsi="Times New Roman" w:eastAsia="宋体"/>
          <w:sz w:val="24"/>
          <w:szCs w:val="24"/>
          <w:vertAlign w:val="superscript"/>
        </w:rPr>
        <w:t>**</w:t>
      </w:r>
      <w:r>
        <w:rPr>
          <w:rFonts w:hint="eastAsia" w:ascii="Times New Roman" w:hAnsi="Times New Roman" w:eastAsia="宋体"/>
          <w:i/>
          <w:iCs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宋体"/>
          <w:sz w:val="24"/>
          <w:szCs w:val="24"/>
        </w:rPr>
        <w:t xml:space="preserve"> &lt; 0.01; </w:t>
      </w:r>
      <w:r>
        <w:rPr>
          <w:rFonts w:hint="eastAsia" w:ascii="Times New Roman" w:hAnsi="Times New Roman" w:eastAsia="宋体"/>
          <w:sz w:val="24"/>
          <w:szCs w:val="24"/>
          <w:vertAlign w:val="superscript"/>
        </w:rPr>
        <w:t>***</w:t>
      </w:r>
      <w:r>
        <w:rPr>
          <w:rFonts w:hint="eastAsia" w:ascii="Times New Roman" w:hAnsi="Times New Roman" w:eastAsia="宋体"/>
          <w:i/>
          <w:iCs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宋体"/>
          <w:sz w:val="24"/>
          <w:szCs w:val="24"/>
        </w:rPr>
        <w:t xml:space="preserve">&lt; 0.001. The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APP</w:t>
      </w:r>
      <w:r>
        <w:rPr>
          <w:rFonts w:hint="eastAsia" w:ascii="Times New Roman" w:hAnsi="Times New Roman" w:eastAsia="宋体"/>
          <w:sz w:val="24"/>
          <w:szCs w:val="24"/>
        </w:rPr>
        <w:t xml:space="preserve">×ε4 term tests whether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APOE</w:t>
      </w:r>
      <w:r>
        <w:rPr>
          <w:rFonts w:hint="eastAsia" w:ascii="Times New Roman" w:hAnsi="Times New Roman" w:eastAsia="宋体"/>
          <w:sz w:val="24"/>
          <w:szCs w:val="24"/>
        </w:rPr>
        <w:t xml:space="preserve"> ε4 modifies </w:t>
      </w:r>
      <w:r>
        <w:rPr>
          <w:rFonts w:hint="eastAsia" w:ascii="Times New Roman" w:hAnsi="Times New Roman" w:eastAsia="宋体"/>
          <w:i/>
          <w:iCs/>
          <w:sz w:val="24"/>
          <w:szCs w:val="24"/>
        </w:rPr>
        <w:t>APP</w:t>
      </w:r>
      <w:r>
        <w:rPr>
          <w:rFonts w:hint="eastAsia" w:ascii="Times New Roman" w:hAnsi="Times New Roman" w:eastAsia="宋体"/>
          <w:sz w:val="24"/>
          <w:szCs w:val="24"/>
        </w:rPr>
        <w:t>-associated biomarker changes..</w:t>
      </w:r>
    </w:p>
    <w:p w14:paraId="4F248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/>
          <w:sz w:val="24"/>
          <w:szCs w:val="24"/>
          <w:lang w:eastAsia="zh-CN"/>
        </w:rPr>
      </w:pPr>
    </w:p>
    <w:sectPr>
      <w:pgSz w:w="12240" w:h="15840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B32C00"/>
    <w:rsid w:val="144D4C62"/>
    <w:rsid w:val="162437A1"/>
    <w:rsid w:val="1C5D17BA"/>
    <w:rsid w:val="2164183D"/>
    <w:rsid w:val="27D327E3"/>
    <w:rsid w:val="27D74D46"/>
    <w:rsid w:val="29622B06"/>
    <w:rsid w:val="29701D19"/>
    <w:rsid w:val="29823623"/>
    <w:rsid w:val="2CCA2AA5"/>
    <w:rsid w:val="2F9B28CE"/>
    <w:rsid w:val="30177C8C"/>
    <w:rsid w:val="33484B1B"/>
    <w:rsid w:val="34E40873"/>
    <w:rsid w:val="35DE1766"/>
    <w:rsid w:val="372876AC"/>
    <w:rsid w:val="3D143CBF"/>
    <w:rsid w:val="3DF17B5D"/>
    <w:rsid w:val="518829DA"/>
    <w:rsid w:val="545664CF"/>
    <w:rsid w:val="574305EE"/>
    <w:rsid w:val="5889510A"/>
    <w:rsid w:val="59A10AFD"/>
    <w:rsid w:val="59AB31B0"/>
    <w:rsid w:val="59C75EEA"/>
    <w:rsid w:val="5FA12D39"/>
    <w:rsid w:val="5FA86D63"/>
    <w:rsid w:val="615F10FE"/>
    <w:rsid w:val="67BC4885"/>
    <w:rsid w:val="67C65FD6"/>
    <w:rsid w:val="6AF82A0D"/>
    <w:rsid w:val="6FF43359"/>
    <w:rsid w:val="7507768A"/>
    <w:rsid w:val="7DA168CE"/>
    <w:rsid w:val="7EAB7F32"/>
    <w:rsid w:val="7F1C33F6"/>
    <w:rsid w:val="7FCB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801422cd114048d6893815a3c6239344</errorID>
      <errorWord>Rang</errorWord>
      <group>L1_English</group>
      <groupName>英文问题</groupName>
      <ability>L2_EnglishGrammar</ability>
      <abilityName>英文语法检查</abilityName>
      <candidateList>
        <item>Range</item>
      </candidateList>
      <explain>疑似单词形态使用不当，建议将Rang修改为Range</explain>
      <paraID>72129CE7</paraID>
      <start>10</start>
      <end>15</end>
      <status>modified</status>
      <modifiedWord>Range</modifiedWord>
      <trackRevisions>false</trackRevisions>
    </reviewItem>
    <reviewItem>
      <errorID>884c652a47484b8ab3dc3cf588b2dba5</errorID>
      <errorWord>Alzheimer’s</errorWord>
      <group>L1_English</group>
      <groupName>英文问题</groupName>
      <ability>L2_EnglishGrammar</ability>
      <abilityName>英文语法检查</abilityName>
      <candidateList>
        <item>Alzheimer's</item>
      </candidateList>
      <explain>疑似名词所有格书写有误，建议将Alzheimer’s修改为Alzheimer's</explain>
      <paraID>70B61068</paraID>
      <start>65</start>
      <end>76</end>
      <status>modified</status>
      <modifiedWord>Alzheimer's</modifiedWord>
      <trackRevisions>false</trackRevisions>
    </reviewItem>
    <reviewItem>
      <errorID>0eaf4a0e17ca469aa20e6d55cbdcc694</errorID>
      <errorWord>Fisher’s</errorWord>
      <group>L1_English</group>
      <groupName>英文问题</groupName>
      <ability>L2_EnglishGrammar</ability>
      <abilityName>英文语法检查</abilityName>
      <candidateList>
        <item>Fisher's</item>
      </candidateList>
      <explain>疑似名词所有格书写有误，建议将Fisher’s修改为Fisher's</explain>
      <paraID>55ED3BCF</paraID>
      <start>148</start>
      <end>156</end>
      <status>modified</status>
      <modifiedWord>Fisher's</modifiedWord>
      <trackRevisions>false</trackRevisions>
    </reviewItem>
    <reviewItem>
      <errorID>0dc37ffc77384e8cb3a8102544186384</errorID>
      <errorWord>Alzheimer’s</errorWord>
      <group>L1_English</group>
      <groupName>英文问题</groupName>
      <ability>L2_EnglishGrammar</ability>
      <abilityName>英文语法检查</abilityName>
      <candidateList>
        <item>Alzheimer's</item>
      </candidateList>
      <explain>疑似名词所有格书写有误，建议将Alzheimer’s修改为Alzheimer's</explain>
      <paraID>55ED3BCF</paraID>
      <start>398</start>
      <end>409</end>
      <status>modified</status>
      <modifiedWord>Alzheimer's</modifiedWord>
      <trackRevisions>false</trackRevisions>
    </reviewItem>
    <reviewItem>
      <errorID>598e104e761442049e15a78f417dabd8</errorID>
      <errorWord>GMR,95%CI</errorWord>
      <group>L1_English</group>
      <groupName>英文问题</groupName>
      <ability>L2_EnglishGrammar</ability>
      <abilityName>英文语法检查</abilityName>
      <candidateList>
        <item>GMR, 95%CI</item>
      </candidateList>
      <explain>疑似单词空格书写不规范，建议将GMR,95%CI修改为GMR, 95%CI</explain>
      <paraID>6B301F50</paraID>
      <start>1</start>
      <end>11</end>
      <status>modified</status>
      <modifiedWord>GMR, 95%CI</modifiedWord>
      <trackRevisions>false</trackRevisions>
    </reviewItem>
    <reviewItem>
      <errorID>2cf44a954de74ea8985743c783ba5233</errorID>
      <errorWord>:</errorWord>
      <group>L1_Punc</group>
      <groupName>标点问题</groupName>
      <ability>L2_Punc</ability>
      <abilityName>标点符号检查</abilityName>
      <candidateList>
        <item>: </item>
      </candidateList>
      <explain>此处疑似有空格缺失，建议将:修改为: </explain>
      <paraID>5712B926</paraID>
      <start>5</start>
      <end>7</end>
      <status>modified</status>
      <modifiedWord>: 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d58e9671-89ad-4df6-ac28-8f0d142c4a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445</Words>
  <Characters>2192</Characters>
  <Lines>0</Lines>
  <Paragraphs>0</Paragraphs>
  <TotalTime>2</TotalTime>
  <ScaleCrop>false</ScaleCrop>
  <LinksUpToDate>false</LinksUpToDate>
  <CharactersWithSpaces>2475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汐颜</cp:lastModifiedBy>
  <dcterms:modified xsi:type="dcterms:W3CDTF">2026-02-17T23:04:54Z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eyJoZGlkIjoiODAzMGJiYzdkYTUzNjYxOGRjYTFlNGJkOGRlMzMzYzUiLCJ1c2VySWQiOiI0MTE4MDEzNjgifQ==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46E2C6A6F68346AF89955A368E7327B8_13</vt:lpwstr>
  </property>
</Properties>
</file>