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EastAsia" w:hAnsi="Arial" w:cs="Arial"/>
          <w:color w:val="auto"/>
          <w:kern w:val="2"/>
          <w:sz w:val="20"/>
          <w:szCs w:val="22"/>
          <w:lang w:val="ko-KR"/>
        </w:rPr>
        <w:id w:val="1594276805"/>
        <w:docPartObj>
          <w:docPartGallery w:val="Table of Contents"/>
          <w:docPartUnique/>
        </w:docPartObj>
      </w:sdtPr>
      <w:sdtEndPr>
        <w:rPr>
          <w:b/>
          <w:bCs/>
        </w:rPr>
      </w:sdtEndPr>
      <w:sdtContent>
        <w:p w14:paraId="1D606B54" w14:textId="7110C548" w:rsidR="006A4015" w:rsidRPr="00DD0594" w:rsidRDefault="005C20FE" w:rsidP="00BE3CEF">
          <w:pPr>
            <w:pStyle w:val="TOC"/>
            <w:spacing w:line="360" w:lineRule="auto"/>
            <w:rPr>
              <w:rFonts w:ascii="Arial" w:hAnsi="Arial" w:cs="Arial"/>
            </w:rPr>
          </w:pPr>
          <w:r w:rsidRPr="00DD0594">
            <w:rPr>
              <w:rFonts w:ascii="Arial" w:hAnsi="Arial" w:cs="Arial"/>
              <w:lang w:val="ko-KR"/>
            </w:rPr>
            <w:t>Supplementary M</w:t>
          </w:r>
          <w:r w:rsidR="006B4F5E" w:rsidRPr="00DD0594">
            <w:rPr>
              <w:rFonts w:ascii="Arial" w:hAnsi="Arial" w:cs="Arial"/>
            </w:rPr>
            <w:t>a</w:t>
          </w:r>
          <w:r w:rsidRPr="00DD0594">
            <w:rPr>
              <w:rFonts w:ascii="Arial" w:hAnsi="Arial" w:cs="Arial"/>
              <w:lang w:val="ko-KR"/>
            </w:rPr>
            <w:t>t</w:t>
          </w:r>
          <w:r w:rsidR="006B4F5E" w:rsidRPr="00DD0594">
            <w:rPr>
              <w:rFonts w:ascii="Arial" w:hAnsi="Arial" w:cs="Arial"/>
            </w:rPr>
            <w:t>e</w:t>
          </w:r>
          <w:r w:rsidRPr="00DD0594">
            <w:rPr>
              <w:rFonts w:ascii="Arial" w:hAnsi="Arial" w:cs="Arial"/>
              <w:lang w:val="ko-KR"/>
            </w:rPr>
            <w:t>rials</w:t>
          </w:r>
        </w:p>
        <w:p w14:paraId="07EB91A4" w14:textId="74ECCDA9" w:rsidR="00BE3CEF" w:rsidRPr="00DD0594" w:rsidRDefault="006A4015" w:rsidP="00BE3CEF">
          <w:pPr>
            <w:pStyle w:val="10"/>
            <w:tabs>
              <w:tab w:val="right" w:leader="dot" w:pos="9016"/>
            </w:tabs>
            <w:spacing w:line="360" w:lineRule="auto"/>
            <w:rPr>
              <w:rFonts w:ascii="Arial" w:hAnsi="Arial" w:cs="Arial"/>
              <w:noProof/>
              <w:kern w:val="2"/>
              <w:szCs w:val="24"/>
              <w14:ligatures w14:val="standardContextual"/>
            </w:rPr>
          </w:pPr>
          <w:r w:rsidRPr="00DD0594">
            <w:rPr>
              <w:rFonts w:ascii="Arial" w:hAnsi="Arial" w:cs="Arial"/>
            </w:rPr>
            <w:fldChar w:fldCharType="begin"/>
          </w:r>
          <w:r w:rsidRPr="00DD0594">
            <w:rPr>
              <w:rFonts w:ascii="Arial" w:hAnsi="Arial" w:cs="Arial"/>
            </w:rPr>
            <w:instrText xml:space="preserve"> TOC \o "1-3" \h \z \u </w:instrText>
          </w:r>
          <w:r w:rsidRPr="00DD0594">
            <w:rPr>
              <w:rFonts w:ascii="Arial" w:hAnsi="Arial" w:cs="Arial"/>
            </w:rPr>
            <w:fldChar w:fldCharType="separate"/>
          </w:r>
          <w:hyperlink w:anchor="_Toc225708739" w:history="1">
            <w:r w:rsidR="00BE3CEF" w:rsidRPr="00DD0594">
              <w:rPr>
                <w:rStyle w:val="ac"/>
                <w:rFonts w:ascii="Arial" w:hAnsi="Arial" w:cs="Arial"/>
                <w:noProof/>
              </w:rPr>
              <w:t>Supplementary Methods</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_Toc225708739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2</w:t>
            </w:r>
            <w:r w:rsidR="00BE3CEF" w:rsidRPr="00DD0594">
              <w:rPr>
                <w:rFonts w:ascii="Arial" w:hAnsi="Arial" w:cs="Arial"/>
                <w:noProof/>
                <w:webHidden/>
              </w:rPr>
              <w:fldChar w:fldCharType="end"/>
            </w:r>
          </w:hyperlink>
        </w:p>
        <w:p w14:paraId="733EF4F3" w14:textId="38EDAF3A" w:rsidR="00BE3CEF" w:rsidRPr="00DD0594" w:rsidRDefault="00DF38DB" w:rsidP="00BE3CEF">
          <w:pPr>
            <w:pStyle w:val="20"/>
            <w:spacing w:line="360" w:lineRule="auto"/>
            <w:rPr>
              <w:kern w:val="2"/>
              <w:szCs w:val="24"/>
              <w14:ligatures w14:val="standardContextual"/>
            </w:rPr>
          </w:pPr>
          <w:hyperlink w:anchor="_Toc225708740" w:history="1">
            <w:r w:rsidR="00BE3CEF" w:rsidRPr="00DD0594">
              <w:rPr>
                <w:rStyle w:val="ac"/>
                <w:b/>
              </w:rPr>
              <w:t>Aβ PET Acquisition and definition of Aβ positivity</w:t>
            </w:r>
            <w:r w:rsidR="00BE3CEF" w:rsidRPr="00DD0594">
              <w:rPr>
                <w:webHidden/>
              </w:rPr>
              <w:tab/>
            </w:r>
            <w:r w:rsidR="00BE3CEF" w:rsidRPr="00DD0594">
              <w:rPr>
                <w:webHidden/>
              </w:rPr>
              <w:fldChar w:fldCharType="begin"/>
            </w:r>
            <w:r w:rsidR="00BE3CEF" w:rsidRPr="00DD0594">
              <w:rPr>
                <w:webHidden/>
              </w:rPr>
              <w:instrText xml:space="preserve"> PAGEREF _Toc225708740 \h </w:instrText>
            </w:r>
            <w:r w:rsidR="00BE3CEF" w:rsidRPr="00DD0594">
              <w:rPr>
                <w:webHidden/>
              </w:rPr>
            </w:r>
            <w:r w:rsidR="00BE3CEF" w:rsidRPr="00DD0594">
              <w:rPr>
                <w:webHidden/>
              </w:rPr>
              <w:fldChar w:fldCharType="separate"/>
            </w:r>
            <w:r w:rsidR="00BE3CEF" w:rsidRPr="00DD0594">
              <w:rPr>
                <w:webHidden/>
              </w:rPr>
              <w:t>2</w:t>
            </w:r>
            <w:r w:rsidR="00BE3CEF" w:rsidRPr="00DD0594">
              <w:rPr>
                <w:webHidden/>
              </w:rPr>
              <w:fldChar w:fldCharType="end"/>
            </w:r>
          </w:hyperlink>
        </w:p>
        <w:p w14:paraId="51480D35" w14:textId="603F5D1C" w:rsidR="00BE3CEF" w:rsidRPr="00DD0594" w:rsidRDefault="00DF38DB" w:rsidP="00BE3CEF">
          <w:pPr>
            <w:pStyle w:val="20"/>
            <w:spacing w:line="360" w:lineRule="auto"/>
            <w:rPr>
              <w:kern w:val="2"/>
              <w:szCs w:val="24"/>
              <w14:ligatures w14:val="standardContextual"/>
            </w:rPr>
          </w:pPr>
          <w:hyperlink w:anchor="_Toc225708741" w:history="1">
            <w:r w:rsidR="00BE3CEF" w:rsidRPr="00DD0594">
              <w:rPr>
                <w:rStyle w:val="ac"/>
                <w:b/>
              </w:rPr>
              <w:t>Dementia Prevalence Estimation</w:t>
            </w:r>
            <w:r w:rsidR="00BE3CEF" w:rsidRPr="00DD0594">
              <w:rPr>
                <w:webHidden/>
              </w:rPr>
              <w:tab/>
            </w:r>
            <w:r w:rsidR="00BE3CEF" w:rsidRPr="00DD0594">
              <w:rPr>
                <w:webHidden/>
              </w:rPr>
              <w:fldChar w:fldCharType="begin"/>
            </w:r>
            <w:r w:rsidR="00BE3CEF" w:rsidRPr="00DD0594">
              <w:rPr>
                <w:webHidden/>
              </w:rPr>
              <w:instrText xml:space="preserve"> PAGEREF _Toc225708741 \h </w:instrText>
            </w:r>
            <w:r w:rsidR="00BE3CEF" w:rsidRPr="00DD0594">
              <w:rPr>
                <w:webHidden/>
              </w:rPr>
            </w:r>
            <w:r w:rsidR="00BE3CEF" w:rsidRPr="00DD0594">
              <w:rPr>
                <w:webHidden/>
              </w:rPr>
              <w:fldChar w:fldCharType="separate"/>
            </w:r>
            <w:r w:rsidR="00BE3CEF" w:rsidRPr="00DD0594">
              <w:rPr>
                <w:webHidden/>
              </w:rPr>
              <w:t>2</w:t>
            </w:r>
            <w:r w:rsidR="00BE3CEF" w:rsidRPr="00DD0594">
              <w:rPr>
                <w:webHidden/>
              </w:rPr>
              <w:fldChar w:fldCharType="end"/>
            </w:r>
          </w:hyperlink>
        </w:p>
        <w:p w14:paraId="542F78B4" w14:textId="38C533D8"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2" w:history="1">
            <w:r w:rsidR="00BE3CEF" w:rsidRPr="00DD0594">
              <w:rPr>
                <w:rStyle w:val="ac"/>
                <w:rFonts w:ascii="Arial" w:hAnsi="Arial" w:cs="Arial"/>
                <w:noProof/>
              </w:rPr>
              <w:t>Supplementary Results</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_Toc225708742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3</w:t>
            </w:r>
            <w:r w:rsidR="00BE3CEF" w:rsidRPr="00DD0594">
              <w:rPr>
                <w:rFonts w:ascii="Arial" w:hAnsi="Arial" w:cs="Arial"/>
                <w:noProof/>
                <w:webHidden/>
              </w:rPr>
              <w:fldChar w:fldCharType="end"/>
            </w:r>
          </w:hyperlink>
        </w:p>
        <w:p w14:paraId="3C36720C" w14:textId="6494AAED" w:rsidR="00BE3CEF" w:rsidRPr="00DD0594" w:rsidRDefault="00DF38DB" w:rsidP="00BE3CEF">
          <w:pPr>
            <w:pStyle w:val="20"/>
            <w:spacing w:line="360" w:lineRule="auto"/>
            <w:rPr>
              <w:kern w:val="2"/>
              <w:szCs w:val="24"/>
              <w14:ligatures w14:val="standardContextual"/>
            </w:rPr>
          </w:pPr>
          <w:hyperlink w:anchor="_Toc225708743" w:history="1">
            <w:r w:rsidR="00BE3CEF" w:rsidRPr="00DD0594">
              <w:rPr>
                <w:rStyle w:val="ac"/>
                <w:b/>
              </w:rPr>
              <w:t>Infusion-Related Reactions</w:t>
            </w:r>
            <w:r w:rsidR="00BE3CEF" w:rsidRPr="00DD0594">
              <w:rPr>
                <w:webHidden/>
              </w:rPr>
              <w:tab/>
            </w:r>
            <w:r w:rsidR="00BE3CEF" w:rsidRPr="00DD0594">
              <w:rPr>
                <w:webHidden/>
              </w:rPr>
              <w:fldChar w:fldCharType="begin"/>
            </w:r>
            <w:r w:rsidR="00BE3CEF" w:rsidRPr="00DD0594">
              <w:rPr>
                <w:webHidden/>
              </w:rPr>
              <w:instrText xml:space="preserve"> PAGEREF _Toc225708743 \h </w:instrText>
            </w:r>
            <w:r w:rsidR="00BE3CEF" w:rsidRPr="00DD0594">
              <w:rPr>
                <w:webHidden/>
              </w:rPr>
            </w:r>
            <w:r w:rsidR="00BE3CEF" w:rsidRPr="00DD0594">
              <w:rPr>
                <w:webHidden/>
              </w:rPr>
              <w:fldChar w:fldCharType="separate"/>
            </w:r>
            <w:r w:rsidR="00BE3CEF" w:rsidRPr="00DD0594">
              <w:rPr>
                <w:webHidden/>
              </w:rPr>
              <w:t>3</w:t>
            </w:r>
            <w:r w:rsidR="00BE3CEF" w:rsidRPr="00DD0594">
              <w:rPr>
                <w:webHidden/>
              </w:rPr>
              <w:fldChar w:fldCharType="end"/>
            </w:r>
          </w:hyperlink>
        </w:p>
        <w:p w14:paraId="0FC21C57" w14:textId="39A51167"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4" w:history="1">
            <w:r w:rsidR="00BE3CEF" w:rsidRPr="00DD0594">
              <w:rPr>
                <w:rStyle w:val="ac"/>
                <w:rFonts w:ascii="Arial" w:hAnsi="Arial" w:cs="Arial"/>
                <w:noProof/>
              </w:rPr>
              <w:t xml:space="preserve">Supplementary Figure 1. </w:t>
            </w:r>
            <w:r w:rsidR="00E70368" w:rsidRPr="00DD0594">
              <w:rPr>
                <w:rFonts w:ascii="Arial" w:hAnsi="Arial" w:cs="Arial"/>
                <w:bCs/>
                <w:szCs w:val="20"/>
                <w:lang w:eastAsia="en-US"/>
              </w:rPr>
              <w:t>Heatmap of biweekly lecanemab infusion doses, amyloid-related imaging abnormalities (ARIA) events, and treatment decisions</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_Toc225708744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4</w:t>
            </w:r>
            <w:r w:rsidR="00BE3CEF" w:rsidRPr="00DD0594">
              <w:rPr>
                <w:rFonts w:ascii="Arial" w:hAnsi="Arial" w:cs="Arial"/>
                <w:noProof/>
                <w:webHidden/>
              </w:rPr>
              <w:fldChar w:fldCharType="end"/>
            </w:r>
          </w:hyperlink>
        </w:p>
        <w:p w14:paraId="24C5F140" w14:textId="074EBAFB"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5" w:history="1">
            <w:r w:rsidR="00BE3CEF" w:rsidRPr="00DD0594">
              <w:rPr>
                <w:rStyle w:val="ac"/>
                <w:rFonts w:ascii="Arial" w:hAnsi="Arial" w:cs="Arial"/>
                <w:noProof/>
              </w:rPr>
              <w:t>Supplementary Figure 2. Comparison of cerebral microbleed detection between SWI and T2*-GRE sequences in a representative ARIA-H case</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_Toc225708745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5</w:t>
            </w:r>
            <w:r w:rsidR="00BE3CEF" w:rsidRPr="00DD0594">
              <w:rPr>
                <w:rFonts w:ascii="Arial" w:hAnsi="Arial" w:cs="Arial"/>
                <w:noProof/>
                <w:webHidden/>
              </w:rPr>
              <w:fldChar w:fldCharType="end"/>
            </w:r>
          </w:hyperlink>
        </w:p>
        <w:p w14:paraId="58C4EE34" w14:textId="1743F580"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6" w:history="1">
            <w:r w:rsidR="00BE3CEF" w:rsidRPr="00DD0594">
              <w:rPr>
                <w:rStyle w:val="ac"/>
                <w:rFonts w:ascii="Arial" w:hAnsi="Arial" w:cs="Arial"/>
                <w:noProof/>
              </w:rPr>
              <w:t>Supplementary Table 1. CSF profiles of cases with BAPL 2 on florbetabetan PET scans</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_Toc225708746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6</w:t>
            </w:r>
            <w:r w:rsidR="00BE3CEF" w:rsidRPr="00DD0594">
              <w:rPr>
                <w:rFonts w:ascii="Arial" w:hAnsi="Arial" w:cs="Arial"/>
                <w:noProof/>
                <w:webHidden/>
              </w:rPr>
              <w:fldChar w:fldCharType="end"/>
            </w:r>
          </w:hyperlink>
        </w:p>
        <w:p w14:paraId="15F32573" w14:textId="6CA2DFE7"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7" w:history="1">
            <w:r w:rsidR="00BE3CEF" w:rsidRPr="00DD0594">
              <w:rPr>
                <w:rStyle w:val="ac"/>
                <w:rFonts w:ascii="Arial" w:hAnsi="Arial" w:cs="Arial"/>
                <w:noProof/>
              </w:rPr>
              <w:t>Supplementary Table 2. Individual-level comparison of hemorrhagic markers detected on T2*-GRE and SWI sequences in patients with ARIA-H.</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_Toc225708747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7</w:t>
            </w:r>
            <w:r w:rsidR="00BE3CEF" w:rsidRPr="00DD0594">
              <w:rPr>
                <w:rFonts w:ascii="Arial" w:hAnsi="Arial" w:cs="Arial"/>
                <w:noProof/>
                <w:webHidden/>
              </w:rPr>
              <w:fldChar w:fldCharType="end"/>
            </w:r>
          </w:hyperlink>
        </w:p>
        <w:p w14:paraId="2BF0571D" w14:textId="776A3E9C"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8" w:history="1">
            <w:r w:rsidR="00BE3CEF" w:rsidRPr="00DD0594">
              <w:rPr>
                <w:rStyle w:val="ac"/>
                <w:rFonts w:ascii="Arial" w:hAnsi="Arial" w:cs="Arial"/>
                <w:noProof/>
              </w:rPr>
              <w:t>Supplementary Table 3. Dementia Prevalence Status in 2024 (Unit: persons, %)</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_Toc225708748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10</w:t>
            </w:r>
            <w:r w:rsidR="00BE3CEF" w:rsidRPr="00DD0594">
              <w:rPr>
                <w:rFonts w:ascii="Arial" w:hAnsi="Arial" w:cs="Arial"/>
                <w:noProof/>
                <w:webHidden/>
              </w:rPr>
              <w:fldChar w:fldCharType="end"/>
            </w:r>
          </w:hyperlink>
        </w:p>
        <w:p w14:paraId="3E4ABF10" w14:textId="51B65278" w:rsidR="00BE3CEF" w:rsidRPr="00DD0594" w:rsidRDefault="00DF38DB" w:rsidP="00BE3CEF">
          <w:pPr>
            <w:pStyle w:val="10"/>
            <w:tabs>
              <w:tab w:val="right" w:leader="dot" w:pos="9016"/>
            </w:tabs>
            <w:spacing w:line="360" w:lineRule="auto"/>
            <w:rPr>
              <w:rFonts w:ascii="Arial" w:hAnsi="Arial" w:cs="Arial"/>
              <w:noProof/>
              <w:kern w:val="2"/>
              <w:szCs w:val="24"/>
              <w14:ligatures w14:val="standardContextual"/>
            </w:rPr>
          </w:pPr>
          <w:hyperlink w:anchor="_Toc225708749" w:history="1">
            <w:r w:rsidR="00BE3CEF" w:rsidRPr="00DD0594">
              <w:rPr>
                <w:rStyle w:val="ac"/>
                <w:rFonts w:ascii="Arial" w:hAnsi="Arial" w:cs="Arial"/>
                <w:noProof/>
              </w:rPr>
              <w:t>Supplementary Table 4. Comparison of Reimbursement Structures and Key Challenges in Lecanemab Treatment Across Countries</w:t>
            </w:r>
            <w:r w:rsidR="00BE3CEF" w:rsidRPr="00DD0594">
              <w:rPr>
                <w:rFonts w:ascii="Arial" w:hAnsi="Arial" w:cs="Arial"/>
                <w:noProof/>
                <w:webHidden/>
              </w:rPr>
              <w:tab/>
            </w:r>
            <w:r w:rsidR="00BE3CEF" w:rsidRPr="00DD0594">
              <w:rPr>
                <w:rFonts w:ascii="Arial" w:hAnsi="Arial" w:cs="Arial"/>
                <w:noProof/>
                <w:webHidden/>
              </w:rPr>
              <w:fldChar w:fldCharType="begin"/>
            </w:r>
            <w:r w:rsidR="00BE3CEF" w:rsidRPr="00DD0594">
              <w:rPr>
                <w:rFonts w:ascii="Arial" w:hAnsi="Arial" w:cs="Arial"/>
                <w:noProof/>
                <w:webHidden/>
              </w:rPr>
              <w:instrText xml:space="preserve"> PAGEREF _Toc225708749 \h </w:instrText>
            </w:r>
            <w:r w:rsidR="00BE3CEF" w:rsidRPr="00DD0594">
              <w:rPr>
                <w:rFonts w:ascii="Arial" w:hAnsi="Arial" w:cs="Arial"/>
                <w:noProof/>
                <w:webHidden/>
              </w:rPr>
            </w:r>
            <w:r w:rsidR="00BE3CEF" w:rsidRPr="00DD0594">
              <w:rPr>
                <w:rFonts w:ascii="Arial" w:hAnsi="Arial" w:cs="Arial"/>
                <w:noProof/>
                <w:webHidden/>
              </w:rPr>
              <w:fldChar w:fldCharType="separate"/>
            </w:r>
            <w:r w:rsidR="00BE3CEF" w:rsidRPr="00DD0594">
              <w:rPr>
                <w:rFonts w:ascii="Arial" w:hAnsi="Arial" w:cs="Arial"/>
                <w:noProof/>
                <w:webHidden/>
              </w:rPr>
              <w:t>12</w:t>
            </w:r>
            <w:r w:rsidR="00BE3CEF" w:rsidRPr="00DD0594">
              <w:rPr>
                <w:rFonts w:ascii="Arial" w:hAnsi="Arial" w:cs="Arial"/>
                <w:noProof/>
                <w:webHidden/>
              </w:rPr>
              <w:fldChar w:fldCharType="end"/>
            </w:r>
          </w:hyperlink>
        </w:p>
        <w:p w14:paraId="17022865" w14:textId="5490A63F" w:rsidR="006A4015" w:rsidRPr="00DD0594" w:rsidRDefault="006A4015" w:rsidP="00BE3CEF">
          <w:pPr>
            <w:spacing w:line="360" w:lineRule="auto"/>
            <w:rPr>
              <w:rFonts w:ascii="Arial" w:hAnsi="Arial" w:cs="Arial"/>
            </w:rPr>
          </w:pPr>
          <w:r w:rsidRPr="00DD0594">
            <w:rPr>
              <w:rFonts w:ascii="Arial" w:hAnsi="Arial" w:cs="Arial"/>
              <w:b/>
              <w:bCs/>
              <w:lang w:val="ko-KR"/>
            </w:rPr>
            <w:fldChar w:fldCharType="end"/>
          </w:r>
        </w:p>
      </w:sdtContent>
    </w:sdt>
    <w:p w14:paraId="6BA8CFB3" w14:textId="1A69B238" w:rsidR="00902AB4" w:rsidRPr="00DD0594" w:rsidRDefault="00902AB4" w:rsidP="00BE3CEF">
      <w:pPr>
        <w:pStyle w:val="10"/>
        <w:tabs>
          <w:tab w:val="right" w:leader="dot" w:pos="9016"/>
        </w:tabs>
        <w:spacing w:line="360" w:lineRule="auto"/>
        <w:rPr>
          <w:rFonts w:ascii="Arial" w:hAnsi="Arial" w:cs="Arial"/>
          <w:noProof/>
          <w:kern w:val="2"/>
          <w:sz w:val="20"/>
          <w:szCs w:val="20"/>
          <w14:ligatures w14:val="standardContextual"/>
        </w:rPr>
      </w:pPr>
      <w:r w:rsidRPr="00DD0594">
        <w:rPr>
          <w:rFonts w:ascii="Arial" w:hAnsi="Arial" w:cs="Arial"/>
          <w:b/>
          <w:sz w:val="20"/>
          <w:szCs w:val="20"/>
        </w:rPr>
        <w:br w:type="page"/>
      </w:r>
    </w:p>
    <w:p w14:paraId="4194C975" w14:textId="69016C15" w:rsidR="00EF3010" w:rsidRPr="00DD0594" w:rsidRDefault="00880FF6" w:rsidP="00BE3CEF">
      <w:pPr>
        <w:pStyle w:val="1"/>
        <w:keepNext w:val="0"/>
        <w:keepLines w:val="0"/>
        <w:widowControl w:val="0"/>
        <w:spacing w:before="0" w:after="0" w:line="360" w:lineRule="auto"/>
        <w:jc w:val="left"/>
        <w:rPr>
          <w:rFonts w:ascii="Arial" w:hAnsi="Arial" w:cs="Arial"/>
          <w:sz w:val="24"/>
        </w:rPr>
      </w:pPr>
      <w:bookmarkStart w:id="0" w:name="_bho8ptltcc1q" w:colFirst="0" w:colLast="0"/>
      <w:bookmarkStart w:id="1" w:name="_Toc158620499"/>
      <w:bookmarkStart w:id="2" w:name="_Toc225708739"/>
      <w:bookmarkEnd w:id="0"/>
      <w:r w:rsidRPr="00DD0594">
        <w:rPr>
          <w:rFonts w:ascii="Arial" w:hAnsi="Arial" w:cs="Arial"/>
          <w:sz w:val="24"/>
          <w:lang w:eastAsia="ko-KR"/>
        </w:rPr>
        <w:lastRenderedPageBreak/>
        <w:t xml:space="preserve">Supplementary </w:t>
      </w:r>
      <w:r w:rsidR="00953CC1" w:rsidRPr="00DD0594">
        <w:rPr>
          <w:rFonts w:ascii="Arial" w:hAnsi="Arial" w:cs="Arial"/>
          <w:sz w:val="24"/>
        </w:rPr>
        <w:t>Methods</w:t>
      </w:r>
      <w:bookmarkEnd w:id="1"/>
      <w:bookmarkEnd w:id="2"/>
      <w:r w:rsidR="00953CC1" w:rsidRPr="00DD0594">
        <w:rPr>
          <w:rFonts w:ascii="Arial" w:hAnsi="Arial" w:cs="Arial"/>
          <w:sz w:val="24"/>
        </w:rPr>
        <w:t xml:space="preserve"> </w:t>
      </w:r>
    </w:p>
    <w:p w14:paraId="5B4F0BAA" w14:textId="13609E37" w:rsidR="006A4015" w:rsidRPr="00DD0594" w:rsidRDefault="006A4015" w:rsidP="00BE3CEF">
      <w:pPr>
        <w:pStyle w:val="2"/>
        <w:spacing w:line="360" w:lineRule="auto"/>
        <w:rPr>
          <w:rFonts w:ascii="Arial" w:hAnsi="Arial" w:cs="Arial"/>
          <w:b/>
          <w:color w:val="000000" w:themeColor="text1"/>
          <w:kern w:val="0"/>
          <w:sz w:val="22"/>
          <w:szCs w:val="20"/>
        </w:rPr>
      </w:pPr>
      <w:bookmarkStart w:id="3" w:name="_Toc225708740"/>
      <w:r w:rsidRPr="00DD0594">
        <w:rPr>
          <w:rFonts w:ascii="Arial" w:hAnsi="Arial" w:cs="Arial"/>
          <w:b/>
          <w:color w:val="000000" w:themeColor="text1"/>
          <w:kern w:val="0"/>
          <w:sz w:val="22"/>
          <w:szCs w:val="20"/>
        </w:rPr>
        <w:t>Aβ PET Acquisition</w:t>
      </w:r>
      <w:r w:rsidR="002A0327" w:rsidRPr="00DD0594">
        <w:rPr>
          <w:rFonts w:ascii="Arial" w:hAnsi="Arial" w:cs="Arial"/>
          <w:b/>
          <w:color w:val="000000" w:themeColor="text1"/>
          <w:kern w:val="0"/>
          <w:sz w:val="22"/>
          <w:szCs w:val="20"/>
        </w:rPr>
        <w:t xml:space="preserve"> and definition of Aβ positivity</w:t>
      </w:r>
      <w:bookmarkEnd w:id="3"/>
    </w:p>
    <w:p w14:paraId="2F46F718" w14:textId="1DD91608" w:rsidR="00DB7A76" w:rsidRPr="00DD0594" w:rsidRDefault="002B5DC2" w:rsidP="00BE3CEF">
      <w:pPr>
        <w:widowControl/>
        <w:wordWrap/>
        <w:autoSpaceDE/>
        <w:spacing w:line="360" w:lineRule="auto"/>
        <w:rPr>
          <w:rFonts w:ascii="Arial" w:hAnsi="Arial" w:cs="Arial"/>
        </w:rPr>
      </w:pPr>
      <w:r w:rsidRPr="00DD0594">
        <w:rPr>
          <w:rFonts w:ascii="Arial" w:hAnsi="Arial" w:cs="Arial"/>
        </w:rPr>
        <w:t xml:space="preserve">Brain amyloid PET imaging was performed using a Discovery 690, Discovery 710, or Discovery 690 Elite PET/CT scanner (GE Healthcare) or a Biograph Vision 600 PET/CT scanner (Siemens </w:t>
      </w:r>
      <w:proofErr w:type="spellStart"/>
      <w:r w:rsidRPr="00DD0594">
        <w:rPr>
          <w:rFonts w:ascii="Arial" w:hAnsi="Arial" w:cs="Arial"/>
        </w:rPr>
        <w:t>Healthineers</w:t>
      </w:r>
      <w:proofErr w:type="spellEnd"/>
      <w:r w:rsidRPr="00DD0594">
        <w:rPr>
          <w:rFonts w:ascii="Arial" w:hAnsi="Arial" w:cs="Arial"/>
        </w:rPr>
        <w:t xml:space="preserve">). At </w:t>
      </w:r>
      <w:proofErr w:type="spellStart"/>
      <w:r w:rsidRPr="00DD0594">
        <w:rPr>
          <w:rFonts w:ascii="Arial" w:hAnsi="Arial" w:cs="Arial"/>
        </w:rPr>
        <w:t>Asan</w:t>
      </w:r>
      <w:proofErr w:type="spellEnd"/>
      <w:r w:rsidRPr="00DD0594">
        <w:rPr>
          <w:rFonts w:ascii="Arial" w:hAnsi="Arial" w:cs="Arial"/>
        </w:rPr>
        <w:t xml:space="preserve"> Medical Center, scans were acquired 90–110 minutes after intravenous administration of 300 ± 30 </w:t>
      </w:r>
      <w:proofErr w:type="spellStart"/>
      <w:r w:rsidRPr="00DD0594">
        <w:rPr>
          <w:rFonts w:ascii="Arial" w:hAnsi="Arial" w:cs="Arial"/>
        </w:rPr>
        <w:t>MBq</w:t>
      </w:r>
      <w:proofErr w:type="spellEnd"/>
      <w:r w:rsidRPr="00DD0594">
        <w:rPr>
          <w:rFonts w:ascii="Arial" w:hAnsi="Arial" w:cs="Arial"/>
        </w:rPr>
        <w:t xml:space="preserve"> of [¹⁸F</w:t>
      </w:r>
      <w:proofErr w:type="gramStart"/>
      <w:r w:rsidRPr="00DD0594">
        <w:rPr>
          <w:rFonts w:ascii="Arial" w:hAnsi="Arial" w:cs="Arial"/>
        </w:rPr>
        <w:t>]</w:t>
      </w:r>
      <w:proofErr w:type="spellStart"/>
      <w:r w:rsidRPr="00DD0594">
        <w:rPr>
          <w:rFonts w:ascii="Arial" w:hAnsi="Arial" w:cs="Arial"/>
        </w:rPr>
        <w:t>florbetaben</w:t>
      </w:r>
      <w:proofErr w:type="spellEnd"/>
      <w:proofErr w:type="gramEnd"/>
      <w:r w:rsidRPr="00DD0594">
        <w:rPr>
          <w:rFonts w:ascii="Arial" w:hAnsi="Arial" w:cs="Arial"/>
        </w:rPr>
        <w:t>. For data obtained from external sites, [¹⁸F</w:t>
      </w:r>
      <w:proofErr w:type="gramStart"/>
      <w:r w:rsidRPr="00DD0594">
        <w:rPr>
          <w:rFonts w:ascii="Arial" w:hAnsi="Arial" w:cs="Arial"/>
        </w:rPr>
        <w:t>]</w:t>
      </w:r>
      <w:proofErr w:type="spellStart"/>
      <w:r w:rsidRPr="00DD0594">
        <w:rPr>
          <w:rFonts w:ascii="Arial" w:hAnsi="Arial" w:cs="Arial"/>
        </w:rPr>
        <w:t>florbetaben</w:t>
      </w:r>
      <w:proofErr w:type="spellEnd"/>
      <w:proofErr w:type="gramEnd"/>
      <w:r w:rsidRPr="00DD0594">
        <w:rPr>
          <w:rFonts w:ascii="Arial" w:hAnsi="Arial" w:cs="Arial"/>
        </w:rPr>
        <w:t xml:space="preserve"> or [¹⁸F]</w:t>
      </w:r>
      <w:proofErr w:type="spellStart"/>
      <w:r w:rsidRPr="00DD0594">
        <w:rPr>
          <w:rFonts w:ascii="Arial" w:hAnsi="Arial" w:cs="Arial"/>
        </w:rPr>
        <w:t>flutemetamol</w:t>
      </w:r>
      <w:proofErr w:type="spellEnd"/>
      <w:r w:rsidRPr="00DD0594">
        <w:rPr>
          <w:rFonts w:ascii="Arial" w:hAnsi="Arial" w:cs="Arial"/>
        </w:rPr>
        <w:t xml:space="preserve"> PET scans were acquired according to each site’s routine clinical imaging procedures. </w:t>
      </w:r>
      <w:r w:rsidR="00E70E79" w:rsidRPr="00DD0594">
        <w:rPr>
          <w:rFonts w:ascii="Arial" w:hAnsi="Arial" w:cs="Arial"/>
        </w:rPr>
        <w:t>All scans were reviewed by nuclear medicine specialist (</w:t>
      </w:r>
      <w:r w:rsidR="002A0327" w:rsidRPr="00DD0594">
        <w:rPr>
          <w:rFonts w:ascii="Arial" w:hAnsi="Arial" w:cs="Arial"/>
        </w:rPr>
        <w:t xml:space="preserve">M.Y.O) </w:t>
      </w:r>
      <w:r w:rsidR="00E70E79" w:rsidRPr="00DD0594">
        <w:rPr>
          <w:rFonts w:ascii="Arial" w:hAnsi="Arial" w:cs="Arial"/>
        </w:rPr>
        <w:t>and neurologist. Treatment decisions were primarily based on visual reads</w:t>
      </w:r>
      <w:r w:rsidR="002A0327" w:rsidRPr="00DD0594">
        <w:rPr>
          <w:rFonts w:ascii="Arial" w:hAnsi="Arial" w:cs="Arial"/>
        </w:rPr>
        <w:t xml:space="preserve">. </w:t>
      </w:r>
      <w:r w:rsidR="00DB7A76" w:rsidRPr="00DD0594">
        <w:rPr>
          <w:rFonts w:ascii="Arial" w:hAnsi="Arial" w:cs="Arial"/>
        </w:rPr>
        <w:t>For [¹⁸F</w:t>
      </w:r>
      <w:proofErr w:type="gramStart"/>
      <w:r w:rsidR="00DB7A76" w:rsidRPr="00DD0594">
        <w:rPr>
          <w:rFonts w:ascii="Arial" w:hAnsi="Arial" w:cs="Arial"/>
        </w:rPr>
        <w:t>]</w:t>
      </w:r>
      <w:proofErr w:type="spellStart"/>
      <w:r w:rsidR="00DB7A76" w:rsidRPr="00DD0594">
        <w:rPr>
          <w:rFonts w:ascii="Arial" w:hAnsi="Arial" w:cs="Arial"/>
        </w:rPr>
        <w:t>florbetaben</w:t>
      </w:r>
      <w:proofErr w:type="spellEnd"/>
      <w:proofErr w:type="gramEnd"/>
      <w:r w:rsidR="00DB7A76" w:rsidRPr="00DD0594">
        <w:rPr>
          <w:rFonts w:ascii="Arial" w:hAnsi="Arial" w:cs="Arial"/>
        </w:rPr>
        <w:t xml:space="preserve"> PET scans, each of the predefined cortical regions (lateral temporal, frontal, posterior cingulate/</w:t>
      </w:r>
      <w:proofErr w:type="spellStart"/>
      <w:r w:rsidR="00DB7A76" w:rsidRPr="00DD0594">
        <w:rPr>
          <w:rFonts w:ascii="Arial" w:hAnsi="Arial" w:cs="Arial"/>
        </w:rPr>
        <w:t>precuneus</w:t>
      </w:r>
      <w:proofErr w:type="spellEnd"/>
      <w:r w:rsidR="00DB7A76" w:rsidRPr="00DD0594">
        <w:rPr>
          <w:rFonts w:ascii="Arial" w:hAnsi="Arial" w:cs="Arial"/>
        </w:rPr>
        <w:t xml:space="preserve">, and parietal cortex) was visually rated using a regional cortical tracer uptake (RCTU) scale. Based on these regional ratings, scans were classified at the subject level as amyloid-positive or amyloid-negative using a binary assessment reflecting overall brain amyloid plaque load (BAPL). A scan was considered negative when cortical uptake was lower than white matter across all regions, indicating sparse or absent amyloid deposition. In contrast, a scan was considered positive when one or more regions showed tracer uptake equal to or exceeding that of white matter, reflecting moderate to frequent amyloid </w:t>
      </w:r>
      <w:proofErr w:type="gramStart"/>
      <w:r w:rsidR="00DB7A76" w:rsidRPr="00DD0594">
        <w:rPr>
          <w:rFonts w:ascii="Arial" w:hAnsi="Arial" w:cs="Arial"/>
        </w:rPr>
        <w:t>deposition</w:t>
      </w:r>
      <w:proofErr w:type="gramEnd"/>
      <w:r w:rsidR="00DB7A76" w:rsidRPr="00DD0594">
        <w:rPr>
          <w:rFonts w:ascii="Arial" w:hAnsi="Arial" w:cs="Arial"/>
        </w:rPr>
        <w:fldChar w:fldCharType="begin">
          <w:fldData xml:space="preserve">PEVuZE5vdGU+PENpdGU+PEF1dGhvcj5CYXJ0aGVsPC9BdXRob3I+PFllYXI+MjAxMTwvWWVhcj48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</w:fldData>
        </w:fldChar>
      </w:r>
      <w:r w:rsidR="00F144CF" w:rsidRPr="00DD0594">
        <w:rPr>
          <w:rFonts w:ascii="Arial" w:hAnsi="Arial" w:cs="Arial"/>
        </w:rPr>
        <w:instrText xml:space="preserve"> ADDIN EN.CITE </w:instrText>
      </w:r>
      <w:r w:rsidR="00F144CF" w:rsidRPr="00DD0594">
        <w:rPr>
          <w:rFonts w:ascii="Arial" w:hAnsi="Arial" w:cs="Arial"/>
        </w:rPr>
        <w:fldChar w:fldCharType="begin">
          <w:fldData xml:space="preserve">PEVuZE5vdGU+PENpdGU+PEF1dGhvcj5CYXJ0aGVsPC9BdXRob3I+PFllYXI+MjAxMTwvWWVhcj48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</w:fldData>
        </w:fldChar>
      </w:r>
      <w:r w:rsidR="00F144CF" w:rsidRPr="00DD0594">
        <w:rPr>
          <w:rFonts w:ascii="Arial" w:hAnsi="Arial" w:cs="Arial"/>
        </w:rPr>
        <w:instrText xml:space="preserve"> ADDIN EN.CITE.DATA </w:instrText>
      </w:r>
      <w:r w:rsidR="00F144CF" w:rsidRPr="00DD0594">
        <w:rPr>
          <w:rFonts w:ascii="Arial" w:hAnsi="Arial" w:cs="Arial"/>
        </w:rPr>
      </w:r>
      <w:r w:rsidR="00F144CF" w:rsidRPr="00DD0594">
        <w:rPr>
          <w:rFonts w:ascii="Arial" w:hAnsi="Arial" w:cs="Arial"/>
        </w:rPr>
        <w:fldChar w:fldCharType="end"/>
      </w:r>
      <w:r w:rsidR="00DB7A76" w:rsidRPr="00DD0594">
        <w:rPr>
          <w:rFonts w:ascii="Arial" w:hAnsi="Arial" w:cs="Arial"/>
        </w:rPr>
      </w:r>
      <w:r w:rsidR="00DB7A76" w:rsidRPr="00DD0594">
        <w:rPr>
          <w:rFonts w:ascii="Arial" w:hAnsi="Arial" w:cs="Arial"/>
        </w:rPr>
        <w:fldChar w:fldCharType="separate"/>
      </w:r>
      <w:r w:rsidR="004916FD" w:rsidRPr="00DD0594">
        <w:rPr>
          <w:rFonts w:ascii="Arial" w:hAnsi="Arial" w:cs="Arial"/>
          <w:noProof/>
        </w:rPr>
        <w:t>[1]</w:t>
      </w:r>
      <w:r w:rsidR="00DB7A76" w:rsidRPr="00DD0594">
        <w:rPr>
          <w:rFonts w:ascii="Arial" w:hAnsi="Arial" w:cs="Arial"/>
        </w:rPr>
        <w:fldChar w:fldCharType="end"/>
      </w:r>
      <w:r w:rsidR="00DB7A76" w:rsidRPr="00DD0594">
        <w:rPr>
          <w:rFonts w:ascii="Arial" w:hAnsi="Arial" w:cs="Arial"/>
        </w:rPr>
        <w:t>. Similarly, [¹⁸F</w:t>
      </w:r>
      <w:proofErr w:type="gramStart"/>
      <w:r w:rsidR="00DB7A76" w:rsidRPr="00DD0594">
        <w:rPr>
          <w:rFonts w:ascii="Arial" w:hAnsi="Arial" w:cs="Arial"/>
        </w:rPr>
        <w:t>]</w:t>
      </w:r>
      <w:proofErr w:type="spellStart"/>
      <w:r w:rsidR="00DB7A76" w:rsidRPr="00DD0594">
        <w:rPr>
          <w:rFonts w:ascii="Arial" w:hAnsi="Arial" w:cs="Arial"/>
        </w:rPr>
        <w:t>flutemetamol</w:t>
      </w:r>
      <w:proofErr w:type="spellEnd"/>
      <w:proofErr w:type="gramEnd"/>
      <w:r w:rsidR="00DB7A76" w:rsidRPr="00DD0594">
        <w:rPr>
          <w:rFonts w:ascii="Arial" w:hAnsi="Arial" w:cs="Arial"/>
        </w:rPr>
        <w:t xml:space="preserve"> PET scans were regarded as positive when one of the five brain regions (frontal, parietal, posterior cingulate and </w:t>
      </w:r>
      <w:proofErr w:type="spellStart"/>
      <w:r w:rsidR="00DB7A76" w:rsidRPr="00DD0594">
        <w:rPr>
          <w:rFonts w:ascii="Arial" w:hAnsi="Arial" w:cs="Arial"/>
        </w:rPr>
        <w:t>precuneus</w:t>
      </w:r>
      <w:proofErr w:type="spellEnd"/>
      <w:r w:rsidR="00DB7A76" w:rsidRPr="00DD0594">
        <w:rPr>
          <w:rFonts w:ascii="Arial" w:hAnsi="Arial" w:cs="Arial"/>
        </w:rPr>
        <w:t>, striatum, and lateral temporal lobes) was positive in either hemisphere</w:t>
      </w:r>
      <w:r w:rsidR="00DB7A76" w:rsidRPr="00DD0594">
        <w:rPr>
          <w:rFonts w:ascii="Arial" w:hAnsi="Arial" w:cs="Arial"/>
        </w:rPr>
        <w:fldChar w:fldCharType="begin">
          <w:fldData xml:space="preserve">PEVuZE5vdGU+PENpdGU+PEF1dGhvcj5LaW08L0F1dGhvcj48WWVhcj4yMDE4PC9ZZWFyPjxSZWNO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</w:fldData>
        </w:fldChar>
      </w:r>
      <w:r w:rsidR="004916FD" w:rsidRPr="00DD0594">
        <w:rPr>
          <w:rFonts w:ascii="Arial" w:hAnsi="Arial" w:cs="Arial"/>
        </w:rPr>
        <w:instrText xml:space="preserve"> ADDIN EN.CITE </w:instrText>
      </w:r>
      <w:r w:rsidR="004916FD" w:rsidRPr="00DD0594">
        <w:rPr>
          <w:rFonts w:ascii="Arial" w:hAnsi="Arial" w:cs="Arial"/>
        </w:rPr>
        <w:fldChar w:fldCharType="begin">
          <w:fldData xml:space="preserve">PEVuZE5vdGU+PENpdGU+PEF1dGhvcj5LaW08L0F1dGhvcj48WWVhcj4yMDE4PC9ZZWFyPjxSZWNO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</w:fldData>
        </w:fldChar>
      </w:r>
      <w:r w:rsidR="004916FD" w:rsidRPr="00DD0594">
        <w:rPr>
          <w:rFonts w:ascii="Arial" w:hAnsi="Arial" w:cs="Arial"/>
        </w:rPr>
        <w:instrText xml:space="preserve"> ADDIN EN.CITE.DATA </w:instrText>
      </w:r>
      <w:r w:rsidR="004916FD" w:rsidRPr="00DD0594">
        <w:rPr>
          <w:rFonts w:ascii="Arial" w:hAnsi="Arial" w:cs="Arial"/>
        </w:rPr>
      </w:r>
      <w:r w:rsidR="004916FD" w:rsidRPr="00DD0594">
        <w:rPr>
          <w:rFonts w:ascii="Arial" w:hAnsi="Arial" w:cs="Arial"/>
        </w:rPr>
        <w:fldChar w:fldCharType="end"/>
      </w:r>
      <w:r w:rsidR="00DB7A76" w:rsidRPr="00DD0594">
        <w:rPr>
          <w:rFonts w:ascii="Arial" w:hAnsi="Arial" w:cs="Arial"/>
        </w:rPr>
      </w:r>
      <w:r w:rsidR="00DB7A76" w:rsidRPr="00DD0594">
        <w:rPr>
          <w:rFonts w:ascii="Arial" w:hAnsi="Arial" w:cs="Arial"/>
        </w:rPr>
        <w:fldChar w:fldCharType="separate"/>
      </w:r>
      <w:r w:rsidR="004916FD" w:rsidRPr="00DD0594">
        <w:rPr>
          <w:rFonts w:ascii="Arial" w:hAnsi="Arial" w:cs="Arial"/>
          <w:noProof/>
        </w:rPr>
        <w:t>[2]</w:t>
      </w:r>
      <w:r w:rsidR="00DB7A76" w:rsidRPr="00DD0594">
        <w:rPr>
          <w:rFonts w:ascii="Arial" w:hAnsi="Arial" w:cs="Arial"/>
        </w:rPr>
        <w:fldChar w:fldCharType="end"/>
      </w:r>
      <w:r w:rsidR="00DB7A76" w:rsidRPr="00DD0594">
        <w:rPr>
          <w:rFonts w:ascii="Arial" w:hAnsi="Arial" w:cs="Arial"/>
        </w:rPr>
        <w:t xml:space="preserve">. In case of disagreement, consensus between the two was reached through discussion. In cases with borderline findings, </w:t>
      </w:r>
      <w:proofErr w:type="spellStart"/>
      <w:r w:rsidR="00DB7A76" w:rsidRPr="00DD0594">
        <w:rPr>
          <w:rFonts w:ascii="Arial" w:hAnsi="Arial" w:cs="Arial"/>
        </w:rPr>
        <w:t>centiloid</w:t>
      </w:r>
      <w:proofErr w:type="spellEnd"/>
      <w:r w:rsidR="00DB7A76" w:rsidRPr="00DD0594">
        <w:rPr>
          <w:rFonts w:ascii="Arial" w:hAnsi="Arial" w:cs="Arial"/>
        </w:rPr>
        <w:t xml:space="preserve"> valu</w:t>
      </w:r>
      <w:r w:rsidR="00FA5825" w:rsidRPr="00DD0594">
        <w:rPr>
          <w:rFonts w:ascii="Arial" w:hAnsi="Arial" w:cs="Arial"/>
        </w:rPr>
        <w:t>es were additionally considered</w:t>
      </w:r>
      <w:r w:rsidR="00DB7A76" w:rsidRPr="00DD0594">
        <w:rPr>
          <w:rFonts w:ascii="Arial" w:hAnsi="Arial" w:cs="Arial"/>
        </w:rPr>
        <w:t>.</w:t>
      </w:r>
    </w:p>
    <w:p w14:paraId="2FDBEFB0" w14:textId="04B14638" w:rsidR="001B4F8A" w:rsidRPr="00DD0594" w:rsidRDefault="001B4F8A" w:rsidP="00BE3CEF">
      <w:pPr>
        <w:widowControl/>
        <w:wordWrap/>
        <w:autoSpaceDE/>
        <w:autoSpaceDN/>
        <w:spacing w:line="360" w:lineRule="auto"/>
        <w:rPr>
          <w:rFonts w:ascii="Arial" w:hAnsi="Arial" w:cs="Arial"/>
        </w:rPr>
      </w:pPr>
    </w:p>
    <w:p w14:paraId="1FDF96E8" w14:textId="6D1969A3" w:rsidR="001B4F8A" w:rsidRPr="00DD0594" w:rsidRDefault="001B4F8A" w:rsidP="00BE3CEF">
      <w:pPr>
        <w:pStyle w:val="2"/>
        <w:spacing w:line="360" w:lineRule="auto"/>
        <w:rPr>
          <w:rFonts w:ascii="Arial" w:hAnsi="Arial" w:cs="Arial"/>
          <w:b/>
          <w:color w:val="000000" w:themeColor="text1"/>
          <w:kern w:val="0"/>
          <w:sz w:val="22"/>
          <w:szCs w:val="20"/>
        </w:rPr>
      </w:pPr>
      <w:bookmarkStart w:id="4" w:name="_Toc225708741"/>
      <w:r w:rsidRPr="00DD0594">
        <w:rPr>
          <w:rFonts w:ascii="Arial" w:hAnsi="Arial" w:cs="Arial"/>
          <w:b/>
          <w:color w:val="000000" w:themeColor="text1"/>
          <w:kern w:val="0"/>
          <w:sz w:val="22"/>
          <w:szCs w:val="20"/>
        </w:rPr>
        <w:t>Dementia Prevalence Estimation</w:t>
      </w:r>
      <w:bookmarkEnd w:id="4"/>
      <w:r w:rsidRPr="00DD0594">
        <w:rPr>
          <w:rFonts w:ascii="Arial" w:hAnsi="Arial" w:cs="Arial"/>
          <w:b/>
          <w:color w:val="000000" w:themeColor="text1"/>
          <w:kern w:val="0"/>
          <w:sz w:val="22"/>
          <w:szCs w:val="20"/>
        </w:rPr>
        <w:t xml:space="preserve"> </w:t>
      </w:r>
    </w:p>
    <w:p w14:paraId="2400EDC0" w14:textId="1DD068DE" w:rsidR="00225410" w:rsidRPr="00DD0594" w:rsidRDefault="001B4F8A" w:rsidP="00BE3CEF">
      <w:pPr>
        <w:widowControl/>
        <w:wordWrap/>
        <w:autoSpaceDE/>
        <w:autoSpaceDN/>
        <w:spacing w:line="360" w:lineRule="auto"/>
        <w:rPr>
          <w:rFonts w:ascii="Arial" w:hAnsi="Arial" w:cs="Arial"/>
        </w:rPr>
      </w:pPr>
      <w:r w:rsidRPr="00DD0594">
        <w:rPr>
          <w:rFonts w:ascii="Arial" w:hAnsi="Arial" w:cs="Arial"/>
        </w:rPr>
        <w:t>Estimates were calculated by the Central Dementia Center using sex- and age-specific prevalence rates from the 2023 Dementia Epidemiological Survey (Ministry of Health and Welfare &amp; Central Dementia Center), applied to the Resident Registered Mid-Year Population (Statistics Korea) of each corresponding year</w:t>
      </w:r>
      <w:r w:rsidR="00225410" w:rsidRPr="00DD0594">
        <w:rPr>
          <w:rFonts w:ascii="Arial" w:hAnsi="Arial" w:cs="Arial"/>
        </w:rPr>
        <w:t xml:space="preserve"> (</w:t>
      </w:r>
      <w:hyperlink r:id="rId9" w:history="1">
        <w:r w:rsidR="00225410" w:rsidRPr="00DD0594">
          <w:rPr>
            <w:rStyle w:val="ac"/>
            <w:rFonts w:ascii="Arial" w:hAnsi="Arial" w:cs="Arial"/>
          </w:rPr>
          <w:t>https://www.data.go.kr/data/15073342/fileData.do?utm_source</w:t>
        </w:r>
      </w:hyperlink>
      <w:r w:rsidR="00225410" w:rsidRPr="00DD0594">
        <w:rPr>
          <w:rFonts w:ascii="Arial" w:hAnsi="Arial" w:cs="Arial"/>
        </w:rPr>
        <w:t>)</w:t>
      </w:r>
      <w:r w:rsidRPr="00DD0594">
        <w:rPr>
          <w:rFonts w:ascii="Arial" w:hAnsi="Arial" w:cs="Arial"/>
        </w:rPr>
        <w:t>.</w:t>
      </w:r>
    </w:p>
    <w:p w14:paraId="252D270F" w14:textId="77777777" w:rsidR="00225410" w:rsidRPr="00DD0594" w:rsidRDefault="001B4F8A" w:rsidP="00BE3CEF">
      <w:pPr>
        <w:widowControl/>
        <w:wordWrap/>
        <w:autoSpaceDE/>
        <w:autoSpaceDN/>
        <w:spacing w:line="360" w:lineRule="auto"/>
        <w:rPr>
          <w:rFonts w:ascii="Arial" w:hAnsi="Arial" w:cs="Arial"/>
        </w:rPr>
      </w:pPr>
      <w:r w:rsidRPr="00DD0594">
        <w:rPr>
          <w:rFonts w:ascii="Arial" w:hAnsi="Arial" w:cs="Arial"/>
        </w:rPr>
        <w:t>Because estimates are derived by multiplying the Resident Registered Mid-Year Population by prevalence rates, rounding may cause slight discrepancies in the total (differences of 1 or more persons).</w:t>
      </w:r>
      <w:r w:rsidR="00225410" w:rsidRPr="00DD0594">
        <w:rPr>
          <w:rFonts w:ascii="Arial" w:hAnsi="Arial" w:cs="Arial"/>
        </w:rPr>
        <w:t xml:space="preserve"> </w:t>
      </w:r>
    </w:p>
    <w:p w14:paraId="222F30C8" w14:textId="209D966D" w:rsidR="001B4F8A" w:rsidRPr="00DD0594" w:rsidRDefault="00225410" w:rsidP="00BE3CEF">
      <w:pPr>
        <w:widowControl/>
        <w:wordWrap/>
        <w:autoSpaceDE/>
        <w:autoSpaceDN/>
        <w:spacing w:line="360" w:lineRule="auto"/>
        <w:rPr>
          <w:rFonts w:ascii="Arial" w:hAnsi="Arial" w:cs="Arial"/>
        </w:rPr>
      </w:pPr>
      <w:r w:rsidRPr="00DD0594">
        <w:rPr>
          <w:rFonts w:ascii="Arial" w:hAnsi="Arial" w:cs="Arial"/>
        </w:rPr>
        <w:t xml:space="preserve">* </w:t>
      </w:r>
      <w:r w:rsidR="001B4F8A" w:rsidRPr="00DD0594">
        <w:rPr>
          <w:rFonts w:ascii="Arial" w:hAnsi="Arial" w:cs="Arial"/>
        </w:rPr>
        <w:t>The Resident Registered Mid-Year Population is calculated by Statistics Korea as the mid-point population of the year, using the arithmetic mean of the registered population at the end of the previous year and at the end of the current year.</w:t>
      </w:r>
      <w:r w:rsidRPr="00DD0594">
        <w:rPr>
          <w:rFonts w:ascii="Arial" w:hAnsi="Arial" w:cs="Arial"/>
        </w:rPr>
        <w:t xml:space="preserve"> </w:t>
      </w:r>
    </w:p>
    <w:p w14:paraId="5062AA50" w14:textId="0F74E65A" w:rsidR="001B4F8A" w:rsidRPr="00DD0594" w:rsidRDefault="001B4F8A" w:rsidP="00BE3CEF">
      <w:pPr>
        <w:widowControl/>
        <w:wordWrap/>
        <w:autoSpaceDE/>
        <w:autoSpaceDN/>
        <w:spacing w:line="360" w:lineRule="auto"/>
        <w:rPr>
          <w:rFonts w:ascii="Arial" w:hAnsi="Arial" w:cs="Arial"/>
        </w:rPr>
      </w:pPr>
      <w:r w:rsidRPr="00DD0594">
        <w:rPr>
          <w:rFonts w:ascii="Arial" w:hAnsi="Arial" w:cs="Arial"/>
        </w:rPr>
        <w:t>Example:</w:t>
      </w:r>
      <w:r w:rsidR="00225410" w:rsidRPr="00DD0594">
        <w:rPr>
          <w:rFonts w:ascii="Arial" w:hAnsi="Arial" w:cs="Arial"/>
        </w:rPr>
        <w:t xml:space="preserve"> </w:t>
      </w:r>
      <w:r w:rsidRPr="00DD0594">
        <w:rPr>
          <w:rFonts w:ascii="Arial" w:hAnsi="Arial" w:cs="Arial"/>
        </w:rPr>
        <w:t>2023 Resident Registered Mid-Year Population</w:t>
      </w:r>
    </w:p>
    <w:p w14:paraId="72C5E363" w14:textId="742C8C9C" w:rsidR="001B4F8A" w:rsidRPr="00DD0594" w:rsidRDefault="001B4F8A" w:rsidP="00BE3CEF">
      <w:pPr>
        <w:widowControl/>
        <w:wordWrap/>
        <w:autoSpaceDE/>
        <w:autoSpaceDN/>
        <w:spacing w:line="360" w:lineRule="auto"/>
        <w:rPr>
          <w:rFonts w:ascii="Arial" w:hAnsi="Arial" w:cs="Arial"/>
        </w:rPr>
      </w:pPr>
      <w:r w:rsidRPr="00DD0594">
        <w:rPr>
          <w:rFonts w:ascii="Arial" w:hAnsi="Arial" w:cs="Arial"/>
        </w:rPr>
        <w:t>= (Registered population as of Dec 31, 2022 + Registered population as of Dec 31, 2023) / 2</w:t>
      </w:r>
    </w:p>
    <w:p w14:paraId="71302E66" w14:textId="34F304AD" w:rsidR="006A4015" w:rsidRPr="00DD0594" w:rsidRDefault="006A4015" w:rsidP="00BE3CEF">
      <w:pPr>
        <w:widowControl/>
        <w:wordWrap/>
        <w:autoSpaceDE/>
        <w:autoSpaceDN/>
        <w:spacing w:line="360" w:lineRule="auto"/>
        <w:rPr>
          <w:rFonts w:ascii="Arial" w:hAnsi="Arial" w:cs="Arial"/>
          <w:b/>
          <w:kern w:val="0"/>
          <w:szCs w:val="20"/>
          <w:lang w:eastAsia="en-US"/>
        </w:rPr>
      </w:pPr>
      <w:r w:rsidRPr="00DD0594">
        <w:rPr>
          <w:rFonts w:ascii="Arial" w:hAnsi="Arial" w:cs="Arial"/>
          <w:b/>
          <w:kern w:val="0"/>
          <w:szCs w:val="20"/>
          <w:lang w:eastAsia="en-US"/>
        </w:rPr>
        <w:br w:type="page"/>
      </w:r>
    </w:p>
    <w:p w14:paraId="6FA53954" w14:textId="40463967" w:rsidR="00EF3010" w:rsidRPr="00DD0594" w:rsidRDefault="00880FF6" w:rsidP="00BE3CEF">
      <w:pPr>
        <w:pStyle w:val="1"/>
        <w:keepNext w:val="0"/>
        <w:keepLines w:val="0"/>
        <w:widowControl w:val="0"/>
        <w:spacing w:before="0" w:after="0" w:line="360" w:lineRule="auto"/>
        <w:jc w:val="left"/>
        <w:rPr>
          <w:rFonts w:ascii="Arial" w:hAnsi="Arial" w:cs="Arial"/>
          <w:sz w:val="24"/>
        </w:rPr>
      </w:pPr>
      <w:bookmarkStart w:id="5" w:name="_Toc225708742"/>
      <w:r w:rsidRPr="00DD0594">
        <w:rPr>
          <w:rFonts w:ascii="Arial" w:hAnsi="Arial" w:cs="Arial"/>
          <w:sz w:val="24"/>
          <w:lang w:eastAsia="ko-KR"/>
        </w:rPr>
        <w:lastRenderedPageBreak/>
        <w:t xml:space="preserve">Supplementary </w:t>
      </w:r>
      <w:r w:rsidR="00EF3010" w:rsidRPr="00DD0594">
        <w:rPr>
          <w:rFonts w:ascii="Arial" w:hAnsi="Arial" w:cs="Arial"/>
          <w:sz w:val="24"/>
          <w:lang w:eastAsia="ko-KR"/>
        </w:rPr>
        <w:t>Results</w:t>
      </w:r>
      <w:bookmarkEnd w:id="5"/>
    </w:p>
    <w:p w14:paraId="6693AA35" w14:textId="48B2ACC1" w:rsidR="00E97DD6" w:rsidRPr="00DD0594" w:rsidRDefault="00E97DD6" w:rsidP="00BE3CEF">
      <w:pPr>
        <w:pStyle w:val="2"/>
        <w:spacing w:line="360" w:lineRule="auto"/>
        <w:rPr>
          <w:rFonts w:ascii="Arial" w:hAnsi="Arial" w:cs="Arial"/>
          <w:b/>
          <w:color w:val="000000" w:themeColor="text1"/>
          <w:kern w:val="0"/>
          <w:sz w:val="22"/>
          <w:szCs w:val="20"/>
        </w:rPr>
      </w:pPr>
      <w:bookmarkStart w:id="6" w:name="_Toc225708743"/>
      <w:r w:rsidRPr="00DD0594">
        <w:rPr>
          <w:rFonts w:ascii="Arial" w:hAnsi="Arial" w:cs="Arial"/>
          <w:b/>
          <w:color w:val="000000" w:themeColor="text1"/>
          <w:kern w:val="0"/>
          <w:sz w:val="22"/>
          <w:szCs w:val="20"/>
        </w:rPr>
        <w:t>Infusion-Related Reactions</w:t>
      </w:r>
      <w:bookmarkEnd w:id="6"/>
    </w:p>
    <w:p w14:paraId="346954A5" w14:textId="60D1192E" w:rsidR="00E97DD6" w:rsidRPr="00DD0594" w:rsidRDefault="00E97DD6" w:rsidP="00BE3CEF">
      <w:pPr>
        <w:widowControl/>
        <w:wordWrap/>
        <w:autoSpaceDE/>
        <w:autoSpaceDN/>
        <w:spacing w:line="360" w:lineRule="auto"/>
        <w:rPr>
          <w:rFonts w:ascii="Arial" w:hAnsi="Arial" w:cs="Arial"/>
        </w:rPr>
      </w:pPr>
      <w:r w:rsidRPr="00DD0594">
        <w:rPr>
          <w:rFonts w:ascii="Arial" w:hAnsi="Arial" w:cs="Arial"/>
        </w:rPr>
        <w:t xml:space="preserve">The most common symptom was fever (32/41, 78%), often accompanied by chills (15/41, 37%), headache (8/41, 20%), myalgia (7/41, 17%), and skin rash (5/41, 12%). Among patients without fever, non-febrile events included skin rash (3/41, 7%), acute confusion (1/41, 2%), headache (1/41, 2%), chills (1/41, 2%), and hypotension (2/41, 4%; one asymptomatic, one symptomatic). Most reactions were mild to moderate (39/41, 95%), while two patients (5%) experienced severe reactions requiring </w:t>
      </w:r>
      <w:proofErr w:type="spellStart"/>
      <w:r w:rsidRPr="00DD0594">
        <w:rPr>
          <w:rFonts w:ascii="Arial" w:hAnsi="Arial" w:cs="Arial"/>
        </w:rPr>
        <w:t>lecanemab</w:t>
      </w:r>
      <w:proofErr w:type="spellEnd"/>
      <w:r w:rsidRPr="00DD0594">
        <w:rPr>
          <w:rFonts w:ascii="Arial" w:hAnsi="Arial" w:cs="Arial"/>
        </w:rPr>
        <w:t xml:space="preserve"> discontinuation, which are described in detail later in the Results section. Premedication was not routinely used; however, patients with prior fever received acetaminophen before the second and third infusions, which was discontinued if fever did not recur. Two patients with recurrent rash after the third infusion were treated with oral prednisolone.</w:t>
      </w:r>
    </w:p>
    <w:p w14:paraId="2ACB6878" w14:textId="307CF54E" w:rsidR="00E97DD6" w:rsidRPr="00DD0594" w:rsidRDefault="00E97DD6" w:rsidP="00BE3CEF">
      <w:pPr>
        <w:spacing w:line="360" w:lineRule="auto"/>
        <w:rPr>
          <w:rFonts w:ascii="Arial" w:hAnsi="Arial" w:cs="Arial"/>
        </w:rPr>
      </w:pPr>
    </w:p>
    <w:p w14:paraId="6D267090" w14:textId="77777777" w:rsidR="00FA7C90" w:rsidRPr="00DD0594" w:rsidRDefault="00FA7C90" w:rsidP="00BE3CEF">
      <w:pPr>
        <w:widowControl/>
        <w:wordWrap/>
        <w:autoSpaceDE/>
        <w:autoSpaceDN/>
        <w:spacing w:line="360" w:lineRule="auto"/>
        <w:rPr>
          <w:rFonts w:ascii="Arial" w:hAnsi="Arial" w:cs="Arial"/>
          <w:b/>
          <w:kern w:val="0"/>
          <w:sz w:val="24"/>
          <w:szCs w:val="20"/>
        </w:rPr>
      </w:pPr>
      <w:r w:rsidRPr="00DD0594">
        <w:rPr>
          <w:rFonts w:ascii="Arial" w:hAnsi="Arial" w:cs="Arial"/>
          <w:sz w:val="24"/>
        </w:rPr>
        <w:br w:type="page"/>
      </w:r>
    </w:p>
    <w:p w14:paraId="7B1F2EA3" w14:textId="6F64D38B" w:rsidR="008B1134" w:rsidRPr="00DD0594" w:rsidRDefault="00781A5C" w:rsidP="00781A5C">
      <w:pPr>
        <w:spacing w:line="360" w:lineRule="auto"/>
        <w:jc w:val="left"/>
        <w:rPr>
          <w:rFonts w:ascii="Arial" w:hAnsi="Arial" w:cs="Arial"/>
          <w:b/>
          <w:kern w:val="0"/>
          <w:szCs w:val="20"/>
          <w:lang w:eastAsia="en-US"/>
        </w:rPr>
      </w:pPr>
      <w:bookmarkStart w:id="7" w:name="OLE_LINK3"/>
      <w:proofErr w:type="gramStart"/>
      <w:r w:rsidRPr="00DD0594">
        <w:rPr>
          <w:rFonts w:ascii="Arial" w:hAnsi="Arial" w:cs="Arial"/>
          <w:b/>
          <w:kern w:val="0"/>
          <w:szCs w:val="20"/>
          <w:lang w:eastAsia="en-US"/>
        </w:rPr>
        <w:lastRenderedPageBreak/>
        <w:t>Supplementary Figure 1.</w:t>
      </w:r>
      <w:proofErr w:type="gramEnd"/>
      <w:r w:rsidRPr="00DD0594">
        <w:rPr>
          <w:rFonts w:ascii="Arial" w:hAnsi="Arial" w:cs="Arial"/>
          <w:b/>
          <w:kern w:val="0"/>
          <w:szCs w:val="20"/>
          <w:lang w:eastAsia="en-US"/>
        </w:rPr>
        <w:t xml:space="preserve"> </w:t>
      </w:r>
      <w:proofErr w:type="spellStart"/>
      <w:r w:rsidRPr="00DD0594">
        <w:rPr>
          <w:rFonts w:ascii="Arial" w:hAnsi="Arial" w:cs="Arial"/>
          <w:b/>
          <w:kern w:val="0"/>
          <w:szCs w:val="20"/>
          <w:lang w:eastAsia="en-US"/>
        </w:rPr>
        <w:t>Heatmap</w:t>
      </w:r>
      <w:proofErr w:type="spellEnd"/>
      <w:r w:rsidRPr="00DD0594">
        <w:rPr>
          <w:rFonts w:ascii="Arial" w:hAnsi="Arial" w:cs="Arial"/>
          <w:b/>
          <w:kern w:val="0"/>
          <w:szCs w:val="20"/>
          <w:lang w:eastAsia="en-US"/>
        </w:rPr>
        <w:t xml:space="preserve"> of biweekly </w:t>
      </w:r>
      <w:proofErr w:type="spellStart"/>
      <w:r w:rsidRPr="00DD0594">
        <w:rPr>
          <w:rFonts w:ascii="Arial" w:hAnsi="Arial" w:cs="Arial"/>
          <w:b/>
          <w:kern w:val="0"/>
          <w:szCs w:val="20"/>
          <w:lang w:eastAsia="en-US"/>
        </w:rPr>
        <w:t>lecanemab</w:t>
      </w:r>
      <w:proofErr w:type="spellEnd"/>
      <w:r w:rsidRPr="00DD0594">
        <w:rPr>
          <w:rFonts w:ascii="Arial" w:hAnsi="Arial" w:cs="Arial"/>
          <w:b/>
          <w:kern w:val="0"/>
          <w:szCs w:val="20"/>
          <w:lang w:eastAsia="en-US"/>
        </w:rPr>
        <w:t xml:space="preserve"> infusion doses, amyloid-related imaging abnormalities (ARIA) events, and treatment decisions</w:t>
      </w:r>
      <w:r w:rsidR="00347925" w:rsidRPr="00DD0594">
        <w:rPr>
          <w:rFonts w:ascii="Arial" w:hAnsi="Arial" w:cs="Arial"/>
          <w:noProof/>
        </w:rPr>
        <w:drawing>
          <wp:inline distT="0" distB="0" distL="0" distR="0" wp14:anchorId="5AEA5D2E" wp14:editId="5601009E">
            <wp:extent cx="5442582" cy="8113222"/>
            <wp:effectExtent l="0" t="0" r="6350" b="2540"/>
            <wp:docPr id="91177258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72583" name="그림 9117725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48351" cy="8121821"/>
                    </a:xfrm>
                    <a:prstGeom prst="rect">
                      <a:avLst/>
                    </a:prstGeom>
                  </pic:spPr>
                </pic:pic>
              </a:graphicData>
            </a:graphic>
          </wp:inline>
        </w:drawing>
      </w:r>
    </w:p>
    <w:p w14:paraId="1BADC65A" w14:textId="14FCC6E1" w:rsidR="00781A5C" w:rsidRPr="00DD0594" w:rsidRDefault="00781A5C" w:rsidP="00781A5C">
      <w:pPr>
        <w:pStyle w:val="font-claude-response-body"/>
        <w:spacing w:line="360" w:lineRule="auto"/>
        <w:rPr>
          <w:rFonts w:ascii="Arial" w:eastAsiaTheme="minorEastAsia" w:hAnsi="Arial" w:cs="Arial"/>
          <w:kern w:val="2"/>
          <w:sz w:val="20"/>
          <w:szCs w:val="22"/>
        </w:rPr>
      </w:pPr>
      <w:r w:rsidRPr="00DD0594">
        <w:rPr>
          <w:rFonts w:ascii="Arial" w:eastAsiaTheme="minorEastAsia" w:hAnsi="Arial" w:cs="Arial"/>
          <w:kern w:val="2"/>
          <w:sz w:val="20"/>
          <w:szCs w:val="22"/>
        </w:rPr>
        <w:lastRenderedPageBreak/>
        <w:t xml:space="preserve">Each row represents </w:t>
      </w:r>
      <w:r w:rsidR="00C225F4" w:rsidRPr="00DD0594">
        <w:rPr>
          <w:rFonts w:ascii="Arial" w:eastAsiaTheme="minorEastAsia" w:hAnsi="Arial" w:cs="Arial"/>
          <w:kern w:val="2"/>
          <w:sz w:val="20"/>
          <w:szCs w:val="22"/>
        </w:rPr>
        <w:t>a dose-titrated patient (all APOE ε4/ε4 homozygotes and the patient with prior intracerebral hemorrhage)</w:t>
      </w:r>
      <w:r w:rsidR="007506FB" w:rsidRPr="00DD0594">
        <w:rPr>
          <w:rFonts w:ascii="Arial" w:eastAsiaTheme="minorEastAsia" w:hAnsi="Arial" w:cs="Arial"/>
          <w:kern w:val="2"/>
          <w:sz w:val="20"/>
          <w:szCs w:val="22"/>
        </w:rPr>
        <w:t>, ordered from top to bottom by the chronological sequence of treatment initiation (earliest at the top),</w:t>
      </w:r>
      <w:r w:rsidRPr="00DD0594">
        <w:rPr>
          <w:rFonts w:ascii="Arial" w:eastAsiaTheme="minorEastAsia" w:hAnsi="Arial" w:cs="Arial"/>
          <w:kern w:val="2"/>
          <w:sz w:val="20"/>
          <w:szCs w:val="22"/>
        </w:rPr>
        <w:t xml:space="preserve"> and columns indicate </w:t>
      </w:r>
      <w:r w:rsidR="00E7000C" w:rsidRPr="00DD0594">
        <w:rPr>
          <w:rFonts w:ascii="Arial" w:eastAsiaTheme="minorEastAsia" w:hAnsi="Arial" w:cs="Arial"/>
          <w:kern w:val="2"/>
          <w:sz w:val="20"/>
          <w:szCs w:val="22"/>
        </w:rPr>
        <w:t>successive infusion numbers rather than proportional calendar time; therefore, temporary suspension intervals are indicated by the treatment-decision icons and subsequent resumption pattern, not by proportional time gaps between cells</w:t>
      </w:r>
      <w:r w:rsidRPr="00DD0594">
        <w:rPr>
          <w:rFonts w:ascii="Arial" w:eastAsiaTheme="minorEastAsia" w:hAnsi="Arial" w:cs="Arial"/>
          <w:kern w:val="2"/>
          <w:sz w:val="20"/>
          <w:szCs w:val="22"/>
        </w:rPr>
        <w:t>. Cell shading intensity corresponds to the dose administered at each cycle (5, 7.5, 8.5, or 10 mg/kg), as indicated in the legend</w:t>
      </w:r>
      <w:r w:rsidR="00EC6A98" w:rsidRPr="00DD0594">
        <w:rPr>
          <w:rFonts w:ascii="Arial" w:eastAsiaTheme="minorEastAsia" w:hAnsi="Arial" w:cs="Arial"/>
          <w:kern w:val="2"/>
          <w:sz w:val="20"/>
          <w:szCs w:val="22"/>
        </w:rPr>
        <w:t>, with the numeric dose printed within each cell</w:t>
      </w:r>
      <w:r w:rsidRPr="00DD0594">
        <w:rPr>
          <w:rFonts w:ascii="Arial" w:eastAsiaTheme="minorEastAsia" w:hAnsi="Arial" w:cs="Arial"/>
          <w:kern w:val="2"/>
          <w:sz w:val="20"/>
          <w:szCs w:val="22"/>
        </w:rPr>
        <w:t xml:space="preserve">; orange cells denote cycles in which </w:t>
      </w:r>
      <w:proofErr w:type="spellStart"/>
      <w:r w:rsidRPr="00DD0594">
        <w:rPr>
          <w:rFonts w:ascii="Arial" w:eastAsiaTheme="minorEastAsia" w:hAnsi="Arial" w:cs="Arial"/>
          <w:kern w:val="2"/>
          <w:sz w:val="20"/>
          <w:szCs w:val="22"/>
        </w:rPr>
        <w:t>lecanemab</w:t>
      </w:r>
      <w:proofErr w:type="spellEnd"/>
      <w:r w:rsidRPr="00DD0594">
        <w:rPr>
          <w:rFonts w:ascii="Arial" w:eastAsiaTheme="minorEastAsia" w:hAnsi="Arial" w:cs="Arial"/>
          <w:kern w:val="2"/>
          <w:sz w:val="20"/>
          <w:szCs w:val="22"/>
        </w:rPr>
        <w:t xml:space="preserve"> was not given (0 mg/kg), and cells outlined with a dashed border indicate cycles not yet assessed at the time of analysis. ARIA-E (</w:t>
      </w:r>
      <w:r w:rsidR="003C7231" w:rsidRPr="00DD0594">
        <w:rPr>
          <w:rFonts w:ascii="Arial" w:eastAsiaTheme="minorEastAsia" w:hAnsi="Arial" w:cs="Arial"/>
          <w:kern w:val="2"/>
          <w:sz w:val="20"/>
          <w:szCs w:val="22"/>
        </w:rPr>
        <w:t>red, boxed "E"</w:t>
      </w:r>
      <w:r w:rsidRPr="00DD0594">
        <w:rPr>
          <w:rFonts w:ascii="Arial" w:eastAsiaTheme="minorEastAsia" w:hAnsi="Arial" w:cs="Arial"/>
          <w:kern w:val="2"/>
          <w:sz w:val="20"/>
          <w:szCs w:val="22"/>
        </w:rPr>
        <w:t>) and ARIA-H (</w:t>
      </w:r>
      <w:r w:rsidR="003C7231" w:rsidRPr="00DD0594">
        <w:rPr>
          <w:rFonts w:ascii="Arial" w:eastAsiaTheme="minorEastAsia" w:hAnsi="Arial" w:cs="Arial"/>
          <w:kern w:val="2"/>
          <w:sz w:val="20"/>
          <w:szCs w:val="22"/>
        </w:rPr>
        <w:t>blue, boxed "H"</w:t>
      </w:r>
      <w:r w:rsidRPr="00DD0594">
        <w:rPr>
          <w:rFonts w:ascii="Arial" w:eastAsiaTheme="minorEastAsia" w:hAnsi="Arial" w:cs="Arial"/>
          <w:kern w:val="2"/>
          <w:sz w:val="20"/>
          <w:szCs w:val="22"/>
        </w:rPr>
        <w:t xml:space="preserve">) markers are positioned on the gridline between two infusion cycles to indicate detection on surveillance MRI performed prior to the subsequent infusion (e.g., a marker between cycles 4 and 5 indicates ARIA detected on MRI before the 5th infusion). </w:t>
      </w:r>
      <w:r w:rsidR="003C7231" w:rsidRPr="00DD0594">
        <w:rPr>
          <w:rFonts w:ascii="Arial" w:eastAsiaTheme="minorEastAsia" w:hAnsi="Arial" w:cs="Arial"/>
          <w:kern w:val="2"/>
          <w:sz w:val="20"/>
          <w:szCs w:val="22"/>
        </w:rPr>
        <w:t>Treatment decisions made at each MRI time point are shown above the ARIA markers: maintain (green triangle), suspend (orange double bar), and discontinue (</w:t>
      </w:r>
      <w:proofErr w:type="gramStart"/>
      <w:r w:rsidR="003C7231" w:rsidRPr="00DD0594">
        <w:rPr>
          <w:rFonts w:ascii="Arial" w:eastAsiaTheme="minorEastAsia" w:hAnsi="Arial" w:cs="Arial"/>
          <w:kern w:val="2"/>
          <w:sz w:val="20"/>
          <w:szCs w:val="22"/>
        </w:rPr>
        <w:t>red cross</w:t>
      </w:r>
      <w:proofErr w:type="gramEnd"/>
      <w:r w:rsidR="003C7231" w:rsidRPr="00DD0594">
        <w:rPr>
          <w:rFonts w:ascii="Arial" w:eastAsiaTheme="minorEastAsia" w:hAnsi="Arial" w:cs="Arial"/>
          <w:kern w:val="2"/>
          <w:sz w:val="20"/>
          <w:szCs w:val="22"/>
        </w:rPr>
        <w:t>)</w:t>
      </w:r>
      <w:r w:rsidRPr="00DD0594">
        <w:rPr>
          <w:rFonts w:ascii="Arial" w:eastAsiaTheme="minorEastAsia" w:hAnsi="Arial" w:cs="Arial"/>
          <w:kern w:val="2"/>
          <w:sz w:val="20"/>
          <w:szCs w:val="22"/>
        </w:rPr>
        <w:t xml:space="preserve">. Patient labels on the y-axis display age, sex, APOE genotype, and baseline counts of lobar (L) and deep (D) cerebral </w:t>
      </w:r>
      <w:proofErr w:type="spellStart"/>
      <w:r w:rsidRPr="00DD0594">
        <w:rPr>
          <w:rFonts w:ascii="Arial" w:eastAsiaTheme="minorEastAsia" w:hAnsi="Arial" w:cs="Arial"/>
          <w:kern w:val="2"/>
          <w:sz w:val="20"/>
          <w:szCs w:val="22"/>
        </w:rPr>
        <w:t>microbleeds</w:t>
      </w:r>
      <w:proofErr w:type="spellEnd"/>
      <w:r w:rsidRPr="00DD0594">
        <w:rPr>
          <w:rFonts w:ascii="Arial" w:eastAsiaTheme="minorEastAsia" w:hAnsi="Arial" w:cs="Arial"/>
          <w:kern w:val="2"/>
          <w:sz w:val="20"/>
          <w:szCs w:val="22"/>
        </w:rPr>
        <w:t xml:space="preserve"> (CMBs); a history of intracerebral hemorrhage (ICH) is additionally noted where present. Superscripts </w:t>
      </w:r>
      <w:proofErr w:type="gramStart"/>
      <w:r w:rsidRPr="00DD0594">
        <w:rPr>
          <w:rFonts w:ascii="Arial" w:eastAsiaTheme="minorEastAsia" w:hAnsi="Arial" w:cs="Arial"/>
          <w:kern w:val="2"/>
          <w:sz w:val="20"/>
          <w:szCs w:val="22"/>
        </w:rPr>
        <w:t>a and</w:t>
      </w:r>
      <w:proofErr w:type="gramEnd"/>
      <w:r w:rsidRPr="00DD0594">
        <w:rPr>
          <w:rFonts w:ascii="Arial" w:eastAsiaTheme="minorEastAsia" w:hAnsi="Arial" w:cs="Arial"/>
          <w:kern w:val="2"/>
          <w:sz w:val="20"/>
          <w:szCs w:val="22"/>
        </w:rPr>
        <w:t xml:space="preserve"> b distinguish two patients sharing identical demographic and CMB labels.</w:t>
      </w:r>
    </w:p>
    <w:p w14:paraId="749F1986" w14:textId="0E46F9BE" w:rsidR="00781A5C" w:rsidRPr="00DD0594" w:rsidRDefault="00781A5C" w:rsidP="00781A5C">
      <w:pPr>
        <w:pStyle w:val="font-claude-response-body"/>
        <w:spacing w:line="360" w:lineRule="auto"/>
        <w:rPr>
          <w:rFonts w:ascii="Arial" w:eastAsiaTheme="minorEastAsia" w:hAnsi="Arial" w:cs="Arial"/>
          <w:kern w:val="2"/>
          <w:sz w:val="20"/>
          <w:szCs w:val="22"/>
        </w:rPr>
      </w:pPr>
      <w:r w:rsidRPr="00DD0594">
        <w:rPr>
          <w:rFonts w:ascii="Arial" w:eastAsiaTheme="minorEastAsia" w:hAnsi="Arial" w:cs="Arial"/>
          <w:kern w:val="2"/>
          <w:sz w:val="20"/>
          <w:szCs w:val="22"/>
        </w:rPr>
        <w:t>*Case 67/F (ε4/ε4</w:t>
      </w:r>
      <w:r w:rsidR="00E7000C" w:rsidRPr="00DD0594">
        <w:rPr>
          <w:rFonts w:ascii="Arial" w:eastAsiaTheme="minorEastAsia" w:hAnsi="Arial" w:cs="Arial" w:hint="eastAsia"/>
          <w:kern w:val="2"/>
          <w:sz w:val="20"/>
          <w:szCs w:val="22"/>
        </w:rPr>
        <w:t>,</w:t>
      </w:r>
      <w:r w:rsidR="00E7000C" w:rsidRPr="00DD0594">
        <w:rPr>
          <w:rFonts w:ascii="Arial" w:eastAsiaTheme="minorEastAsia" w:hAnsi="Arial" w:cs="Arial"/>
          <w:kern w:val="2"/>
          <w:sz w:val="20"/>
          <w:szCs w:val="22"/>
        </w:rPr>
        <w:t xml:space="preserve"> L2D1</w:t>
      </w:r>
      <w:r w:rsidRPr="00DD0594">
        <w:rPr>
          <w:rFonts w:ascii="Arial" w:eastAsiaTheme="minorEastAsia" w:hAnsi="Arial" w:cs="Arial"/>
          <w:kern w:val="2"/>
          <w:sz w:val="20"/>
          <w:szCs w:val="22"/>
        </w:rPr>
        <w:t>) received a reduced dose (400 mg; 8.5 mg/kg) based on individualized clinical decision-making considering recurrent ARIA risk and treatment cost.</w:t>
      </w:r>
    </w:p>
    <w:p w14:paraId="16A317AD" w14:textId="77777777" w:rsidR="00781A5C" w:rsidRPr="00DD0594" w:rsidRDefault="00781A5C" w:rsidP="00781A5C">
      <w:pPr>
        <w:pStyle w:val="font-claude-response-body"/>
        <w:spacing w:line="360" w:lineRule="auto"/>
        <w:rPr>
          <w:rFonts w:ascii="Arial" w:eastAsiaTheme="minorEastAsia" w:hAnsi="Arial" w:cs="Arial"/>
          <w:kern w:val="2"/>
          <w:sz w:val="20"/>
          <w:szCs w:val="22"/>
        </w:rPr>
      </w:pPr>
      <w:r w:rsidRPr="00DD0594">
        <w:rPr>
          <w:rFonts w:ascii="Arial" w:eastAsiaTheme="minorEastAsia" w:hAnsi="Arial" w:cs="Arial"/>
          <w:kern w:val="2"/>
          <w:sz w:val="20"/>
          <w:szCs w:val="22"/>
        </w:rPr>
        <w:t xml:space="preserve">Abbreviations: ARIA-E, amyloid-related imaging abnormalities–edema/effusion; ARIA-H, amyloid-related imaging abnormalities–hemorrhage/hemosiderin deposition; APOE, apolipoprotein E; CMBs, cerebral </w:t>
      </w:r>
      <w:proofErr w:type="spellStart"/>
      <w:r w:rsidRPr="00DD0594">
        <w:rPr>
          <w:rFonts w:ascii="Arial" w:eastAsiaTheme="minorEastAsia" w:hAnsi="Arial" w:cs="Arial"/>
          <w:kern w:val="2"/>
          <w:sz w:val="20"/>
          <w:szCs w:val="22"/>
        </w:rPr>
        <w:t>microbleeds</w:t>
      </w:r>
      <w:proofErr w:type="spellEnd"/>
      <w:r w:rsidRPr="00DD0594">
        <w:rPr>
          <w:rFonts w:ascii="Arial" w:eastAsiaTheme="minorEastAsia" w:hAnsi="Arial" w:cs="Arial"/>
          <w:kern w:val="2"/>
          <w:sz w:val="20"/>
          <w:szCs w:val="22"/>
        </w:rPr>
        <w:t>; ICH, intracerebral hemorrhage</w:t>
      </w:r>
    </w:p>
    <w:bookmarkEnd w:id="7"/>
    <w:p w14:paraId="53B20954" w14:textId="065A2E8F" w:rsidR="00C57996" w:rsidRPr="00DD0594" w:rsidRDefault="006825E2" w:rsidP="00BE3CEF">
      <w:pPr>
        <w:pStyle w:val="1"/>
        <w:spacing w:line="360" w:lineRule="auto"/>
        <w:rPr>
          <w:rFonts w:ascii="Arial" w:hAnsi="Arial" w:cs="Arial"/>
        </w:rPr>
      </w:pPr>
      <w:r w:rsidRPr="00DD0594">
        <w:rPr>
          <w:rFonts w:ascii="Arial" w:hAnsi="Arial" w:cs="Arial"/>
        </w:rPr>
        <w:br w:type="page"/>
      </w:r>
      <w:bookmarkStart w:id="8" w:name="_Toc225708745"/>
      <w:proofErr w:type="gramStart"/>
      <w:r w:rsidR="00C57996" w:rsidRPr="00DD0594">
        <w:rPr>
          <w:rFonts w:ascii="Arial" w:hAnsi="Arial" w:cs="Arial"/>
        </w:rPr>
        <w:lastRenderedPageBreak/>
        <w:t>Supplementary Figure 2.</w:t>
      </w:r>
      <w:proofErr w:type="gramEnd"/>
      <w:r w:rsidR="00C57996" w:rsidRPr="00DD0594">
        <w:rPr>
          <w:rFonts w:ascii="Arial" w:hAnsi="Arial" w:cs="Arial"/>
        </w:rPr>
        <w:t xml:space="preserve"> Comparison of cerebral </w:t>
      </w:r>
      <w:proofErr w:type="spellStart"/>
      <w:r w:rsidR="00C57996" w:rsidRPr="00DD0594">
        <w:rPr>
          <w:rFonts w:ascii="Arial" w:hAnsi="Arial" w:cs="Arial"/>
        </w:rPr>
        <w:t>microbleed</w:t>
      </w:r>
      <w:proofErr w:type="spellEnd"/>
      <w:r w:rsidR="00C57996" w:rsidRPr="00DD0594">
        <w:rPr>
          <w:rFonts w:ascii="Arial" w:hAnsi="Arial" w:cs="Arial"/>
        </w:rPr>
        <w:t xml:space="preserve"> detection between SWI and T2*-GRE sequences in a representative ARIA-H case</w:t>
      </w:r>
      <w:bookmarkEnd w:id="8"/>
    </w:p>
    <w:p w14:paraId="69360D64" w14:textId="59AC97DC" w:rsidR="00C57996" w:rsidRPr="00DD0594" w:rsidRDefault="00C57996" w:rsidP="00BE3CEF">
      <w:pPr>
        <w:widowControl/>
        <w:wordWrap/>
        <w:autoSpaceDE/>
        <w:autoSpaceDN/>
        <w:spacing w:line="360" w:lineRule="auto"/>
        <w:rPr>
          <w:rFonts w:ascii="Arial" w:hAnsi="Arial" w:cs="Arial"/>
          <w:b/>
          <w:kern w:val="0"/>
          <w:sz w:val="24"/>
          <w:szCs w:val="20"/>
        </w:rPr>
      </w:pPr>
      <w:r w:rsidRPr="00DD0594">
        <w:rPr>
          <w:rFonts w:ascii="Arial" w:hAnsi="Arial" w:cs="Arial"/>
          <w:noProof/>
          <w:szCs w:val="20"/>
        </w:rPr>
        <w:drawing>
          <wp:inline distT="0" distB="0" distL="0" distR="0" wp14:anchorId="4D4AA74A" wp14:editId="4971A086">
            <wp:extent cx="5731510" cy="5840730"/>
            <wp:effectExtent l="0" t="0" r="0" b="1270"/>
            <wp:docPr id="22" name="그림 21" descr="엑스레이 필름, 의료 영상, 의료, 방사선과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그림 21" descr="엑스레이 필름, 의료 영상, 의료, 방사선과이(가) 표시된 사진&#10;&#10;AI 생성 콘텐츠는 정확하지 않을 수 있습니다."/>
                    <pic:cNvPicPr>
                      <a:picLocks noChangeAspect="1"/>
                    </pic:cNvPicPr>
                  </pic:nvPicPr>
                  <pic:blipFill>
                    <a:blip r:embed="rId11"/>
                    <a:stretch>
                      <a:fillRect/>
                    </a:stretch>
                  </pic:blipFill>
                  <pic:spPr>
                    <a:xfrm>
                      <a:off x="0" y="0"/>
                      <a:ext cx="5731510" cy="5840730"/>
                    </a:xfrm>
                    <a:prstGeom prst="rect">
                      <a:avLst/>
                    </a:prstGeom>
                  </pic:spPr>
                </pic:pic>
              </a:graphicData>
            </a:graphic>
          </wp:inline>
        </w:drawing>
      </w:r>
    </w:p>
    <w:p w14:paraId="17A1C160" w14:textId="701CBD38" w:rsidR="006825E2" w:rsidRPr="00DD0594" w:rsidRDefault="00C57996" w:rsidP="00BE3CEF">
      <w:pPr>
        <w:widowControl/>
        <w:wordWrap/>
        <w:autoSpaceDE/>
        <w:autoSpaceDN/>
        <w:spacing w:line="360" w:lineRule="auto"/>
        <w:rPr>
          <w:rFonts w:ascii="Arial" w:hAnsi="Arial" w:cs="Arial"/>
          <w:bCs/>
          <w:kern w:val="0"/>
          <w:szCs w:val="20"/>
        </w:rPr>
      </w:pPr>
      <w:r w:rsidRPr="00DD0594">
        <w:rPr>
          <w:rFonts w:ascii="Arial" w:hAnsi="Arial" w:cs="Arial"/>
          <w:bCs/>
          <w:kern w:val="0"/>
          <w:szCs w:val="20"/>
        </w:rPr>
        <w:t xml:space="preserve">Axial SWI (left) and T2*-GRE (right) images obtained at the same time point in two different slice levels (upper and lower rows). Black arrows indicate cerebral </w:t>
      </w:r>
      <w:proofErr w:type="spellStart"/>
      <w:r w:rsidRPr="00DD0594">
        <w:rPr>
          <w:rFonts w:ascii="Arial" w:hAnsi="Arial" w:cs="Arial"/>
          <w:bCs/>
          <w:kern w:val="0"/>
          <w:szCs w:val="20"/>
        </w:rPr>
        <w:t>microbleeds</w:t>
      </w:r>
      <w:proofErr w:type="spellEnd"/>
      <w:r w:rsidRPr="00DD0594">
        <w:rPr>
          <w:rFonts w:ascii="Arial" w:hAnsi="Arial" w:cs="Arial"/>
          <w:bCs/>
          <w:kern w:val="0"/>
          <w:szCs w:val="20"/>
        </w:rPr>
        <w:t xml:space="preserve"> that are clearly visualized as </w:t>
      </w:r>
      <w:proofErr w:type="spellStart"/>
      <w:r w:rsidRPr="00DD0594">
        <w:rPr>
          <w:rFonts w:ascii="Arial" w:hAnsi="Arial" w:cs="Arial"/>
          <w:bCs/>
          <w:kern w:val="0"/>
          <w:szCs w:val="20"/>
        </w:rPr>
        <w:t>hypointense</w:t>
      </w:r>
      <w:proofErr w:type="spellEnd"/>
      <w:r w:rsidRPr="00DD0594">
        <w:rPr>
          <w:rFonts w:ascii="Arial" w:hAnsi="Arial" w:cs="Arial"/>
          <w:bCs/>
          <w:kern w:val="0"/>
          <w:szCs w:val="20"/>
        </w:rPr>
        <w:t xml:space="preserve"> foci on SWI but are less conspicuous or barely discernible on the corresponding T2*-GRE images. This case illustrates the superior sensitivity of SWI for detecting small hemorrhagic lesions associated with ARIA-H.</w:t>
      </w:r>
    </w:p>
    <w:p w14:paraId="5F098EEB" w14:textId="79C0D8AC" w:rsidR="00C57996" w:rsidRPr="00DD0594" w:rsidRDefault="007B203D" w:rsidP="00BE3CEF">
      <w:pPr>
        <w:widowControl/>
        <w:wordWrap/>
        <w:autoSpaceDE/>
        <w:autoSpaceDN/>
        <w:spacing w:line="360" w:lineRule="auto"/>
        <w:rPr>
          <w:rFonts w:ascii="Arial" w:hAnsi="Arial" w:cs="Arial"/>
          <w:b/>
          <w:kern w:val="0"/>
          <w:sz w:val="24"/>
          <w:szCs w:val="20"/>
        </w:rPr>
      </w:pPr>
      <w:r w:rsidRPr="00DD0594">
        <w:rPr>
          <w:rFonts w:ascii="Arial" w:hAnsi="Arial" w:cs="Arial"/>
        </w:rPr>
        <w:t>Abbreviations: SWI, Susceptibility-Weighted Imaging; GRE, Gradient Echo</w:t>
      </w:r>
      <w:r w:rsidR="00C57996" w:rsidRPr="00DD0594">
        <w:rPr>
          <w:rFonts w:ascii="Arial" w:hAnsi="Arial" w:cs="Arial"/>
          <w:sz w:val="24"/>
        </w:rPr>
        <w:br w:type="page"/>
      </w:r>
    </w:p>
    <w:p w14:paraId="5E32C196" w14:textId="19940827" w:rsidR="00161150" w:rsidRPr="00DD0594" w:rsidRDefault="00880FF6" w:rsidP="00BE3CEF">
      <w:pPr>
        <w:pStyle w:val="1"/>
        <w:spacing w:line="360" w:lineRule="auto"/>
        <w:rPr>
          <w:rFonts w:ascii="Arial" w:hAnsi="Arial" w:cs="Arial"/>
        </w:rPr>
      </w:pPr>
      <w:bookmarkStart w:id="9" w:name="_Toc225708746"/>
      <w:proofErr w:type="gramStart"/>
      <w:r w:rsidRPr="00DD0594">
        <w:rPr>
          <w:rFonts w:ascii="Arial" w:hAnsi="Arial" w:cs="Arial"/>
        </w:rPr>
        <w:lastRenderedPageBreak/>
        <w:t xml:space="preserve">Supplementary </w:t>
      </w:r>
      <w:r w:rsidR="00161150" w:rsidRPr="00DD0594">
        <w:rPr>
          <w:rFonts w:ascii="Arial" w:hAnsi="Arial" w:cs="Arial"/>
        </w:rPr>
        <w:t>Table 1.</w:t>
      </w:r>
      <w:proofErr w:type="gramEnd"/>
      <w:r w:rsidR="00161150" w:rsidRPr="00DD0594">
        <w:rPr>
          <w:rFonts w:ascii="Arial" w:hAnsi="Arial" w:cs="Arial"/>
        </w:rPr>
        <w:t xml:space="preserve"> CSF profiles of cases with BAPL 2 on </w:t>
      </w:r>
      <w:proofErr w:type="spellStart"/>
      <w:r w:rsidR="00161150" w:rsidRPr="00DD0594">
        <w:rPr>
          <w:rFonts w:ascii="Arial" w:hAnsi="Arial" w:cs="Arial"/>
        </w:rPr>
        <w:t>florbetabetan</w:t>
      </w:r>
      <w:proofErr w:type="spellEnd"/>
      <w:r w:rsidR="00161150" w:rsidRPr="00DD0594">
        <w:rPr>
          <w:rFonts w:ascii="Arial" w:hAnsi="Arial" w:cs="Arial"/>
        </w:rPr>
        <w:t xml:space="preserve"> PET scans</w:t>
      </w:r>
      <w:bookmarkEnd w:id="9"/>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567"/>
        <w:gridCol w:w="567"/>
        <w:gridCol w:w="567"/>
        <w:gridCol w:w="850"/>
        <w:gridCol w:w="851"/>
        <w:gridCol w:w="1134"/>
        <w:gridCol w:w="992"/>
        <w:gridCol w:w="1276"/>
        <w:gridCol w:w="992"/>
        <w:gridCol w:w="1054"/>
      </w:tblGrid>
      <w:tr w:rsidR="00161150" w:rsidRPr="00DD0594" w14:paraId="1BFB8D73" w14:textId="77777777" w:rsidTr="00684013">
        <w:trPr>
          <w:trHeight w:val="900"/>
        </w:trPr>
        <w:tc>
          <w:tcPr>
            <w:tcW w:w="392" w:type="dxa"/>
            <w:tcBorders>
              <w:top w:val="single" w:sz="4" w:space="0" w:color="auto"/>
              <w:bottom w:val="single" w:sz="4" w:space="0" w:color="auto"/>
            </w:tcBorders>
          </w:tcPr>
          <w:p w14:paraId="5C397DB1"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No</w:t>
            </w:r>
          </w:p>
        </w:tc>
        <w:tc>
          <w:tcPr>
            <w:tcW w:w="567" w:type="dxa"/>
            <w:tcBorders>
              <w:top w:val="single" w:sz="4" w:space="0" w:color="auto"/>
              <w:bottom w:val="single" w:sz="4" w:space="0" w:color="auto"/>
            </w:tcBorders>
            <w:hideMark/>
          </w:tcPr>
          <w:p w14:paraId="2497E637"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age</w:t>
            </w:r>
          </w:p>
        </w:tc>
        <w:tc>
          <w:tcPr>
            <w:tcW w:w="567" w:type="dxa"/>
            <w:tcBorders>
              <w:top w:val="single" w:sz="4" w:space="0" w:color="auto"/>
              <w:bottom w:val="single" w:sz="4" w:space="0" w:color="auto"/>
            </w:tcBorders>
            <w:hideMark/>
          </w:tcPr>
          <w:p w14:paraId="72678992"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sex</w:t>
            </w:r>
          </w:p>
        </w:tc>
        <w:tc>
          <w:tcPr>
            <w:tcW w:w="567" w:type="dxa"/>
            <w:tcBorders>
              <w:top w:val="single" w:sz="4" w:space="0" w:color="auto"/>
              <w:bottom w:val="single" w:sz="4" w:space="0" w:color="auto"/>
            </w:tcBorders>
            <w:hideMark/>
          </w:tcPr>
          <w:p w14:paraId="09158BB8"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Education years</w:t>
            </w:r>
          </w:p>
        </w:tc>
        <w:tc>
          <w:tcPr>
            <w:tcW w:w="850" w:type="dxa"/>
            <w:tcBorders>
              <w:top w:val="single" w:sz="4" w:space="0" w:color="auto"/>
              <w:bottom w:val="single" w:sz="4" w:space="0" w:color="auto"/>
            </w:tcBorders>
            <w:noWrap/>
            <w:hideMark/>
          </w:tcPr>
          <w:p w14:paraId="1A9DD80E"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APOE</w:t>
            </w:r>
          </w:p>
        </w:tc>
        <w:tc>
          <w:tcPr>
            <w:tcW w:w="851" w:type="dxa"/>
            <w:tcBorders>
              <w:top w:val="single" w:sz="4" w:space="0" w:color="auto"/>
              <w:bottom w:val="single" w:sz="4" w:space="0" w:color="auto"/>
            </w:tcBorders>
            <w:noWrap/>
            <w:hideMark/>
          </w:tcPr>
          <w:p w14:paraId="34764C21"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MMSE</w:t>
            </w:r>
          </w:p>
        </w:tc>
        <w:tc>
          <w:tcPr>
            <w:tcW w:w="1134" w:type="dxa"/>
            <w:tcBorders>
              <w:top w:val="single" w:sz="4" w:space="0" w:color="auto"/>
              <w:bottom w:val="single" w:sz="4" w:space="0" w:color="auto"/>
            </w:tcBorders>
            <w:noWrap/>
            <w:hideMark/>
          </w:tcPr>
          <w:p w14:paraId="39536CEC"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CDR-GS</w:t>
            </w:r>
          </w:p>
          <w:p w14:paraId="508678E5"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(CDR-SB)</w:t>
            </w:r>
          </w:p>
        </w:tc>
        <w:tc>
          <w:tcPr>
            <w:tcW w:w="992" w:type="dxa"/>
            <w:tcBorders>
              <w:top w:val="single" w:sz="4" w:space="0" w:color="auto"/>
              <w:bottom w:val="single" w:sz="4" w:space="0" w:color="auto"/>
            </w:tcBorders>
            <w:hideMark/>
          </w:tcPr>
          <w:p w14:paraId="51D8B6E4" w14:textId="3E417485" w:rsidR="00161150" w:rsidRPr="00DD0594" w:rsidRDefault="00161150" w:rsidP="00DF38DB">
            <w:pPr>
              <w:widowControl/>
              <w:wordWrap/>
              <w:autoSpaceDE/>
              <w:autoSpaceDN/>
              <w:spacing w:line="360" w:lineRule="auto"/>
              <w:rPr>
                <w:rFonts w:ascii="Arial" w:hAnsi="Arial" w:cs="Arial"/>
                <w:sz w:val="18"/>
              </w:rPr>
            </w:pPr>
            <w:r w:rsidRPr="00DD0594">
              <w:rPr>
                <w:rFonts w:ascii="Arial" w:hAnsi="Arial" w:cs="Arial"/>
                <w:sz w:val="18"/>
              </w:rPr>
              <w:t>CSF AD</w:t>
            </w:r>
            <w:r w:rsidR="00DF38DB" w:rsidRPr="00DD0594">
              <w:rPr>
                <w:rFonts w:ascii="Arial" w:hAnsi="Arial" w:cs="Arial" w:hint="eastAsia"/>
                <w:sz w:val="18"/>
              </w:rPr>
              <w:t xml:space="preserve"> </w:t>
            </w:r>
            <w:r w:rsidRPr="00DD0594">
              <w:rPr>
                <w:rFonts w:ascii="Arial" w:hAnsi="Arial" w:cs="Arial"/>
                <w:sz w:val="18"/>
              </w:rPr>
              <w:t>risk</w:t>
            </w:r>
          </w:p>
        </w:tc>
        <w:tc>
          <w:tcPr>
            <w:tcW w:w="1276" w:type="dxa"/>
            <w:tcBorders>
              <w:top w:val="single" w:sz="4" w:space="0" w:color="auto"/>
              <w:bottom w:val="single" w:sz="4" w:space="0" w:color="auto"/>
            </w:tcBorders>
            <w:hideMark/>
          </w:tcPr>
          <w:p w14:paraId="01ED3088"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pTau181/</w:t>
            </w:r>
            <w:proofErr w:type="spellStart"/>
            <w:r w:rsidRPr="00DD0594">
              <w:rPr>
                <w:rFonts w:ascii="Arial" w:hAnsi="Arial" w:cs="Arial"/>
                <w:sz w:val="18"/>
              </w:rPr>
              <w:t>Abeta</w:t>
            </w:r>
            <w:proofErr w:type="spellEnd"/>
            <w:r w:rsidRPr="00DD0594">
              <w:rPr>
                <w:rFonts w:ascii="Arial" w:hAnsi="Arial" w:cs="Arial"/>
                <w:sz w:val="18"/>
              </w:rPr>
              <w:t xml:space="preserve"> Ratio</w:t>
            </w:r>
          </w:p>
        </w:tc>
        <w:tc>
          <w:tcPr>
            <w:tcW w:w="992" w:type="dxa"/>
            <w:tcBorders>
              <w:top w:val="single" w:sz="4" w:space="0" w:color="auto"/>
              <w:bottom w:val="single" w:sz="4" w:space="0" w:color="auto"/>
            </w:tcBorders>
            <w:hideMark/>
          </w:tcPr>
          <w:p w14:paraId="036B93DF"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Abeta42</w:t>
            </w:r>
          </w:p>
        </w:tc>
        <w:tc>
          <w:tcPr>
            <w:tcW w:w="1054" w:type="dxa"/>
            <w:tcBorders>
              <w:top w:val="single" w:sz="4" w:space="0" w:color="auto"/>
              <w:bottom w:val="single" w:sz="4" w:space="0" w:color="auto"/>
            </w:tcBorders>
            <w:hideMark/>
          </w:tcPr>
          <w:p w14:paraId="511489E9"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pTau181</w:t>
            </w:r>
          </w:p>
        </w:tc>
      </w:tr>
      <w:tr w:rsidR="00161150" w:rsidRPr="00DD0594" w14:paraId="6E6EEEB7" w14:textId="77777777" w:rsidTr="00684013">
        <w:trPr>
          <w:trHeight w:val="300"/>
        </w:trPr>
        <w:tc>
          <w:tcPr>
            <w:tcW w:w="392" w:type="dxa"/>
            <w:tcBorders>
              <w:top w:val="single" w:sz="4" w:space="0" w:color="auto"/>
            </w:tcBorders>
          </w:tcPr>
          <w:p w14:paraId="1C6E28DB"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w:t>
            </w:r>
          </w:p>
        </w:tc>
        <w:tc>
          <w:tcPr>
            <w:tcW w:w="567" w:type="dxa"/>
            <w:tcBorders>
              <w:top w:val="single" w:sz="4" w:space="0" w:color="auto"/>
            </w:tcBorders>
            <w:noWrap/>
            <w:hideMark/>
          </w:tcPr>
          <w:p w14:paraId="4922164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69</w:t>
            </w:r>
          </w:p>
        </w:tc>
        <w:tc>
          <w:tcPr>
            <w:tcW w:w="567" w:type="dxa"/>
            <w:tcBorders>
              <w:top w:val="single" w:sz="4" w:space="0" w:color="auto"/>
            </w:tcBorders>
            <w:noWrap/>
            <w:hideMark/>
          </w:tcPr>
          <w:p w14:paraId="3BBC7409"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F</w:t>
            </w:r>
          </w:p>
        </w:tc>
        <w:tc>
          <w:tcPr>
            <w:tcW w:w="567" w:type="dxa"/>
            <w:tcBorders>
              <w:top w:val="single" w:sz="4" w:space="0" w:color="auto"/>
            </w:tcBorders>
            <w:noWrap/>
            <w:hideMark/>
          </w:tcPr>
          <w:p w14:paraId="47BC4E7E"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18</w:t>
            </w:r>
          </w:p>
        </w:tc>
        <w:tc>
          <w:tcPr>
            <w:tcW w:w="850" w:type="dxa"/>
            <w:tcBorders>
              <w:top w:val="single" w:sz="4" w:space="0" w:color="auto"/>
            </w:tcBorders>
            <w:noWrap/>
            <w:hideMark/>
          </w:tcPr>
          <w:p w14:paraId="1E1C0DB8"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E3/E3</w:t>
            </w:r>
          </w:p>
        </w:tc>
        <w:tc>
          <w:tcPr>
            <w:tcW w:w="851" w:type="dxa"/>
            <w:tcBorders>
              <w:top w:val="single" w:sz="4" w:space="0" w:color="auto"/>
            </w:tcBorders>
            <w:noWrap/>
            <w:hideMark/>
          </w:tcPr>
          <w:p w14:paraId="35470C6F"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28</w:t>
            </w:r>
          </w:p>
        </w:tc>
        <w:tc>
          <w:tcPr>
            <w:tcW w:w="1134" w:type="dxa"/>
            <w:tcBorders>
              <w:top w:val="single" w:sz="4" w:space="0" w:color="auto"/>
            </w:tcBorders>
            <w:noWrap/>
            <w:hideMark/>
          </w:tcPr>
          <w:p w14:paraId="01B4C7D5"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0.5 (1)</w:t>
            </w:r>
          </w:p>
        </w:tc>
        <w:tc>
          <w:tcPr>
            <w:tcW w:w="992" w:type="dxa"/>
            <w:tcBorders>
              <w:top w:val="single" w:sz="4" w:space="0" w:color="auto"/>
            </w:tcBorders>
            <w:noWrap/>
            <w:hideMark/>
          </w:tcPr>
          <w:p w14:paraId="0F62F12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high</w:t>
            </w:r>
          </w:p>
        </w:tc>
        <w:tc>
          <w:tcPr>
            <w:tcW w:w="1276" w:type="dxa"/>
            <w:tcBorders>
              <w:top w:val="single" w:sz="4" w:space="0" w:color="auto"/>
            </w:tcBorders>
            <w:noWrap/>
            <w:hideMark/>
          </w:tcPr>
          <w:p w14:paraId="61C91BB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0.04</w:t>
            </w:r>
          </w:p>
        </w:tc>
        <w:tc>
          <w:tcPr>
            <w:tcW w:w="992" w:type="dxa"/>
            <w:tcBorders>
              <w:top w:val="single" w:sz="4" w:space="0" w:color="auto"/>
            </w:tcBorders>
            <w:noWrap/>
            <w:hideMark/>
          </w:tcPr>
          <w:p w14:paraId="7B380F38"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1074</w:t>
            </w:r>
          </w:p>
        </w:tc>
        <w:tc>
          <w:tcPr>
            <w:tcW w:w="1054" w:type="dxa"/>
            <w:tcBorders>
              <w:top w:val="single" w:sz="4" w:space="0" w:color="auto"/>
            </w:tcBorders>
            <w:noWrap/>
            <w:hideMark/>
          </w:tcPr>
          <w:p w14:paraId="30ACC0D8"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43</w:t>
            </w:r>
          </w:p>
        </w:tc>
      </w:tr>
      <w:tr w:rsidR="00161150" w:rsidRPr="00DD0594" w14:paraId="176D1DBE" w14:textId="77777777" w:rsidTr="00684013">
        <w:trPr>
          <w:trHeight w:val="300"/>
        </w:trPr>
        <w:tc>
          <w:tcPr>
            <w:tcW w:w="392" w:type="dxa"/>
          </w:tcPr>
          <w:p w14:paraId="30C8D0ED"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2</w:t>
            </w:r>
          </w:p>
        </w:tc>
        <w:tc>
          <w:tcPr>
            <w:tcW w:w="567" w:type="dxa"/>
            <w:noWrap/>
            <w:hideMark/>
          </w:tcPr>
          <w:p w14:paraId="2303E40C"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73</w:t>
            </w:r>
          </w:p>
        </w:tc>
        <w:tc>
          <w:tcPr>
            <w:tcW w:w="567" w:type="dxa"/>
            <w:noWrap/>
            <w:hideMark/>
          </w:tcPr>
          <w:p w14:paraId="675072EE"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F</w:t>
            </w:r>
          </w:p>
        </w:tc>
        <w:tc>
          <w:tcPr>
            <w:tcW w:w="567" w:type="dxa"/>
            <w:noWrap/>
            <w:hideMark/>
          </w:tcPr>
          <w:p w14:paraId="1455F4BF"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9</w:t>
            </w:r>
          </w:p>
        </w:tc>
        <w:tc>
          <w:tcPr>
            <w:tcW w:w="850" w:type="dxa"/>
            <w:noWrap/>
            <w:hideMark/>
          </w:tcPr>
          <w:p w14:paraId="409B0686"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E3/E4</w:t>
            </w:r>
          </w:p>
        </w:tc>
        <w:tc>
          <w:tcPr>
            <w:tcW w:w="851" w:type="dxa"/>
            <w:noWrap/>
            <w:hideMark/>
          </w:tcPr>
          <w:p w14:paraId="165612EE"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27</w:t>
            </w:r>
          </w:p>
        </w:tc>
        <w:tc>
          <w:tcPr>
            <w:tcW w:w="1134" w:type="dxa"/>
            <w:noWrap/>
            <w:hideMark/>
          </w:tcPr>
          <w:p w14:paraId="7F20FC8A"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0.5 (0.5)</w:t>
            </w:r>
          </w:p>
        </w:tc>
        <w:tc>
          <w:tcPr>
            <w:tcW w:w="992" w:type="dxa"/>
            <w:noWrap/>
            <w:hideMark/>
          </w:tcPr>
          <w:p w14:paraId="2F85304C"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high</w:t>
            </w:r>
          </w:p>
        </w:tc>
        <w:tc>
          <w:tcPr>
            <w:tcW w:w="1276" w:type="dxa"/>
            <w:noWrap/>
            <w:hideMark/>
          </w:tcPr>
          <w:p w14:paraId="239A9852"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0.035</w:t>
            </w:r>
          </w:p>
        </w:tc>
        <w:tc>
          <w:tcPr>
            <w:tcW w:w="992" w:type="dxa"/>
            <w:noWrap/>
            <w:hideMark/>
          </w:tcPr>
          <w:p w14:paraId="7CD24AEA"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1697</w:t>
            </w:r>
          </w:p>
        </w:tc>
        <w:tc>
          <w:tcPr>
            <w:tcW w:w="1054" w:type="dxa"/>
            <w:noWrap/>
            <w:hideMark/>
          </w:tcPr>
          <w:p w14:paraId="2A90FE0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59</w:t>
            </w:r>
          </w:p>
        </w:tc>
      </w:tr>
      <w:tr w:rsidR="00161150" w:rsidRPr="00DD0594" w14:paraId="28737598" w14:textId="77777777" w:rsidTr="00684013">
        <w:trPr>
          <w:trHeight w:val="300"/>
        </w:trPr>
        <w:tc>
          <w:tcPr>
            <w:tcW w:w="392" w:type="dxa"/>
            <w:tcBorders>
              <w:bottom w:val="single" w:sz="4" w:space="0" w:color="auto"/>
            </w:tcBorders>
          </w:tcPr>
          <w:p w14:paraId="501AD066"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3</w:t>
            </w:r>
          </w:p>
        </w:tc>
        <w:tc>
          <w:tcPr>
            <w:tcW w:w="567" w:type="dxa"/>
            <w:tcBorders>
              <w:bottom w:val="single" w:sz="4" w:space="0" w:color="auto"/>
            </w:tcBorders>
            <w:noWrap/>
            <w:hideMark/>
          </w:tcPr>
          <w:p w14:paraId="2FB9B2BF"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77</w:t>
            </w:r>
          </w:p>
        </w:tc>
        <w:tc>
          <w:tcPr>
            <w:tcW w:w="567" w:type="dxa"/>
            <w:tcBorders>
              <w:bottom w:val="single" w:sz="4" w:space="0" w:color="auto"/>
            </w:tcBorders>
            <w:noWrap/>
            <w:hideMark/>
          </w:tcPr>
          <w:p w14:paraId="020B0D2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M</w:t>
            </w:r>
          </w:p>
        </w:tc>
        <w:tc>
          <w:tcPr>
            <w:tcW w:w="567" w:type="dxa"/>
            <w:tcBorders>
              <w:bottom w:val="single" w:sz="4" w:space="0" w:color="auto"/>
            </w:tcBorders>
            <w:noWrap/>
            <w:hideMark/>
          </w:tcPr>
          <w:p w14:paraId="7D033FE4"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w:t>
            </w:r>
          </w:p>
        </w:tc>
        <w:tc>
          <w:tcPr>
            <w:tcW w:w="850" w:type="dxa"/>
            <w:tcBorders>
              <w:bottom w:val="single" w:sz="4" w:space="0" w:color="auto"/>
            </w:tcBorders>
            <w:noWrap/>
            <w:hideMark/>
          </w:tcPr>
          <w:p w14:paraId="00B701AC"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E3/E3</w:t>
            </w:r>
          </w:p>
        </w:tc>
        <w:tc>
          <w:tcPr>
            <w:tcW w:w="851" w:type="dxa"/>
            <w:tcBorders>
              <w:bottom w:val="single" w:sz="4" w:space="0" w:color="auto"/>
            </w:tcBorders>
            <w:noWrap/>
            <w:hideMark/>
          </w:tcPr>
          <w:p w14:paraId="07C7E70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19</w:t>
            </w:r>
          </w:p>
        </w:tc>
        <w:tc>
          <w:tcPr>
            <w:tcW w:w="1134" w:type="dxa"/>
            <w:tcBorders>
              <w:bottom w:val="single" w:sz="4" w:space="0" w:color="auto"/>
            </w:tcBorders>
            <w:noWrap/>
            <w:hideMark/>
          </w:tcPr>
          <w:p w14:paraId="1AF5915E"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0.5 (2.5)</w:t>
            </w:r>
          </w:p>
        </w:tc>
        <w:tc>
          <w:tcPr>
            <w:tcW w:w="992" w:type="dxa"/>
            <w:tcBorders>
              <w:bottom w:val="single" w:sz="4" w:space="0" w:color="auto"/>
            </w:tcBorders>
            <w:noWrap/>
            <w:hideMark/>
          </w:tcPr>
          <w:p w14:paraId="59D68220"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high</w:t>
            </w:r>
          </w:p>
        </w:tc>
        <w:tc>
          <w:tcPr>
            <w:tcW w:w="1276" w:type="dxa"/>
            <w:tcBorders>
              <w:bottom w:val="single" w:sz="4" w:space="0" w:color="auto"/>
            </w:tcBorders>
            <w:noWrap/>
            <w:hideMark/>
          </w:tcPr>
          <w:p w14:paraId="154AE5F3"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0.051</w:t>
            </w:r>
          </w:p>
        </w:tc>
        <w:tc>
          <w:tcPr>
            <w:tcW w:w="992" w:type="dxa"/>
            <w:tcBorders>
              <w:bottom w:val="single" w:sz="4" w:space="0" w:color="auto"/>
            </w:tcBorders>
            <w:noWrap/>
            <w:hideMark/>
          </w:tcPr>
          <w:p w14:paraId="75644EAD"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35</w:t>
            </w:r>
          </w:p>
        </w:tc>
        <w:tc>
          <w:tcPr>
            <w:tcW w:w="1054" w:type="dxa"/>
            <w:tcBorders>
              <w:bottom w:val="single" w:sz="4" w:space="0" w:color="auto"/>
            </w:tcBorders>
            <w:noWrap/>
            <w:hideMark/>
          </w:tcPr>
          <w:p w14:paraId="242B33EB" w14:textId="77777777" w:rsidR="00161150" w:rsidRPr="00DD0594" w:rsidRDefault="00161150" w:rsidP="00BE3CEF">
            <w:pPr>
              <w:widowControl/>
              <w:wordWrap/>
              <w:autoSpaceDE/>
              <w:autoSpaceDN/>
              <w:spacing w:line="360" w:lineRule="auto"/>
              <w:rPr>
                <w:rFonts w:ascii="Arial" w:hAnsi="Arial" w:cs="Arial"/>
                <w:sz w:val="18"/>
              </w:rPr>
            </w:pPr>
            <w:r w:rsidRPr="00DD0594">
              <w:rPr>
                <w:rFonts w:ascii="Arial" w:hAnsi="Arial" w:cs="Arial"/>
                <w:sz w:val="18"/>
              </w:rPr>
              <w:t>17</w:t>
            </w:r>
          </w:p>
        </w:tc>
      </w:tr>
    </w:tbl>
    <w:p w14:paraId="2E792CC8" w14:textId="1CDF74C7" w:rsidR="00FA7C90" w:rsidRPr="00DD0594" w:rsidRDefault="00161150" w:rsidP="00BE3CEF">
      <w:pPr>
        <w:widowControl/>
        <w:wordWrap/>
        <w:autoSpaceDE/>
        <w:autoSpaceDN/>
        <w:spacing w:line="360" w:lineRule="auto"/>
        <w:rPr>
          <w:rFonts w:ascii="Arial" w:hAnsi="Arial" w:cs="Arial"/>
        </w:rPr>
      </w:pPr>
      <w:r w:rsidRPr="00DD0594">
        <w:rPr>
          <w:rFonts w:ascii="Arial" w:hAnsi="Arial" w:cs="Arial"/>
        </w:rPr>
        <w:t xml:space="preserve">Abbreviations: MMSE, Mini-Mental State Examination; CDR-GS, clinical dementia rating – global scores; CDR-SB, clinical dementia rating – sum of boxes; CSF, cerebrospinal fluid; AD, Alzheimer's disease; </w:t>
      </w:r>
      <w:proofErr w:type="spellStart"/>
      <w:r w:rsidRPr="00DD0594">
        <w:rPr>
          <w:rFonts w:ascii="Arial" w:hAnsi="Arial" w:cs="Arial"/>
        </w:rPr>
        <w:t>ptau</w:t>
      </w:r>
      <w:proofErr w:type="spellEnd"/>
      <w:r w:rsidRPr="00DD0594">
        <w:rPr>
          <w:rFonts w:ascii="Arial" w:hAnsi="Arial" w:cs="Arial"/>
        </w:rPr>
        <w:t>, phosphorylated-tau</w:t>
      </w:r>
    </w:p>
    <w:p w14:paraId="5CE1CA41" w14:textId="77777777" w:rsidR="001B4F8A" w:rsidRPr="00DD0594" w:rsidRDefault="001B4F8A" w:rsidP="00BE3CEF">
      <w:pPr>
        <w:spacing w:line="360" w:lineRule="auto"/>
        <w:rPr>
          <w:rFonts w:ascii="Arial" w:hAnsi="Arial" w:cs="Arial"/>
          <w:b/>
          <w:bCs/>
          <w:i/>
          <w:iCs/>
          <w:noProof/>
          <w:szCs w:val="20"/>
        </w:rPr>
        <w:sectPr w:rsidR="001B4F8A" w:rsidRPr="00DD0594" w:rsidSect="003716AD">
          <w:footerReference w:type="default" r:id="rId12"/>
          <w:type w:val="continuous"/>
          <w:pgSz w:w="11906" w:h="16838"/>
          <w:pgMar w:top="1701" w:right="1440" w:bottom="1440" w:left="1440" w:header="851" w:footer="992" w:gutter="0"/>
          <w:cols w:space="425"/>
          <w:docGrid w:linePitch="360"/>
        </w:sectPr>
      </w:pPr>
    </w:p>
    <w:p w14:paraId="344CC79B" w14:textId="06B7E832" w:rsidR="002E79E2" w:rsidRPr="00DD0594" w:rsidRDefault="002E79E2" w:rsidP="00BE3CEF">
      <w:pPr>
        <w:pStyle w:val="1"/>
        <w:spacing w:line="360" w:lineRule="auto"/>
        <w:rPr>
          <w:rFonts w:ascii="Arial" w:hAnsi="Arial" w:cs="Arial"/>
        </w:rPr>
      </w:pPr>
      <w:bookmarkStart w:id="10" w:name="_Toc225708747"/>
      <w:proofErr w:type="gramStart"/>
      <w:r w:rsidRPr="00DD0594">
        <w:rPr>
          <w:rFonts w:ascii="Arial" w:hAnsi="Arial" w:cs="Arial"/>
        </w:rPr>
        <w:lastRenderedPageBreak/>
        <w:t>Supplementary Table 2.</w:t>
      </w:r>
      <w:proofErr w:type="gramEnd"/>
      <w:r w:rsidRPr="00DD0594">
        <w:rPr>
          <w:rFonts w:ascii="Arial" w:hAnsi="Arial" w:cs="Arial"/>
        </w:rPr>
        <w:t xml:space="preserve"> Individual-level comparison of hemorrhagic markers </w:t>
      </w:r>
      <w:r w:rsidR="00451437" w:rsidRPr="00DD0594">
        <w:rPr>
          <w:rFonts w:ascii="Arial" w:hAnsi="Arial" w:cs="Arial"/>
        </w:rPr>
        <w:t xml:space="preserve">newly </w:t>
      </w:r>
      <w:r w:rsidRPr="00DD0594">
        <w:rPr>
          <w:rFonts w:ascii="Arial" w:hAnsi="Arial" w:cs="Arial"/>
        </w:rPr>
        <w:t>detected on T2*-GRE and SWI sequences in patients with ARIA-H.</w:t>
      </w:r>
      <w:bookmarkEnd w:id="10"/>
    </w:p>
    <w:tbl>
      <w:tblPr>
        <w:tblpPr w:leftFromText="142" w:rightFromText="142" w:vertAnchor="text" w:tblpY="1"/>
        <w:tblOverlap w:val="never"/>
        <w:tblW w:w="0" w:type="auto"/>
        <w:tblLayout w:type="fixed"/>
        <w:tblLook w:val="0420" w:firstRow="1" w:lastRow="0" w:firstColumn="0" w:lastColumn="0" w:noHBand="0" w:noVBand="1"/>
      </w:tblPr>
      <w:tblGrid>
        <w:gridCol w:w="881"/>
        <w:gridCol w:w="702"/>
        <w:gridCol w:w="827"/>
        <w:gridCol w:w="1418"/>
        <w:gridCol w:w="992"/>
        <w:gridCol w:w="992"/>
        <w:gridCol w:w="992"/>
        <w:gridCol w:w="2552"/>
        <w:gridCol w:w="1453"/>
        <w:gridCol w:w="610"/>
        <w:gridCol w:w="834"/>
        <w:gridCol w:w="610"/>
        <w:gridCol w:w="834"/>
      </w:tblGrid>
      <w:tr w:rsidR="004C0F0C" w:rsidRPr="00DD0594" w14:paraId="09EDCFE8" w14:textId="77777777" w:rsidTr="00656C2E">
        <w:trPr>
          <w:tblHeader/>
        </w:trPr>
        <w:tc>
          <w:tcPr>
            <w:tcW w:w="881" w:type="dxa"/>
            <w:tcBorders>
              <w:top w:val="single" w:sz="4" w:space="0" w:color="auto"/>
            </w:tcBorders>
            <w:shd w:val="clear" w:color="auto" w:fill="FFFFFF"/>
            <w:tcMar>
              <w:top w:w="0" w:type="dxa"/>
              <w:left w:w="0" w:type="dxa"/>
              <w:bottom w:w="0" w:type="dxa"/>
              <w:right w:w="0" w:type="dxa"/>
            </w:tcMar>
            <w:vAlign w:val="center"/>
          </w:tcPr>
          <w:p w14:paraId="439E4C7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702" w:type="dxa"/>
            <w:tcBorders>
              <w:top w:val="single" w:sz="4" w:space="0" w:color="auto"/>
            </w:tcBorders>
            <w:shd w:val="clear" w:color="auto" w:fill="FFFFFF"/>
            <w:tcMar>
              <w:top w:w="0" w:type="dxa"/>
              <w:left w:w="0" w:type="dxa"/>
              <w:bottom w:w="0" w:type="dxa"/>
              <w:right w:w="0" w:type="dxa"/>
            </w:tcMar>
            <w:vAlign w:val="center"/>
          </w:tcPr>
          <w:p w14:paraId="2AE74DE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827" w:type="dxa"/>
            <w:tcBorders>
              <w:top w:val="single" w:sz="4" w:space="0" w:color="auto"/>
            </w:tcBorders>
            <w:shd w:val="clear" w:color="auto" w:fill="FFFFFF"/>
            <w:vAlign w:val="center"/>
          </w:tcPr>
          <w:p w14:paraId="06A3D83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p>
        </w:tc>
        <w:tc>
          <w:tcPr>
            <w:tcW w:w="1418" w:type="dxa"/>
            <w:tcBorders>
              <w:top w:val="single" w:sz="4" w:space="0" w:color="auto"/>
            </w:tcBorders>
            <w:shd w:val="clear" w:color="auto" w:fill="FFFFFF"/>
            <w:vAlign w:val="center"/>
          </w:tcPr>
          <w:p w14:paraId="56AA1B7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p>
        </w:tc>
        <w:tc>
          <w:tcPr>
            <w:tcW w:w="992" w:type="dxa"/>
            <w:tcBorders>
              <w:top w:val="single" w:sz="4" w:space="0" w:color="auto"/>
            </w:tcBorders>
            <w:shd w:val="clear" w:color="auto" w:fill="FFFFFF"/>
            <w:tcMar>
              <w:top w:w="0" w:type="dxa"/>
              <w:left w:w="0" w:type="dxa"/>
              <w:bottom w:w="0" w:type="dxa"/>
              <w:right w:w="0" w:type="dxa"/>
            </w:tcMar>
            <w:vAlign w:val="center"/>
          </w:tcPr>
          <w:p w14:paraId="56EC25C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992" w:type="dxa"/>
            <w:tcBorders>
              <w:top w:val="single" w:sz="4" w:space="0" w:color="auto"/>
            </w:tcBorders>
            <w:shd w:val="clear" w:color="auto" w:fill="FFFFFF"/>
            <w:tcMar>
              <w:top w:w="0" w:type="dxa"/>
              <w:left w:w="0" w:type="dxa"/>
              <w:bottom w:w="0" w:type="dxa"/>
              <w:right w:w="0" w:type="dxa"/>
            </w:tcMar>
            <w:vAlign w:val="center"/>
          </w:tcPr>
          <w:p w14:paraId="3C73228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992" w:type="dxa"/>
            <w:tcBorders>
              <w:top w:val="single" w:sz="4" w:space="0" w:color="auto"/>
            </w:tcBorders>
            <w:shd w:val="clear" w:color="auto" w:fill="FFFFFF"/>
            <w:tcMar>
              <w:top w:w="0" w:type="dxa"/>
              <w:left w:w="0" w:type="dxa"/>
              <w:bottom w:w="0" w:type="dxa"/>
              <w:right w:w="0" w:type="dxa"/>
            </w:tcMar>
            <w:vAlign w:val="center"/>
          </w:tcPr>
          <w:p w14:paraId="28018FC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2552" w:type="dxa"/>
            <w:tcBorders>
              <w:top w:val="single" w:sz="4" w:space="0" w:color="auto"/>
            </w:tcBorders>
            <w:shd w:val="clear" w:color="auto" w:fill="FFFFFF"/>
            <w:tcMar>
              <w:top w:w="0" w:type="dxa"/>
              <w:left w:w="0" w:type="dxa"/>
              <w:bottom w:w="0" w:type="dxa"/>
              <w:right w:w="0" w:type="dxa"/>
            </w:tcMar>
            <w:vAlign w:val="center"/>
          </w:tcPr>
          <w:p w14:paraId="5EF6B31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
        </w:tc>
        <w:tc>
          <w:tcPr>
            <w:tcW w:w="1453" w:type="dxa"/>
            <w:tcBorders>
              <w:top w:val="single" w:sz="4" w:space="0" w:color="auto"/>
            </w:tcBorders>
            <w:shd w:val="clear" w:color="auto" w:fill="FFFFFF"/>
          </w:tcPr>
          <w:p w14:paraId="64F9A6B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p>
        </w:tc>
        <w:tc>
          <w:tcPr>
            <w:tcW w:w="1444" w:type="dxa"/>
            <w:gridSpan w:val="2"/>
            <w:tcBorders>
              <w:top w:val="single" w:sz="4" w:space="0" w:color="auto"/>
            </w:tcBorders>
            <w:shd w:val="clear" w:color="auto" w:fill="FFFFFF"/>
            <w:tcMar>
              <w:top w:w="0" w:type="dxa"/>
              <w:left w:w="0" w:type="dxa"/>
              <w:bottom w:w="0" w:type="dxa"/>
              <w:right w:w="0" w:type="dxa"/>
            </w:tcMar>
            <w:vAlign w:val="center"/>
          </w:tcPr>
          <w:p w14:paraId="1E8E03E2" w14:textId="356B005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color w:val="000000"/>
                <w:sz w:val="18"/>
                <w:szCs w:val="18"/>
              </w:rPr>
              <w:t>T2*-GRE</w:t>
            </w:r>
          </w:p>
        </w:tc>
        <w:tc>
          <w:tcPr>
            <w:tcW w:w="1444" w:type="dxa"/>
            <w:gridSpan w:val="2"/>
            <w:tcBorders>
              <w:top w:val="single" w:sz="4" w:space="0" w:color="auto"/>
            </w:tcBorders>
            <w:shd w:val="clear" w:color="auto" w:fill="FFFFFF"/>
            <w:tcMar>
              <w:top w:w="0" w:type="dxa"/>
              <w:left w:w="0" w:type="dxa"/>
              <w:bottom w:w="0" w:type="dxa"/>
              <w:right w:w="0" w:type="dxa"/>
            </w:tcMar>
            <w:vAlign w:val="center"/>
          </w:tcPr>
          <w:p w14:paraId="7B1C5B77" w14:textId="1FC844E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hint="eastAsia"/>
                <w:color w:val="000000"/>
                <w:sz w:val="18"/>
                <w:szCs w:val="18"/>
              </w:rPr>
              <w:t>S</w:t>
            </w:r>
            <w:r w:rsidRPr="00DD0594">
              <w:rPr>
                <w:rFonts w:ascii="Arial" w:hAnsi="Arial" w:cs="Arial"/>
                <w:color w:val="000000"/>
                <w:sz w:val="18"/>
                <w:szCs w:val="18"/>
              </w:rPr>
              <w:t>WI</w:t>
            </w:r>
          </w:p>
        </w:tc>
      </w:tr>
      <w:tr w:rsidR="004C0F0C" w:rsidRPr="00DD0594" w14:paraId="26305996" w14:textId="77777777" w:rsidTr="00656C2E">
        <w:trPr>
          <w:tblHeader/>
        </w:trPr>
        <w:tc>
          <w:tcPr>
            <w:tcW w:w="881"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FF8E4D"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Age/Sex</w:t>
            </w:r>
          </w:p>
        </w:tc>
        <w:tc>
          <w:tcPr>
            <w:tcW w:w="702"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02FD5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APOE</w:t>
            </w:r>
          </w:p>
        </w:tc>
        <w:tc>
          <w:tcPr>
            <w:tcW w:w="827" w:type="dxa"/>
            <w:tcBorders>
              <w:left w:val="none" w:sz="0" w:space="0" w:color="000000"/>
              <w:bottom w:val="single" w:sz="12" w:space="0" w:color="666666"/>
              <w:right w:val="none" w:sz="0" w:space="0" w:color="000000"/>
            </w:tcBorders>
            <w:shd w:val="clear" w:color="auto" w:fill="FFFFFF"/>
            <w:vAlign w:val="center"/>
          </w:tcPr>
          <w:p w14:paraId="11267547" w14:textId="400E2D3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color w:val="000000"/>
                <w:sz w:val="18"/>
                <w:szCs w:val="18"/>
              </w:rPr>
              <w:t>Baseline CMB</w:t>
            </w:r>
          </w:p>
        </w:tc>
        <w:tc>
          <w:tcPr>
            <w:tcW w:w="1418" w:type="dxa"/>
            <w:tcBorders>
              <w:left w:val="none" w:sz="0" w:space="0" w:color="000000"/>
              <w:bottom w:val="single" w:sz="12" w:space="0" w:color="666666"/>
              <w:right w:val="none" w:sz="0" w:space="0" w:color="000000"/>
            </w:tcBorders>
            <w:shd w:val="clear" w:color="auto" w:fill="FFFFFF"/>
            <w:vAlign w:val="center"/>
          </w:tcPr>
          <w:p w14:paraId="7E64AF3C" w14:textId="56EED5D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hint="eastAsia"/>
                <w:color w:val="000000"/>
                <w:sz w:val="18"/>
                <w:szCs w:val="18"/>
              </w:rPr>
              <w:t>B</w:t>
            </w:r>
            <w:r w:rsidRPr="00DD0594">
              <w:rPr>
                <w:rFonts w:ascii="Arial" w:hAnsi="Arial" w:cs="Arial"/>
                <w:color w:val="000000"/>
                <w:sz w:val="18"/>
                <w:szCs w:val="18"/>
              </w:rPr>
              <w:t>aseline CDR/CDRSB</w:t>
            </w:r>
          </w:p>
        </w:tc>
        <w:tc>
          <w:tcPr>
            <w:tcW w:w="992"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BD8C28" w14:textId="59A3DD11"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ARIA class</w:t>
            </w:r>
          </w:p>
        </w:tc>
        <w:tc>
          <w:tcPr>
            <w:tcW w:w="992"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B6B20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Severity</w:t>
            </w:r>
          </w:p>
        </w:tc>
        <w:tc>
          <w:tcPr>
            <w:tcW w:w="992"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D95631" w14:textId="5901FADC" w:rsidR="00E942DF" w:rsidRPr="00DD0594" w:rsidRDefault="009B6441"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 xml:space="preserve">First </w:t>
            </w:r>
            <w:proofErr w:type="spellStart"/>
            <w:r w:rsidRPr="00DD0594">
              <w:rPr>
                <w:rFonts w:ascii="Arial" w:eastAsia="Helvetica" w:hAnsi="Arial" w:cs="Arial"/>
                <w:color w:val="000000"/>
                <w:sz w:val="18"/>
                <w:szCs w:val="18"/>
              </w:rPr>
              <w:t>ARIA</w:t>
            </w:r>
            <w:r w:rsidRPr="00DD0594">
              <w:rPr>
                <w:rFonts w:ascii="Arial" w:eastAsia="Helvetica" w:hAnsi="Arial" w:cs="Arial"/>
                <w:color w:val="000000"/>
                <w:sz w:val="18"/>
                <w:szCs w:val="18"/>
                <w:vertAlign w:val="superscript"/>
              </w:rPr>
              <w:t>a</w:t>
            </w:r>
            <w:proofErr w:type="spellEnd"/>
          </w:p>
        </w:tc>
        <w:tc>
          <w:tcPr>
            <w:tcW w:w="2552"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CC7BDB" w14:textId="6382D49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Course &amp; outcome</w:t>
            </w:r>
          </w:p>
        </w:tc>
        <w:tc>
          <w:tcPr>
            <w:tcW w:w="1453" w:type="dxa"/>
            <w:tcBorders>
              <w:left w:val="none" w:sz="0" w:space="0" w:color="000000"/>
              <w:bottom w:val="single" w:sz="12" w:space="0" w:color="666666"/>
              <w:right w:val="none" w:sz="0" w:space="0" w:color="000000"/>
            </w:tcBorders>
            <w:shd w:val="clear" w:color="auto" w:fill="FFFFFF"/>
          </w:tcPr>
          <w:p w14:paraId="5A023A73" w14:textId="2EC2547C" w:rsidR="00E942DF" w:rsidRPr="00DD0594" w:rsidRDefault="009B6441"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color w:val="000000"/>
                <w:sz w:val="18"/>
                <w:szCs w:val="18"/>
              </w:rPr>
              <w:t xml:space="preserve">MRI for GRE and SWI </w:t>
            </w:r>
            <w:proofErr w:type="spellStart"/>
            <w:r w:rsidRPr="00DD0594">
              <w:rPr>
                <w:rFonts w:ascii="Arial" w:hAnsi="Arial" w:cs="Arial"/>
                <w:color w:val="000000"/>
                <w:sz w:val="18"/>
                <w:szCs w:val="18"/>
              </w:rPr>
              <w:t>comparison</w:t>
            </w:r>
            <w:r w:rsidRPr="00DD0594">
              <w:rPr>
                <w:rFonts w:ascii="Arial" w:hAnsi="Arial" w:cs="Arial"/>
                <w:color w:val="000000"/>
                <w:sz w:val="18"/>
                <w:szCs w:val="18"/>
                <w:vertAlign w:val="superscript"/>
              </w:rPr>
              <w:t>b</w:t>
            </w:r>
            <w:proofErr w:type="spellEnd"/>
            <w:r w:rsidR="00E942DF" w:rsidRPr="00DD0594">
              <w:rPr>
                <w:rFonts w:ascii="Arial" w:hAnsi="Arial" w:cs="Arial"/>
                <w:color w:val="000000"/>
                <w:sz w:val="18"/>
                <w:szCs w:val="18"/>
              </w:rPr>
              <w:t xml:space="preserve"> </w:t>
            </w:r>
          </w:p>
        </w:tc>
        <w:tc>
          <w:tcPr>
            <w:tcW w:w="610"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B8432C" w14:textId="587D4D1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CMB</w:t>
            </w:r>
          </w:p>
        </w:tc>
        <w:tc>
          <w:tcPr>
            <w:tcW w:w="834"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F5B4D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roofErr w:type="spellStart"/>
            <w:r w:rsidRPr="00DD0594">
              <w:rPr>
                <w:rFonts w:ascii="Arial" w:eastAsia="Helvetica" w:hAnsi="Arial" w:cs="Arial"/>
                <w:color w:val="000000"/>
                <w:sz w:val="18"/>
                <w:szCs w:val="18"/>
              </w:rPr>
              <w:t>cSS</w:t>
            </w:r>
            <w:proofErr w:type="spellEnd"/>
          </w:p>
        </w:tc>
        <w:tc>
          <w:tcPr>
            <w:tcW w:w="610"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269AD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CMB</w:t>
            </w:r>
          </w:p>
        </w:tc>
        <w:tc>
          <w:tcPr>
            <w:tcW w:w="834" w:type="dxa"/>
            <w:tcBorders>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0F90B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proofErr w:type="spellStart"/>
            <w:r w:rsidRPr="00DD0594">
              <w:rPr>
                <w:rFonts w:ascii="Arial" w:eastAsia="Helvetica" w:hAnsi="Arial" w:cs="Arial"/>
                <w:color w:val="000000"/>
                <w:sz w:val="18"/>
                <w:szCs w:val="18"/>
              </w:rPr>
              <w:t>cSS</w:t>
            </w:r>
            <w:proofErr w:type="spellEnd"/>
          </w:p>
        </w:tc>
      </w:tr>
      <w:tr w:rsidR="004C0F0C" w:rsidRPr="00DD0594" w14:paraId="69A3C817" w14:textId="77777777" w:rsidTr="00656C2E">
        <w:tc>
          <w:tcPr>
            <w:tcW w:w="88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40C5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67/F</w:t>
            </w:r>
          </w:p>
        </w:tc>
        <w:tc>
          <w:tcPr>
            <w:tcW w:w="7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9AB9D"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E4/E4</w:t>
            </w:r>
          </w:p>
        </w:tc>
        <w:tc>
          <w:tcPr>
            <w:tcW w:w="827" w:type="dxa"/>
            <w:tcBorders>
              <w:top w:val="single" w:sz="12" w:space="0" w:color="666666"/>
              <w:left w:val="none" w:sz="0" w:space="0" w:color="000000"/>
              <w:bottom w:val="none" w:sz="0" w:space="0" w:color="000000"/>
              <w:right w:val="none" w:sz="0" w:space="0" w:color="000000"/>
            </w:tcBorders>
            <w:shd w:val="clear" w:color="auto" w:fill="FFFFFF"/>
            <w:vAlign w:val="center"/>
          </w:tcPr>
          <w:p w14:paraId="10567D82" w14:textId="1CF6676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hint="eastAsia"/>
                <w:color w:val="000000"/>
                <w:sz w:val="18"/>
                <w:szCs w:val="18"/>
              </w:rPr>
              <w:t>0</w:t>
            </w:r>
          </w:p>
        </w:tc>
        <w:tc>
          <w:tcPr>
            <w:tcW w:w="1418" w:type="dxa"/>
            <w:tcBorders>
              <w:top w:val="single" w:sz="12" w:space="0" w:color="666666"/>
              <w:left w:val="none" w:sz="0" w:space="0" w:color="000000"/>
              <w:bottom w:val="none" w:sz="0" w:space="0" w:color="000000"/>
              <w:right w:val="none" w:sz="0" w:space="0" w:color="000000"/>
            </w:tcBorders>
            <w:shd w:val="clear" w:color="auto" w:fill="FFFFFF"/>
            <w:vAlign w:val="center"/>
          </w:tcPr>
          <w:p w14:paraId="5AE728C3" w14:textId="02B755E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hint="eastAsia"/>
                <w:color w:val="000000"/>
                <w:sz w:val="18"/>
                <w:szCs w:val="18"/>
              </w:rPr>
              <w:t>0</w:t>
            </w:r>
            <w:r w:rsidRPr="00DD0594">
              <w:rPr>
                <w:rFonts w:ascii="Arial" w:eastAsia="Helvetica" w:hAnsi="Arial" w:cs="Arial"/>
                <w:color w:val="000000"/>
                <w:sz w:val="18"/>
                <w:szCs w:val="18"/>
              </w:rPr>
              <w:t>.5/2.5</w:t>
            </w:r>
          </w:p>
        </w:tc>
        <w:tc>
          <w:tcPr>
            <w:tcW w:w="99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96940" w14:textId="77A39DB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ARIA-E/H</w:t>
            </w:r>
          </w:p>
        </w:tc>
        <w:tc>
          <w:tcPr>
            <w:tcW w:w="99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876D1B" w14:textId="3DEDEB6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Moderate</w:t>
            </w:r>
          </w:p>
        </w:tc>
        <w:tc>
          <w:tcPr>
            <w:tcW w:w="99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168C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D1DBE" w14:textId="441098F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b/>
                <w:color w:val="000000"/>
                <w:sz w:val="18"/>
                <w:szCs w:val="18"/>
              </w:rPr>
              <w:t>Discontinued</w:t>
            </w:r>
            <w:r w:rsidRPr="00DD0594">
              <w:rPr>
                <w:rFonts w:ascii="Arial" w:eastAsia="Helvetica" w:hAnsi="Arial" w:cs="Arial"/>
                <w:color w:val="000000"/>
                <w:sz w:val="18"/>
                <w:szCs w:val="18"/>
              </w:rPr>
              <w:t>; Moderate ARIA-E/H before the 5</w:t>
            </w:r>
            <w:r w:rsidRPr="00DD0594">
              <w:rPr>
                <w:rFonts w:ascii="Arial" w:eastAsia="Helvetica" w:hAnsi="Arial" w:cs="Arial"/>
                <w:color w:val="000000"/>
                <w:sz w:val="18"/>
                <w:szCs w:val="18"/>
                <w:vertAlign w:val="superscript"/>
              </w:rPr>
              <w:t xml:space="preserve">th </w:t>
            </w:r>
            <w:r w:rsidRPr="00DD0594">
              <w:rPr>
                <w:rFonts w:ascii="Arial" w:eastAsia="Helvetica" w:hAnsi="Arial" w:cs="Arial"/>
                <w:color w:val="000000"/>
                <w:sz w:val="18"/>
                <w:szCs w:val="18"/>
              </w:rPr>
              <w:t>infusion,</w:t>
            </w:r>
            <w:r w:rsidRPr="00DD0594">
              <w:t xml:space="preserve"> </w:t>
            </w:r>
            <w:r w:rsidRPr="00DD0594">
              <w:rPr>
                <w:rFonts w:ascii="Arial" w:eastAsia="Helvetica" w:hAnsi="Arial" w:cs="Arial"/>
                <w:color w:val="000000"/>
                <w:sz w:val="18"/>
                <w:szCs w:val="18"/>
              </w:rPr>
              <w:t>prompting temporary treatment suspension; recurrent ARIA-</w:t>
            </w:r>
            <w:r w:rsidR="00552EA5" w:rsidRPr="00DD0594">
              <w:rPr>
                <w:rFonts w:ascii="Arial" w:eastAsia="Helvetica" w:hAnsi="Arial" w:cs="Arial"/>
                <w:color w:val="000000"/>
                <w:sz w:val="18"/>
                <w:szCs w:val="18"/>
              </w:rPr>
              <w:t>E</w:t>
            </w:r>
            <w:r w:rsidR="00434CC2" w:rsidRPr="00DD0594">
              <w:rPr>
                <w:rFonts w:ascii="Arial" w:eastAsia="Helvetica" w:hAnsi="Arial" w:cs="Arial"/>
                <w:color w:val="000000"/>
                <w:sz w:val="18"/>
                <w:szCs w:val="18"/>
              </w:rPr>
              <w:t xml:space="preserve">/H </w:t>
            </w:r>
            <w:r w:rsidRPr="00DD0594">
              <w:rPr>
                <w:rFonts w:ascii="Arial" w:eastAsia="Helvetica" w:hAnsi="Arial" w:cs="Arial"/>
                <w:color w:val="000000"/>
                <w:sz w:val="18"/>
                <w:szCs w:val="18"/>
              </w:rPr>
              <w:t>before the 9</w:t>
            </w:r>
            <w:r w:rsidRPr="00DD0594">
              <w:rPr>
                <w:rFonts w:ascii="Arial" w:eastAsia="Helvetica" w:hAnsi="Arial" w:cs="Arial"/>
                <w:color w:val="000000"/>
                <w:sz w:val="18"/>
                <w:szCs w:val="18"/>
                <w:vertAlign w:val="superscript"/>
              </w:rPr>
              <w:t>th &amp;</w:t>
            </w:r>
            <w:r w:rsidRPr="00DD0594">
              <w:rPr>
                <w:rFonts w:ascii="Arial" w:eastAsia="Helvetica" w:hAnsi="Arial" w:cs="Arial"/>
                <w:color w:val="000000"/>
                <w:sz w:val="18"/>
                <w:szCs w:val="18"/>
              </w:rPr>
              <w:t xml:space="preserve"> 14</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w:t>
            </w:r>
          </w:p>
        </w:tc>
        <w:tc>
          <w:tcPr>
            <w:tcW w:w="1453" w:type="dxa"/>
            <w:tcBorders>
              <w:top w:val="single" w:sz="12" w:space="0" w:color="666666"/>
              <w:left w:val="none" w:sz="0" w:space="0" w:color="000000"/>
              <w:bottom w:val="none" w:sz="0" w:space="0" w:color="000000"/>
              <w:right w:val="none" w:sz="0" w:space="0" w:color="000000"/>
            </w:tcBorders>
            <w:shd w:val="clear" w:color="auto" w:fill="FFFFFF"/>
            <w:vAlign w:val="center"/>
          </w:tcPr>
          <w:p w14:paraId="03994060" w14:textId="199BC57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AC349" w14:textId="22892D3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2A96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8AA4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86C6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r>
      <w:tr w:rsidR="004C0F0C" w:rsidRPr="00DD0594" w14:paraId="6188473E"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0DE2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58/F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7DAC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2F9B3205" w14:textId="35F15CF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179D9CD6" w14:textId="64220EC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r w:rsidRPr="00DD0594">
              <w:rPr>
                <w:rFonts w:ascii="Arial" w:hAnsi="Arial" w:cs="Arial"/>
                <w:color w:val="000000"/>
                <w:sz w:val="18"/>
                <w:szCs w:val="18"/>
              </w:rPr>
              <w:t>/8</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014BA" w14:textId="7113973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ARIA-E/H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7EBA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8357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8013B" w14:textId="07C8EBD6" w:rsidR="00E942DF" w:rsidRPr="00DD0594" w:rsidRDefault="00170F6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b/>
                <w:color w:val="000000"/>
                <w:sz w:val="18"/>
                <w:szCs w:val="18"/>
              </w:rPr>
            </w:pPr>
            <w:r w:rsidRPr="00DD0594">
              <w:rPr>
                <w:rFonts w:ascii="Arial" w:eastAsia="Helvetica" w:hAnsi="Arial" w:cs="Arial"/>
                <w:b/>
                <w:color w:val="000000"/>
                <w:sz w:val="18"/>
                <w:szCs w:val="18"/>
              </w:rPr>
              <w:t>Suspended</w:t>
            </w:r>
            <w:r w:rsidR="00E942DF" w:rsidRPr="00DD0594">
              <w:rPr>
                <w:rFonts w:ascii="Arial" w:eastAsia="Helvetica" w:hAnsi="Arial" w:cs="Arial"/>
                <w:b/>
                <w:color w:val="000000"/>
                <w:sz w:val="18"/>
                <w:szCs w:val="18"/>
              </w:rPr>
              <w:t>;</w:t>
            </w:r>
            <w:r w:rsidRPr="00DD0594">
              <w:rPr>
                <w:rFonts w:ascii="Arial" w:hAnsi="Arial" w:cs="Arial" w:hint="eastAsia"/>
                <w:b/>
                <w:color w:val="000000"/>
                <w:sz w:val="18"/>
                <w:szCs w:val="18"/>
              </w:rPr>
              <w:t xml:space="preserve"> </w:t>
            </w:r>
            <w:r w:rsidRPr="00DD0594">
              <w:rPr>
                <w:rFonts w:ascii="Arial" w:eastAsia="Helvetica" w:hAnsi="Arial" w:cs="Arial"/>
                <w:color w:val="000000"/>
                <w:sz w:val="18"/>
                <w:szCs w:val="18"/>
              </w:rPr>
              <w:t>Mild ARIA-</w:t>
            </w:r>
            <w:r w:rsidRPr="00DD0594">
              <w:rPr>
                <w:rFonts w:ascii="Arial" w:hAnsi="Arial" w:cs="Arial" w:hint="eastAsia"/>
                <w:color w:val="000000"/>
                <w:sz w:val="18"/>
                <w:szCs w:val="18"/>
              </w:rPr>
              <w:t>E/H</w:t>
            </w:r>
            <w:r w:rsidRPr="00DD0594">
              <w:rPr>
                <w:rFonts w:ascii="Arial" w:eastAsia="Helvetica" w:hAnsi="Arial" w:cs="Arial"/>
                <w:color w:val="000000"/>
                <w:sz w:val="18"/>
                <w:szCs w:val="18"/>
              </w:rPr>
              <w:t xml:space="preserve"> before the</w:t>
            </w:r>
            <w:r w:rsidRPr="00DD0594">
              <w:rPr>
                <w:rFonts w:ascii="Arial" w:hAnsi="Arial" w:cs="Arial" w:hint="eastAsia"/>
                <w:color w:val="000000"/>
                <w:sz w:val="18"/>
                <w:szCs w:val="18"/>
              </w:rPr>
              <w:t xml:space="preserve"> 5</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 prompting temporary treatment suspension; recurrent ARIA-E before </w:t>
            </w:r>
            <w:r w:rsidR="00E942DF" w:rsidRPr="00DD0594">
              <w:rPr>
                <w:rFonts w:ascii="Arial" w:eastAsia="Helvetica" w:hAnsi="Arial" w:cs="Arial"/>
                <w:color w:val="000000"/>
                <w:sz w:val="18"/>
                <w:szCs w:val="18"/>
              </w:rPr>
              <w:t>the 9</w:t>
            </w:r>
            <w:r w:rsidR="00E942DF" w:rsidRPr="00DD0594">
              <w:rPr>
                <w:rFonts w:ascii="Arial" w:eastAsia="Helvetica" w:hAnsi="Arial" w:cs="Arial"/>
                <w:color w:val="000000"/>
                <w:sz w:val="18"/>
                <w:szCs w:val="18"/>
                <w:vertAlign w:val="superscript"/>
              </w:rPr>
              <w:t>th</w:t>
            </w:r>
            <w:r w:rsidR="00E942DF" w:rsidRPr="00DD0594">
              <w:rPr>
                <w:rFonts w:ascii="Arial" w:eastAsia="Helvetica" w:hAnsi="Arial" w:cs="Arial"/>
                <w:color w:val="000000"/>
                <w:sz w:val="18"/>
                <w:szCs w:val="18"/>
              </w:rPr>
              <w:t xml:space="preserve"> infusion</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3063F0E5" w14:textId="07F3070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3F699" w14:textId="294753B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80DF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CBA6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3</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732E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760915AC"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CA82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69/F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B5AC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E4/E4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32C2618C" w14:textId="65FD291F"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6A1AC7AB" w14:textId="09B067B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hAnsi="Arial" w:cs="Arial" w:hint="eastAsia"/>
                <w:color w:val="000000"/>
                <w:sz w:val="18"/>
                <w:szCs w:val="18"/>
              </w:rPr>
              <w:t>1</w:t>
            </w:r>
            <w:r w:rsidRPr="00DD0594">
              <w:rPr>
                <w:rFonts w:ascii="Arial" w:hAnsi="Arial" w:cs="Arial"/>
                <w:color w:val="000000"/>
                <w:sz w:val="18"/>
                <w:szCs w:val="18"/>
              </w:rPr>
              <w:t>/7</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634C5" w14:textId="14966E8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ARIA-E/H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3576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Moderate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D3BED" w14:textId="734F8AF3" w:rsidR="00E942DF" w:rsidRPr="00DD0594" w:rsidRDefault="00170F6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hAnsi="Arial" w:cs="Arial" w:hint="eastAsia"/>
                <w:color w:val="000000"/>
                <w:sz w:val="18"/>
                <w:szCs w:val="18"/>
              </w:rPr>
              <w:t>7</w:t>
            </w:r>
            <w:r w:rsidR="00E942DF" w:rsidRPr="00DD0594">
              <w:rPr>
                <w:rFonts w:ascii="Arial" w:eastAsia="Helvetica" w:hAnsi="Arial" w:cs="Arial"/>
                <w:color w:val="000000"/>
                <w:sz w:val="18"/>
                <w:szCs w:val="18"/>
              </w:rPr>
              <w:t>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0B257" w14:textId="2D811F5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eastAsia="Helvetica" w:hAnsi="Arial" w:cs="Arial"/>
                <w:b/>
                <w:color w:val="000000"/>
                <w:sz w:val="18"/>
                <w:szCs w:val="18"/>
              </w:rPr>
              <w:t>Suspended</w:t>
            </w:r>
            <w:r w:rsidRPr="00DD0594">
              <w:rPr>
                <w:rFonts w:ascii="Arial" w:eastAsia="Helvetica" w:hAnsi="Arial" w:cs="Arial"/>
                <w:color w:val="000000"/>
                <w:sz w:val="18"/>
                <w:szCs w:val="18"/>
              </w:rPr>
              <w:t>; Mild ARIA-H before the</w:t>
            </w:r>
            <w:r w:rsidR="00170F6F" w:rsidRPr="00DD0594">
              <w:rPr>
                <w:rFonts w:ascii="Arial" w:hAnsi="Arial" w:cs="Arial" w:hint="eastAsia"/>
                <w:color w:val="000000"/>
                <w:sz w:val="18"/>
                <w:szCs w:val="18"/>
              </w:rPr>
              <w:t xml:space="preserve"> </w:t>
            </w:r>
            <w:r w:rsidRPr="00DD0594">
              <w:rPr>
                <w:rFonts w:ascii="Arial" w:eastAsia="Helvetica" w:hAnsi="Arial" w:cs="Arial"/>
                <w:color w:val="000000"/>
                <w:sz w:val="18"/>
                <w:szCs w:val="18"/>
              </w:rPr>
              <w:t>7</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 </w:t>
            </w:r>
            <w:r w:rsidR="00170F6F" w:rsidRPr="00DD0594">
              <w:rPr>
                <w:rFonts w:ascii="Arial" w:hAnsi="Arial" w:cs="Arial" w:hint="eastAsia"/>
                <w:color w:val="000000"/>
                <w:sz w:val="18"/>
                <w:szCs w:val="18"/>
              </w:rPr>
              <w:t>continuation</w:t>
            </w:r>
            <w:r w:rsidRPr="00DD0594">
              <w:rPr>
                <w:rFonts w:ascii="Arial" w:eastAsia="Helvetica" w:hAnsi="Arial" w:cs="Arial"/>
                <w:color w:val="000000"/>
                <w:sz w:val="18"/>
                <w:szCs w:val="18"/>
              </w:rPr>
              <w:t xml:space="preserve"> led to moderate ARIA-E/H </w:t>
            </w:r>
            <w:r w:rsidR="00AB7FCB" w:rsidRPr="00DD0594">
              <w:rPr>
                <w:rFonts w:ascii="Arial" w:hAnsi="Arial" w:cs="Arial" w:hint="eastAsia"/>
                <w:color w:val="000000"/>
                <w:sz w:val="18"/>
                <w:szCs w:val="18"/>
              </w:rPr>
              <w:t>before</w:t>
            </w:r>
            <w:r w:rsidRPr="00DD0594">
              <w:rPr>
                <w:rFonts w:ascii="Arial" w:eastAsia="Helvetica" w:hAnsi="Arial" w:cs="Arial"/>
                <w:color w:val="000000"/>
                <w:sz w:val="18"/>
                <w:szCs w:val="18"/>
              </w:rPr>
              <w:t xml:space="preserve"> the 14</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w:t>
            </w:r>
            <w:r w:rsidRPr="00DD0594">
              <w:rPr>
                <w:rFonts w:ascii="Arial" w:eastAsia="Helvetica" w:hAnsi="Arial" w:cs="Arial"/>
                <w:color w:val="000000"/>
                <w:sz w:val="18"/>
                <w:szCs w:val="18"/>
              </w:rPr>
              <w:lastRenderedPageBreak/>
              <w:t>infusion</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50C74443" w14:textId="5DF31A7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lastRenderedPageBreak/>
              <w:t>14th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967E45" w14:textId="051D515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770A4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2027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62DD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4416CD5F"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DC5A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lastRenderedPageBreak/>
              <w:t>62/F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3A21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E3/E3</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33BAF904" w14:textId="3FF24DA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3FFDEA65" w14:textId="6DC8F37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EBFDE" w14:textId="206AE5C8"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ARIA-E/H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3B497" w14:textId="6D6E1C7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Moderate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3D1F5" w14:textId="250157A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A7A53" w14:textId="45AABBD1"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b/>
                <w:color w:val="000000"/>
                <w:sz w:val="18"/>
                <w:szCs w:val="18"/>
              </w:rPr>
              <w:t>Suspended</w:t>
            </w:r>
            <w:r w:rsidRPr="00DD0594">
              <w:rPr>
                <w:rFonts w:ascii="Arial" w:eastAsia="Helvetica" w:hAnsi="Arial" w:cs="Arial"/>
                <w:color w:val="000000"/>
                <w:sz w:val="18"/>
                <w:szCs w:val="18"/>
              </w:rPr>
              <w:t>; Mild ARIA-E before the 5</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 prompting temporary treatment suspension; re-initiation led to moderate ARIA-E/H at the 14</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1D01D89A" w14:textId="2622829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eastAsia="Helvetica" w:hAnsi="Arial" w:cs="Arial"/>
                <w:color w:val="000000"/>
                <w:sz w:val="18"/>
                <w:szCs w:val="18"/>
              </w:rPr>
              <w:t>14</w:t>
            </w:r>
            <w:r w:rsidRPr="00DD0594">
              <w:rPr>
                <w:rFonts w:ascii="Arial" w:eastAsia="Helvetica" w:hAnsi="Arial" w:cs="Arial"/>
                <w:color w:val="000000"/>
                <w:sz w:val="18"/>
                <w:szCs w:val="18"/>
                <w:vertAlign w:val="superscript"/>
              </w:rPr>
              <w:t>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37F38" w14:textId="0792924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color w:val="000000"/>
                <w:sz w:val="18"/>
                <w:szCs w:val="18"/>
              </w:rPr>
              <w:t>4</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4629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7B74A" w14:textId="3203BCE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hAnsi="Arial" w:cs="Arial"/>
                <w:color w:val="000000"/>
                <w:sz w:val="18"/>
                <w:szCs w:val="18"/>
              </w:rPr>
            </w:pPr>
            <w:r w:rsidRPr="00DD0594">
              <w:rPr>
                <w:rFonts w:ascii="Arial" w:hAnsi="Arial" w:cs="Arial"/>
                <w:color w:val="000000"/>
                <w:sz w:val="18"/>
                <w:szCs w:val="18"/>
              </w:rPr>
              <w:t>4</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F69B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43B3C7D1"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CB0E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77/M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A5B9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E3/E3</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5AA42E74" w14:textId="7F74801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65767D37" w14:textId="42358CE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.5/2.5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87E01" w14:textId="0B15FC2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ARIA-E/H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86D78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68CB1" w14:textId="781493C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01C86" w14:textId="1AD41FF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b/>
                <w:color w:val="000000"/>
                <w:sz w:val="18"/>
                <w:szCs w:val="18"/>
              </w:rPr>
              <w:t>Discontinued</w:t>
            </w:r>
            <w:r w:rsidRPr="00DD0594">
              <w:rPr>
                <w:rFonts w:ascii="Arial" w:eastAsia="Helvetica" w:hAnsi="Arial" w:cs="Arial"/>
                <w:color w:val="000000"/>
                <w:sz w:val="18"/>
                <w:szCs w:val="18"/>
              </w:rPr>
              <w:t xml:space="preserve">; Mild ARIA-E/H, but discontinued treatment due to new onset parkinsonism </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144B647C" w14:textId="18C5593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2F953" w14:textId="6ADF51A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3CB4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A52BD"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4DE6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r>
      <w:tr w:rsidR="004C0F0C" w:rsidRPr="00DD0594" w14:paraId="4AE11C91"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D2AC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themeColor="text1"/>
                <w:sz w:val="18"/>
                <w:szCs w:val="18"/>
              </w:rPr>
            </w:pPr>
            <w:r w:rsidRPr="00DD0594">
              <w:rPr>
                <w:rFonts w:ascii="Arial" w:eastAsia="Helvetica" w:hAnsi="Arial" w:cs="Arial"/>
                <w:color w:val="000000" w:themeColor="text1"/>
                <w:sz w:val="18"/>
                <w:szCs w:val="18"/>
              </w:rPr>
              <w:t>67/F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0286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themeColor="text1"/>
                <w:sz w:val="18"/>
                <w:szCs w:val="18"/>
              </w:rPr>
            </w:pPr>
            <w:r w:rsidRPr="00DD0594">
              <w:rPr>
                <w:rFonts w:ascii="Arial" w:eastAsia="Helvetica" w:hAnsi="Arial" w:cs="Arial"/>
                <w:color w:val="000000" w:themeColor="text1"/>
                <w:sz w:val="18"/>
                <w:szCs w:val="18"/>
              </w:rPr>
              <w:t>E4/E4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27E7582A" w14:textId="58ACABF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themeColor="text1"/>
                <w:sz w:val="18"/>
                <w:szCs w:val="18"/>
              </w:rPr>
            </w:pPr>
            <w:r w:rsidRPr="00DD0594">
              <w:rPr>
                <w:rFonts w:ascii="Arial" w:hAnsi="Arial" w:cs="Arial" w:hint="eastAsia"/>
                <w:color w:val="000000" w:themeColor="text1"/>
                <w:sz w:val="18"/>
                <w:szCs w:val="18"/>
              </w:rPr>
              <w:t>3</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7D036DC4" w14:textId="756716C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themeColor="text1"/>
                <w:sz w:val="18"/>
                <w:szCs w:val="18"/>
              </w:rPr>
            </w:pPr>
            <w:r w:rsidRPr="00DD0594">
              <w:rPr>
                <w:rFonts w:ascii="Arial" w:hAnsi="Arial" w:cs="Arial" w:hint="eastAsia"/>
                <w:color w:val="000000" w:themeColor="text1"/>
                <w:sz w:val="18"/>
                <w:szCs w:val="18"/>
              </w:rPr>
              <w:t>0</w:t>
            </w:r>
            <w:r w:rsidRPr="00DD0594">
              <w:rPr>
                <w:rFonts w:ascii="Arial" w:hAnsi="Arial" w:cs="Arial"/>
                <w:color w:val="000000" w:themeColor="text1"/>
                <w:sz w:val="18"/>
                <w:szCs w:val="18"/>
              </w:rPr>
              <w:t>.5/2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A01A1" w14:textId="0DAE9128"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themeColor="text1"/>
                <w:sz w:val="18"/>
                <w:szCs w:val="18"/>
              </w:rPr>
            </w:pPr>
            <w:r w:rsidRPr="00DD0594">
              <w:rPr>
                <w:rFonts w:ascii="Arial" w:eastAsia="Helvetica" w:hAnsi="Arial" w:cs="Arial"/>
                <w:color w:val="000000" w:themeColor="text1"/>
                <w:sz w:val="18"/>
                <w:szCs w:val="18"/>
              </w:rPr>
              <w:t>ARIA-E/H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D690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themeColor="text1"/>
                <w:sz w:val="18"/>
                <w:szCs w:val="18"/>
              </w:rPr>
            </w:pPr>
            <w:r w:rsidRPr="00DD0594">
              <w:rPr>
                <w:rFonts w:ascii="Arial" w:eastAsia="Helvetica" w:hAnsi="Arial" w:cs="Arial"/>
                <w:color w:val="000000" w:themeColor="text1"/>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927BA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themeColor="text1"/>
                <w:sz w:val="18"/>
                <w:szCs w:val="18"/>
              </w:rPr>
            </w:pPr>
            <w:r w:rsidRPr="00DD0594">
              <w:rPr>
                <w:rFonts w:ascii="Arial" w:eastAsia="Helvetica" w:hAnsi="Arial" w:cs="Arial"/>
                <w:color w:val="000000" w:themeColor="text1"/>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F3852" w14:textId="508FF0D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themeColor="text1"/>
                <w:sz w:val="18"/>
                <w:szCs w:val="18"/>
              </w:rPr>
            </w:pPr>
            <w:r w:rsidRPr="00DD0594">
              <w:rPr>
                <w:rFonts w:ascii="Arial" w:eastAsia="Helvetica" w:hAnsi="Arial" w:cs="Arial"/>
                <w:b/>
                <w:color w:val="000000" w:themeColor="text1"/>
                <w:sz w:val="18"/>
                <w:szCs w:val="18"/>
              </w:rPr>
              <w:t>Temporarily suspended</w:t>
            </w:r>
            <w:r w:rsidRPr="00DD0594">
              <w:rPr>
                <w:rFonts w:ascii="Arial" w:eastAsia="Helvetica" w:hAnsi="Arial" w:cs="Arial"/>
                <w:color w:val="000000" w:themeColor="text1"/>
                <w:sz w:val="18"/>
                <w:szCs w:val="18"/>
              </w:rPr>
              <w:t xml:space="preserve"> but subsequently resumed</w:t>
            </w:r>
            <w:r w:rsidR="00C56BA5" w:rsidRPr="00DD0594">
              <w:rPr>
                <w:rFonts w:ascii="Arial" w:eastAsia="Helvetica" w:hAnsi="Arial" w:cs="Arial"/>
                <w:color w:val="000000" w:themeColor="text1"/>
                <w:sz w:val="18"/>
                <w:szCs w:val="18"/>
              </w:rPr>
              <w:t>; mild ARIA-E/H before the 5</w:t>
            </w:r>
            <w:r w:rsidR="00C56BA5" w:rsidRPr="00DD0594">
              <w:rPr>
                <w:rFonts w:ascii="Arial" w:eastAsia="Helvetica" w:hAnsi="Arial" w:cs="Arial"/>
                <w:color w:val="000000" w:themeColor="text1"/>
                <w:sz w:val="18"/>
                <w:szCs w:val="18"/>
                <w:vertAlign w:val="superscript"/>
              </w:rPr>
              <w:t>th</w:t>
            </w:r>
            <w:r w:rsidR="00C56BA5" w:rsidRPr="00DD0594">
              <w:rPr>
                <w:rFonts w:ascii="Arial" w:eastAsia="Helvetica" w:hAnsi="Arial" w:cs="Arial"/>
                <w:color w:val="000000" w:themeColor="text1"/>
                <w:sz w:val="18"/>
                <w:szCs w:val="18"/>
              </w:rPr>
              <w:t xml:space="preserve"> infusion and recurrent ARIA-E before the 7</w:t>
            </w:r>
            <w:r w:rsidR="00C56BA5" w:rsidRPr="00DD0594">
              <w:rPr>
                <w:rFonts w:ascii="Arial" w:eastAsia="Helvetica" w:hAnsi="Arial" w:cs="Arial"/>
                <w:color w:val="000000" w:themeColor="text1"/>
                <w:sz w:val="18"/>
                <w:szCs w:val="18"/>
                <w:vertAlign w:val="superscript"/>
              </w:rPr>
              <w:t>th</w:t>
            </w:r>
            <w:r w:rsidR="00C56BA5" w:rsidRPr="00DD0594">
              <w:rPr>
                <w:rFonts w:ascii="Arial" w:eastAsia="Helvetica" w:hAnsi="Arial" w:cs="Arial"/>
                <w:color w:val="000000" w:themeColor="text1"/>
                <w:sz w:val="18"/>
                <w:szCs w:val="18"/>
              </w:rPr>
              <w:t xml:space="preserve"> infusion</w:t>
            </w:r>
            <w:r w:rsidRPr="00DD0594">
              <w:rPr>
                <w:rFonts w:ascii="Arial" w:eastAsia="Helvetica" w:hAnsi="Arial" w:cs="Arial"/>
                <w:color w:val="000000" w:themeColor="text1"/>
                <w:sz w:val="18"/>
                <w:szCs w:val="18"/>
              </w:rPr>
              <w:t xml:space="preserve"> </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4D8CD9DA" w14:textId="42DAB0DF"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07C87" w14:textId="2B5A982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61F9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771F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3</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C302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4B3A355A"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FECD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80/F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D1BB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E2/E3</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0D538578" w14:textId="188D870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434C1BFB" w14:textId="758286F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5/0.5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C2240" w14:textId="0796E7E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ADFF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FFF1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A242A" w14:textId="7BE8586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b/>
                <w:color w:val="000000"/>
                <w:sz w:val="18"/>
                <w:szCs w:val="18"/>
              </w:rPr>
              <w:t>Temporarily suspended,</w:t>
            </w:r>
            <w:r w:rsidRPr="00DD0594">
              <w:rPr>
                <w:rFonts w:ascii="Arial" w:eastAsia="Helvetica" w:hAnsi="Arial" w:cs="Arial"/>
                <w:color w:val="000000"/>
                <w:sz w:val="18"/>
                <w:szCs w:val="18"/>
              </w:rPr>
              <w:t xml:space="preserve"> but subsequently resumed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0462CE76" w14:textId="5AC02CC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A6767" w14:textId="2F8E626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DB5E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856C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6E84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r>
      <w:tr w:rsidR="004C0F0C" w:rsidRPr="00DD0594" w14:paraId="5893A5B0"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7CDC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67/F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E99D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5FA8708D" w14:textId="7EA3BC8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8</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249AD2EA" w14:textId="1FCAAAE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.5/0.5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1D19C" w14:textId="59DA3E7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3202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5EAF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14th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2C07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0D1A1C7D" w14:textId="1981EED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14th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DA549" w14:textId="5D9736B1"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AD37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60207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4</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9C4E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2D293482"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0E0C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73/F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C99B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E4/E4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0B64EAC7" w14:textId="1B0B10F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4FFBA53D" w14:textId="6A65B82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.5/1.5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311AC" w14:textId="629A2EA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9D2C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8916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14th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E3C2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161F30DC" w14:textId="28B451D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14th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5D4E5" w14:textId="3DC3A86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5284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7633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627F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78C5A378"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0788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84/M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DC25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5080F772" w14:textId="7B37A46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9</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6596CB02" w14:textId="760D227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56CE2" w14:textId="03FEEB55"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ED57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Severe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F4ADB" w14:textId="50483F0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7A899" w14:textId="48E825F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b/>
                <w:color w:val="000000"/>
                <w:sz w:val="18"/>
                <w:szCs w:val="18"/>
              </w:rPr>
            </w:pPr>
            <w:r w:rsidRPr="00DD0594">
              <w:rPr>
                <w:rFonts w:ascii="Arial" w:eastAsia="Helvetica" w:hAnsi="Arial" w:cs="Arial"/>
                <w:b/>
                <w:color w:val="000000"/>
                <w:sz w:val="18"/>
                <w:szCs w:val="18"/>
              </w:rPr>
              <w:t xml:space="preserve">Discontinued; </w:t>
            </w:r>
            <w:r w:rsidRPr="00DD0594">
              <w:rPr>
                <w:rFonts w:ascii="Arial" w:eastAsia="Helvetica" w:hAnsi="Arial" w:cs="Arial"/>
                <w:color w:val="000000"/>
                <w:sz w:val="18"/>
                <w:szCs w:val="18"/>
              </w:rPr>
              <w:t>Mild ARIA-H before the 5</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infusion; treatment continuation led to severe ARIA-H at the 14</w:t>
            </w:r>
            <w:r w:rsidRPr="00DD0594">
              <w:rPr>
                <w:rFonts w:ascii="Arial" w:eastAsia="Helvetica" w:hAnsi="Arial" w:cs="Arial"/>
                <w:color w:val="000000"/>
                <w:sz w:val="18"/>
                <w:szCs w:val="18"/>
                <w:vertAlign w:val="superscript"/>
              </w:rPr>
              <w:t>th</w:t>
            </w:r>
            <w:r w:rsidRPr="00DD0594">
              <w:rPr>
                <w:rFonts w:ascii="Arial" w:eastAsia="Helvetica" w:hAnsi="Arial" w:cs="Arial"/>
                <w:color w:val="000000"/>
                <w:sz w:val="18"/>
                <w:szCs w:val="18"/>
              </w:rPr>
              <w:t xml:space="preserve"> </w:t>
            </w:r>
            <w:r w:rsidRPr="00DD0594">
              <w:rPr>
                <w:rFonts w:ascii="Arial" w:eastAsia="Helvetica" w:hAnsi="Arial" w:cs="Arial"/>
                <w:color w:val="000000"/>
                <w:sz w:val="18"/>
                <w:szCs w:val="18"/>
              </w:rPr>
              <w:lastRenderedPageBreak/>
              <w:t>infusion</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7AC1FE87" w14:textId="28B4BDF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lastRenderedPageBreak/>
              <w:t>14th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BC4C9" w14:textId="45A2346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4</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9064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Multiple</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2683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17</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42BE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Multiple</w:t>
            </w:r>
          </w:p>
        </w:tc>
      </w:tr>
      <w:tr w:rsidR="004C0F0C" w:rsidRPr="00DD0594" w14:paraId="7185498F"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E53C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lastRenderedPageBreak/>
              <w:t>75/F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1E3F3" w14:textId="4B3E0D8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w:t>
            </w:r>
            <w:r w:rsidR="00C56BA5" w:rsidRPr="00DD0594">
              <w:rPr>
                <w:rFonts w:ascii="Arial" w:eastAsia="Helvetica" w:hAnsi="Arial" w:cs="Arial" w:hint="eastAsia"/>
                <w:color w:val="000000"/>
                <w:sz w:val="18"/>
                <w:szCs w:val="18"/>
              </w:rPr>
              <w:t>3</w:t>
            </w:r>
            <w:r w:rsidRPr="00DD0594">
              <w:rPr>
                <w:rFonts w:ascii="Arial" w:eastAsia="Helvetica" w:hAnsi="Arial" w:cs="Arial"/>
                <w:color w:val="000000"/>
                <w:sz w:val="18"/>
                <w:szCs w:val="18"/>
              </w:rPr>
              <w:t>/E</w:t>
            </w:r>
            <w:r w:rsidR="00C56BA5" w:rsidRPr="00DD0594">
              <w:rPr>
                <w:rFonts w:ascii="Arial" w:eastAsia="Helvetica" w:hAnsi="Arial" w:cs="Arial" w:hint="eastAsia"/>
                <w:color w:val="000000"/>
                <w:sz w:val="18"/>
                <w:szCs w:val="18"/>
              </w:rPr>
              <w:t>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1E886932" w14:textId="1524312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70448CA9" w14:textId="0CAD75E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5/2.5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29A27" w14:textId="64F6EF3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0787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A9D8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A885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02621865" w14:textId="38E84ED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DE101" w14:textId="7F4E857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DA40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A710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E837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1E6E1678"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CE77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79/F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8DEA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7A5475B9" w14:textId="3F60AB4F"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5E5069BD" w14:textId="2FB4ACC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r w:rsidRPr="00DD0594">
              <w:rPr>
                <w:rFonts w:ascii="Arial" w:hAnsi="Arial" w:cs="Arial"/>
                <w:color w:val="000000"/>
                <w:sz w:val="18"/>
                <w:szCs w:val="18"/>
              </w:rPr>
              <w:t>/5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119FE2" w14:textId="10D5349F"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F48F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EF77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91C0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4996CEF3" w14:textId="4324C0E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4F30F" w14:textId="084E942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D815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76F8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7E32C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19956DC1"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9B34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80/M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E9397" w14:textId="5E76CE15"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w:t>
            </w:r>
            <w:r w:rsidR="00C56BA5" w:rsidRPr="00DD0594">
              <w:rPr>
                <w:rFonts w:ascii="Arial" w:eastAsia="Helvetica" w:hAnsi="Arial" w:cs="Arial" w:hint="eastAsia"/>
                <w:color w:val="000000"/>
                <w:sz w:val="18"/>
                <w:szCs w:val="18"/>
              </w:rPr>
              <w:t>3</w:t>
            </w:r>
            <w:r w:rsidRPr="00DD0594">
              <w:rPr>
                <w:rFonts w:ascii="Arial" w:eastAsia="Helvetica" w:hAnsi="Arial" w:cs="Arial"/>
                <w:color w:val="000000"/>
                <w:sz w:val="18"/>
                <w:szCs w:val="18"/>
              </w:rPr>
              <w:t>/E</w:t>
            </w:r>
            <w:r w:rsidR="00C56BA5" w:rsidRPr="00DD0594">
              <w:rPr>
                <w:rFonts w:ascii="Arial" w:eastAsia="Helvetica" w:hAnsi="Arial" w:cs="Arial" w:hint="eastAsia"/>
                <w:color w:val="000000"/>
                <w:sz w:val="18"/>
                <w:szCs w:val="18"/>
              </w:rPr>
              <w:t>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371713FF" w14:textId="145B905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582782F4" w14:textId="411DCBB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5/3.5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0DAEE" w14:textId="4DF5576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BCF0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20EF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75083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1B83C6F3" w14:textId="740A40D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A5605" w14:textId="398E19E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2BE7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2452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3EC8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6B8C9754"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52AF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76/F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E63C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0417A433" w14:textId="17E98784"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34B0931F" w14:textId="614B3D9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5/1.5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5C006" w14:textId="7ED7B7B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4890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901F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D64AD"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656C4BD7" w14:textId="4866D598"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C3C1C" w14:textId="2974159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AA9E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5EC4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7127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3095EB63"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2007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85/M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8880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7E4706F8" w14:textId="5DA825E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3</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6DE3EDFB" w14:textId="36FF5AE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r w:rsidRPr="00DD0594">
              <w:rPr>
                <w:rFonts w:ascii="Arial" w:hAnsi="Arial" w:cs="Arial"/>
                <w:color w:val="000000"/>
                <w:sz w:val="18"/>
                <w:szCs w:val="18"/>
              </w:rPr>
              <w:t>5/4.5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77A97" w14:textId="7508CE6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6CAF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57D4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52B26"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3AC048EF" w14:textId="2C1CFF5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7th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251691" w14:textId="06A6741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F7045"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2FEB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3028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41F30123"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6692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82/M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D67E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E3/E3</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7E8B443F" w14:textId="68E1CAD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605EC9D9" w14:textId="20A341C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5/2.5</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89648" w14:textId="5C2DB3F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A484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3E36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69F09" w14:textId="2BDBA96F"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 with dose reduction</w:t>
            </w:r>
            <w:r w:rsidR="00C56BA5" w:rsidRPr="00DD0594">
              <w:rPr>
                <w:rFonts w:ascii="Arial" w:eastAsia="Helvetica" w:hAnsi="Arial" w:cs="Arial"/>
                <w:color w:val="000000"/>
                <w:sz w:val="18"/>
                <w:szCs w:val="18"/>
              </w:rPr>
              <w:t>; mild ARIA-H before the 5</w:t>
            </w:r>
            <w:r w:rsidR="00C56BA5" w:rsidRPr="00DD0594">
              <w:rPr>
                <w:rFonts w:ascii="Arial" w:eastAsia="Helvetica" w:hAnsi="Arial" w:cs="Arial"/>
                <w:color w:val="000000"/>
                <w:sz w:val="18"/>
                <w:szCs w:val="18"/>
                <w:vertAlign w:val="superscript"/>
              </w:rPr>
              <w:t>th</w:t>
            </w:r>
            <w:r w:rsidR="00C56BA5" w:rsidRPr="00DD0594">
              <w:rPr>
                <w:rFonts w:ascii="Arial" w:eastAsia="Helvetica" w:hAnsi="Arial" w:cs="Arial"/>
                <w:color w:val="000000"/>
                <w:sz w:val="18"/>
                <w:szCs w:val="18"/>
              </w:rPr>
              <w:t xml:space="preserve"> infusion and recurrent mild ARIA-H before the 14</w:t>
            </w:r>
            <w:r w:rsidR="00C56BA5" w:rsidRPr="00DD0594">
              <w:rPr>
                <w:rFonts w:ascii="Arial" w:eastAsia="Helvetica" w:hAnsi="Arial" w:cs="Arial"/>
                <w:color w:val="000000"/>
                <w:sz w:val="18"/>
                <w:szCs w:val="18"/>
                <w:vertAlign w:val="superscript"/>
              </w:rPr>
              <w:t>th</w:t>
            </w:r>
            <w:r w:rsidR="00C56BA5" w:rsidRPr="00DD0594">
              <w:rPr>
                <w:rFonts w:ascii="Arial" w:eastAsia="Helvetica" w:hAnsi="Arial" w:cs="Arial"/>
                <w:color w:val="000000"/>
                <w:sz w:val="18"/>
                <w:szCs w:val="18"/>
              </w:rPr>
              <w:t xml:space="preserve"> infusion</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00EECF6E" w14:textId="6F7D4FC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FE8D8" w14:textId="7DBAC39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498B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43E4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6562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r>
      <w:tr w:rsidR="004C0F0C" w:rsidRPr="00DD0594" w14:paraId="31870BBE"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CCD0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77/F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1B53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2DF4676A" w14:textId="25193C02"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3</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55E486EF" w14:textId="0621BF1E"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1</w:t>
            </w:r>
            <w:r w:rsidRPr="00DD0594">
              <w:rPr>
                <w:rFonts w:ascii="Arial" w:hAnsi="Arial" w:cs="Arial"/>
                <w:color w:val="000000"/>
                <w:sz w:val="18"/>
                <w:szCs w:val="18"/>
              </w:rPr>
              <w:t>/6</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209F9" w14:textId="2F727AF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56D2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82C0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E0CB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429E1009" w14:textId="356A599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AB235" w14:textId="6498526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35A0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23A1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AE244"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0E37F9E8"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94F33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81/F</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2D73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E4/E4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137F943E" w14:textId="3A11AA2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color w:val="000000"/>
                <w:sz w:val="18"/>
                <w:szCs w:val="18"/>
              </w:rPr>
              <w:t>4</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59C0FD05" w14:textId="59A514A3"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69A0B" w14:textId="3B196EE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05BA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Moderate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916B1"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87C6A" w14:textId="07F3CC6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b/>
                <w:color w:val="000000"/>
                <w:sz w:val="18"/>
                <w:szCs w:val="18"/>
              </w:rPr>
              <w:t>Temporarily suspended,</w:t>
            </w:r>
            <w:r w:rsidRPr="00DD0594">
              <w:rPr>
                <w:rFonts w:ascii="Arial" w:eastAsia="Helvetica" w:hAnsi="Arial" w:cs="Arial"/>
                <w:color w:val="000000"/>
                <w:sz w:val="18"/>
                <w:szCs w:val="18"/>
              </w:rPr>
              <w:t xml:space="preserve"> but subsequently resumed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7C4B689B" w14:textId="4BFBB6AB"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9A894" w14:textId="44DA0DAC"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6</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506D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42E1C"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10</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9D75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13AE8D81" w14:textId="77777777" w:rsidTr="00656C2E">
        <w:tc>
          <w:tcPr>
            <w:tcW w:w="8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EA772"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70/M</w:t>
            </w:r>
          </w:p>
        </w:tc>
        <w:tc>
          <w:tcPr>
            <w:tcW w:w="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AAC4F"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E3/E4</w:t>
            </w:r>
          </w:p>
        </w:tc>
        <w:tc>
          <w:tcPr>
            <w:tcW w:w="827" w:type="dxa"/>
            <w:tcBorders>
              <w:top w:val="none" w:sz="0" w:space="0" w:color="000000"/>
              <w:left w:val="none" w:sz="0" w:space="0" w:color="000000"/>
              <w:bottom w:val="none" w:sz="0" w:space="0" w:color="000000"/>
              <w:right w:val="none" w:sz="0" w:space="0" w:color="000000"/>
            </w:tcBorders>
            <w:shd w:val="clear" w:color="auto" w:fill="FFFFFF"/>
            <w:vAlign w:val="center"/>
          </w:tcPr>
          <w:p w14:paraId="249A043B" w14:textId="2539BF15"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2</w:t>
            </w:r>
          </w:p>
        </w:tc>
        <w:tc>
          <w:tcPr>
            <w:tcW w:w="1418" w:type="dxa"/>
            <w:tcBorders>
              <w:top w:val="none" w:sz="0" w:space="0" w:color="000000"/>
              <w:left w:val="none" w:sz="0" w:space="0" w:color="000000"/>
              <w:bottom w:val="none" w:sz="0" w:space="0" w:color="000000"/>
              <w:right w:val="none" w:sz="0" w:space="0" w:color="000000"/>
            </w:tcBorders>
            <w:shd w:val="clear" w:color="auto" w:fill="FFFFFF"/>
            <w:vAlign w:val="center"/>
          </w:tcPr>
          <w:p w14:paraId="2A97D325" w14:textId="7C0E70CA"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0.</w:t>
            </w:r>
            <w:r w:rsidRPr="00DD0594">
              <w:rPr>
                <w:rFonts w:ascii="Arial" w:hAnsi="Arial" w:cs="Arial"/>
                <w:color w:val="000000"/>
                <w:sz w:val="18"/>
                <w:szCs w:val="18"/>
              </w:rPr>
              <w:t>5/1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1421D" w14:textId="5BB785E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2568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F87E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CE46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none" w:sz="0" w:space="0" w:color="000000"/>
              <w:right w:val="none" w:sz="0" w:space="0" w:color="000000"/>
            </w:tcBorders>
            <w:shd w:val="clear" w:color="auto" w:fill="FFFFFF"/>
            <w:vAlign w:val="center"/>
          </w:tcPr>
          <w:p w14:paraId="31F957E3" w14:textId="129B9C89"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44F6A" w14:textId="73F8FC70"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76E4D"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F3CD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2</w:t>
            </w:r>
          </w:p>
        </w:tc>
        <w:tc>
          <w:tcPr>
            <w:tcW w:w="8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CE448"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r w:rsidR="004C0F0C" w:rsidRPr="00DD0594" w14:paraId="286DE4E7" w14:textId="77777777" w:rsidTr="00656C2E">
        <w:tc>
          <w:tcPr>
            <w:tcW w:w="88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9F7D73"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78/F</w:t>
            </w:r>
          </w:p>
        </w:tc>
        <w:tc>
          <w:tcPr>
            <w:tcW w:w="7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9C898E"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E3/E3</w:t>
            </w:r>
          </w:p>
        </w:tc>
        <w:tc>
          <w:tcPr>
            <w:tcW w:w="827" w:type="dxa"/>
            <w:tcBorders>
              <w:top w:val="none" w:sz="0" w:space="0" w:color="000000"/>
              <w:left w:val="none" w:sz="0" w:space="0" w:color="000000"/>
              <w:bottom w:val="single" w:sz="12" w:space="0" w:color="666666"/>
              <w:right w:val="none" w:sz="0" w:space="0" w:color="000000"/>
            </w:tcBorders>
            <w:shd w:val="clear" w:color="auto" w:fill="FFFFFF"/>
            <w:vAlign w:val="center"/>
          </w:tcPr>
          <w:p w14:paraId="13AA9372" w14:textId="60C1B4CD"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hint="eastAsia"/>
                <w:color w:val="000000"/>
                <w:sz w:val="18"/>
                <w:szCs w:val="18"/>
              </w:rPr>
              <w:t>3</w:t>
            </w:r>
          </w:p>
        </w:tc>
        <w:tc>
          <w:tcPr>
            <w:tcW w:w="1418" w:type="dxa"/>
            <w:tcBorders>
              <w:top w:val="none" w:sz="0" w:space="0" w:color="000000"/>
              <w:left w:val="none" w:sz="0" w:space="0" w:color="000000"/>
              <w:bottom w:val="single" w:sz="12" w:space="0" w:color="666666"/>
              <w:right w:val="none" w:sz="0" w:space="0" w:color="000000"/>
            </w:tcBorders>
            <w:shd w:val="clear" w:color="auto" w:fill="FFFFFF"/>
            <w:vAlign w:val="center"/>
          </w:tcPr>
          <w:p w14:paraId="1D1F819A" w14:textId="3E5392C1"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hAnsi="Arial" w:cs="Arial"/>
                <w:color w:val="000000"/>
                <w:sz w:val="18"/>
                <w:szCs w:val="18"/>
              </w:rPr>
            </w:pPr>
            <w:r w:rsidRPr="00DD0594">
              <w:rPr>
                <w:rFonts w:ascii="Arial" w:hAnsi="Arial" w:cs="Arial"/>
                <w:color w:val="000000"/>
                <w:sz w:val="18"/>
                <w:szCs w:val="18"/>
              </w:rPr>
              <w:t>0.5/4</w:t>
            </w:r>
          </w:p>
        </w:tc>
        <w:tc>
          <w:tcPr>
            <w:tcW w:w="99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55F230" w14:textId="1D8BF415"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ARIA-H</w:t>
            </w:r>
          </w:p>
        </w:tc>
        <w:tc>
          <w:tcPr>
            <w:tcW w:w="99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3900F7"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Mild</w:t>
            </w:r>
          </w:p>
        </w:tc>
        <w:tc>
          <w:tcPr>
            <w:tcW w:w="99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E6E24A"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255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841390"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rPr>
                <w:rFonts w:ascii="Arial" w:eastAsia="Helvetica" w:hAnsi="Arial" w:cs="Arial"/>
                <w:color w:val="000000"/>
                <w:sz w:val="18"/>
                <w:szCs w:val="18"/>
              </w:rPr>
            </w:pPr>
            <w:r w:rsidRPr="00DD0594">
              <w:rPr>
                <w:rFonts w:ascii="Arial" w:eastAsia="Helvetica" w:hAnsi="Arial" w:cs="Arial"/>
                <w:color w:val="000000"/>
                <w:sz w:val="18"/>
                <w:szCs w:val="18"/>
              </w:rPr>
              <w:t>Continued</w:t>
            </w:r>
          </w:p>
        </w:tc>
        <w:tc>
          <w:tcPr>
            <w:tcW w:w="1453" w:type="dxa"/>
            <w:tcBorders>
              <w:top w:val="none" w:sz="0" w:space="0" w:color="000000"/>
              <w:left w:val="none" w:sz="0" w:space="0" w:color="000000"/>
              <w:bottom w:val="single" w:sz="12" w:space="0" w:color="666666"/>
              <w:right w:val="none" w:sz="0" w:space="0" w:color="000000"/>
            </w:tcBorders>
            <w:shd w:val="clear" w:color="auto" w:fill="FFFFFF"/>
            <w:vAlign w:val="center"/>
          </w:tcPr>
          <w:p w14:paraId="2B63F363" w14:textId="76D0E226"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5th</w:t>
            </w:r>
          </w:p>
        </w:tc>
        <w:tc>
          <w:tcPr>
            <w:tcW w:w="61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EF5DB3" w14:textId="45AD7B6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EA3C1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c>
          <w:tcPr>
            <w:tcW w:w="61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05B09"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1</w:t>
            </w:r>
          </w:p>
        </w:tc>
        <w:tc>
          <w:tcPr>
            <w:tcW w:w="83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812B7B" w14:textId="77777777" w:rsidR="00E942DF" w:rsidRPr="00DD0594" w:rsidRDefault="00E942DF" w:rsidP="009B6441">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ascii="Arial" w:eastAsia="Helvetica" w:hAnsi="Arial" w:cs="Arial"/>
                <w:color w:val="000000"/>
                <w:sz w:val="18"/>
                <w:szCs w:val="18"/>
              </w:rPr>
            </w:pPr>
            <w:r w:rsidRPr="00DD0594">
              <w:rPr>
                <w:rFonts w:ascii="Arial" w:eastAsia="Helvetica" w:hAnsi="Arial" w:cs="Arial"/>
                <w:color w:val="000000"/>
                <w:sz w:val="18"/>
                <w:szCs w:val="18"/>
              </w:rPr>
              <w:t>–</w:t>
            </w:r>
          </w:p>
        </w:tc>
      </w:tr>
    </w:tbl>
    <w:p w14:paraId="22E77490" w14:textId="77777777" w:rsidR="00CC1727" w:rsidRPr="00DD0594" w:rsidRDefault="00CC1727" w:rsidP="00BE3CEF">
      <w:pPr>
        <w:widowControl/>
        <w:wordWrap/>
        <w:autoSpaceDE/>
        <w:autoSpaceDN/>
        <w:spacing w:line="360" w:lineRule="auto"/>
        <w:rPr>
          <w:rFonts w:ascii="Arial" w:hAnsi="Arial" w:cs="Arial"/>
          <w:i/>
          <w:iCs/>
        </w:rPr>
      </w:pPr>
    </w:p>
    <w:p w14:paraId="6C963FE2" w14:textId="43335242" w:rsidR="004C0F0C" w:rsidRPr="00DD0594" w:rsidRDefault="004C0F0C" w:rsidP="00BE3CEF">
      <w:pPr>
        <w:widowControl/>
        <w:wordWrap/>
        <w:autoSpaceDE/>
        <w:autoSpaceDN/>
        <w:spacing w:line="360" w:lineRule="auto"/>
        <w:rPr>
          <w:rFonts w:ascii="Arial" w:hAnsi="Arial" w:cs="Arial"/>
          <w:iCs/>
        </w:rPr>
      </w:pPr>
      <w:r w:rsidRPr="00DD0594">
        <w:rPr>
          <w:rFonts w:ascii="Arial" w:hAnsi="Arial" w:cs="Arial"/>
          <w:iCs/>
        </w:rPr>
        <w:t xml:space="preserve">ARIA-H severity was graded according to the criteria proposed by Sperling et al.: mild (&lt;5 new incident </w:t>
      </w:r>
      <w:proofErr w:type="spellStart"/>
      <w:r w:rsidRPr="00DD0594">
        <w:rPr>
          <w:rFonts w:ascii="Arial" w:hAnsi="Arial" w:cs="Arial"/>
          <w:iCs/>
        </w:rPr>
        <w:t>microhemorrhages</w:t>
      </w:r>
      <w:proofErr w:type="spellEnd"/>
      <w:r w:rsidRPr="00DD0594">
        <w:rPr>
          <w:rFonts w:ascii="Arial" w:hAnsi="Arial" w:cs="Arial"/>
          <w:iCs/>
        </w:rPr>
        <w:t xml:space="preserve">, ≤2 areas of superficial </w:t>
      </w:r>
      <w:proofErr w:type="spellStart"/>
      <w:r w:rsidRPr="00DD0594">
        <w:rPr>
          <w:rFonts w:ascii="Arial" w:hAnsi="Arial" w:cs="Arial"/>
          <w:iCs/>
        </w:rPr>
        <w:t>siderosis</w:t>
      </w:r>
      <w:proofErr w:type="spellEnd"/>
      <w:r w:rsidRPr="00DD0594">
        <w:rPr>
          <w:rFonts w:ascii="Arial" w:hAnsi="Arial" w:cs="Arial"/>
          <w:iCs/>
        </w:rPr>
        <w:t xml:space="preserve">), moderate (5–9 new incident </w:t>
      </w:r>
      <w:proofErr w:type="spellStart"/>
      <w:r w:rsidRPr="00DD0594">
        <w:rPr>
          <w:rFonts w:ascii="Arial" w:hAnsi="Arial" w:cs="Arial"/>
          <w:iCs/>
        </w:rPr>
        <w:t>microhemorrhages</w:t>
      </w:r>
      <w:proofErr w:type="spellEnd"/>
      <w:r w:rsidRPr="00DD0594">
        <w:rPr>
          <w:rFonts w:ascii="Arial" w:hAnsi="Arial" w:cs="Arial"/>
          <w:iCs/>
        </w:rPr>
        <w:t xml:space="preserve">, &gt;2 areas of superficial </w:t>
      </w:r>
      <w:proofErr w:type="spellStart"/>
      <w:r w:rsidRPr="00DD0594">
        <w:rPr>
          <w:rFonts w:ascii="Arial" w:hAnsi="Arial" w:cs="Arial"/>
          <w:iCs/>
        </w:rPr>
        <w:t>siderosis</w:t>
      </w:r>
      <w:proofErr w:type="spellEnd"/>
      <w:r w:rsidRPr="00DD0594">
        <w:rPr>
          <w:rFonts w:ascii="Arial" w:hAnsi="Arial" w:cs="Arial"/>
          <w:iCs/>
        </w:rPr>
        <w:t xml:space="preserve">), and severe (≥10 new incident </w:t>
      </w:r>
      <w:proofErr w:type="spellStart"/>
      <w:r w:rsidRPr="00DD0594">
        <w:rPr>
          <w:rFonts w:ascii="Arial" w:hAnsi="Arial" w:cs="Arial"/>
          <w:iCs/>
        </w:rPr>
        <w:t>microhemorrhages</w:t>
      </w:r>
      <w:proofErr w:type="spellEnd"/>
      <w:r w:rsidRPr="00DD0594">
        <w:rPr>
          <w:rFonts w:ascii="Arial" w:hAnsi="Arial" w:cs="Arial"/>
          <w:iCs/>
        </w:rPr>
        <w:t xml:space="preserve"> or symptomatic ARIA-H). CMB and </w:t>
      </w:r>
      <w:proofErr w:type="spellStart"/>
      <w:r w:rsidRPr="00DD0594">
        <w:rPr>
          <w:rFonts w:ascii="Arial" w:hAnsi="Arial" w:cs="Arial"/>
          <w:iCs/>
        </w:rPr>
        <w:t>cSS</w:t>
      </w:r>
      <w:proofErr w:type="spellEnd"/>
      <w:r w:rsidRPr="00DD0594">
        <w:rPr>
          <w:rFonts w:ascii="Arial" w:hAnsi="Arial" w:cs="Arial"/>
          <w:iCs/>
        </w:rPr>
        <w:t xml:space="preserve"> counts represent new incident lesions detected at the time of ARIA-H identification</w:t>
      </w:r>
    </w:p>
    <w:p w14:paraId="20E69F72" w14:textId="30D8BE57" w:rsidR="009B6441" w:rsidRPr="00DD0594" w:rsidRDefault="007B203D" w:rsidP="00BE3CEF">
      <w:pPr>
        <w:widowControl/>
        <w:wordWrap/>
        <w:autoSpaceDE/>
        <w:autoSpaceDN/>
        <w:spacing w:line="360" w:lineRule="auto"/>
        <w:rPr>
          <w:rFonts w:ascii="Arial" w:hAnsi="Arial" w:cs="Arial"/>
          <w:iCs/>
        </w:rPr>
      </w:pPr>
      <w:r w:rsidRPr="00DD0594">
        <w:rPr>
          <w:rFonts w:ascii="Arial" w:hAnsi="Arial" w:cs="Arial"/>
        </w:rPr>
        <w:lastRenderedPageBreak/>
        <w:t xml:space="preserve">Abbreviations: </w:t>
      </w:r>
      <w:r w:rsidRPr="00DD0594">
        <w:rPr>
          <w:rFonts w:ascii="Arial" w:hAnsi="Arial" w:cs="Arial"/>
          <w:iCs/>
        </w:rPr>
        <w:t xml:space="preserve">ARIA, </w:t>
      </w:r>
      <w:r w:rsidR="004C0F0C" w:rsidRPr="00DD0594">
        <w:rPr>
          <w:rFonts w:ascii="Arial" w:hAnsi="Arial" w:cs="Arial"/>
          <w:iCs/>
        </w:rPr>
        <w:t>amyloid-relate</w:t>
      </w:r>
      <w:r w:rsidRPr="00DD0594">
        <w:rPr>
          <w:rFonts w:ascii="Arial" w:hAnsi="Arial" w:cs="Arial"/>
          <w:iCs/>
        </w:rPr>
        <w:t xml:space="preserve">d imaging abnormalities; ARIA-E, </w:t>
      </w:r>
      <w:r w:rsidR="004C0F0C" w:rsidRPr="00DD0594">
        <w:rPr>
          <w:rFonts w:ascii="Arial" w:hAnsi="Arial" w:cs="Arial"/>
          <w:iCs/>
        </w:rPr>
        <w:t>AR</w:t>
      </w:r>
      <w:r w:rsidRPr="00DD0594">
        <w:rPr>
          <w:rFonts w:ascii="Arial" w:hAnsi="Arial" w:cs="Arial"/>
          <w:iCs/>
        </w:rPr>
        <w:t>IA with edema/effusion; ARIA-H,</w:t>
      </w:r>
      <w:r w:rsidR="004C0F0C" w:rsidRPr="00DD0594">
        <w:rPr>
          <w:rFonts w:ascii="Arial" w:hAnsi="Arial" w:cs="Arial"/>
          <w:iCs/>
        </w:rPr>
        <w:t xml:space="preserve"> ARIA with hemosiderin deposition (</w:t>
      </w:r>
      <w:proofErr w:type="spellStart"/>
      <w:r w:rsidR="004C0F0C" w:rsidRPr="00DD0594">
        <w:rPr>
          <w:rFonts w:ascii="Arial" w:hAnsi="Arial" w:cs="Arial"/>
          <w:iCs/>
        </w:rPr>
        <w:t>microhemorrhage</w:t>
      </w:r>
      <w:proofErr w:type="spellEnd"/>
      <w:r w:rsidR="004C0F0C" w:rsidRPr="00DD0594">
        <w:rPr>
          <w:rFonts w:ascii="Arial" w:hAnsi="Arial" w:cs="Arial"/>
          <w:iCs/>
        </w:rPr>
        <w:t xml:space="preserve"> and</w:t>
      </w:r>
      <w:r w:rsidRPr="00DD0594">
        <w:rPr>
          <w:rFonts w:ascii="Arial" w:hAnsi="Arial" w:cs="Arial"/>
          <w:iCs/>
        </w:rPr>
        <w:t xml:space="preserve">/or superficial </w:t>
      </w:r>
      <w:proofErr w:type="spellStart"/>
      <w:r w:rsidRPr="00DD0594">
        <w:rPr>
          <w:rFonts w:ascii="Arial" w:hAnsi="Arial" w:cs="Arial"/>
          <w:iCs/>
        </w:rPr>
        <w:t>siderosis</w:t>
      </w:r>
      <w:proofErr w:type="spellEnd"/>
      <w:r w:rsidRPr="00DD0594">
        <w:rPr>
          <w:rFonts w:ascii="Arial" w:hAnsi="Arial" w:cs="Arial"/>
          <w:iCs/>
        </w:rPr>
        <w:t>); CMB,</w:t>
      </w:r>
      <w:r w:rsidR="004C0F0C" w:rsidRPr="00DD0594">
        <w:rPr>
          <w:rFonts w:ascii="Arial" w:hAnsi="Arial" w:cs="Arial"/>
          <w:iCs/>
        </w:rPr>
        <w:t xml:space="preserve"> cerebral </w:t>
      </w:r>
      <w:proofErr w:type="spellStart"/>
      <w:r w:rsidR="004C0F0C" w:rsidRPr="00DD0594">
        <w:rPr>
          <w:rFonts w:ascii="Arial" w:hAnsi="Arial" w:cs="Arial"/>
          <w:iCs/>
        </w:rPr>
        <w:t>microbleed</w:t>
      </w:r>
      <w:proofErr w:type="spellEnd"/>
      <w:r w:rsidR="004C0F0C" w:rsidRPr="00DD0594">
        <w:rPr>
          <w:rFonts w:ascii="Arial" w:hAnsi="Arial" w:cs="Arial"/>
          <w:iCs/>
        </w:rPr>
        <w:t xml:space="preserve">; </w:t>
      </w:r>
      <w:proofErr w:type="spellStart"/>
      <w:r w:rsidR="004C0F0C" w:rsidRPr="00DD0594">
        <w:rPr>
          <w:rFonts w:ascii="Arial" w:hAnsi="Arial" w:cs="Arial"/>
          <w:iCs/>
        </w:rPr>
        <w:t>cSS</w:t>
      </w:r>
      <w:proofErr w:type="spellEnd"/>
      <w:r w:rsidRPr="00DD0594">
        <w:rPr>
          <w:rFonts w:ascii="Arial" w:hAnsi="Arial" w:cs="Arial"/>
          <w:iCs/>
        </w:rPr>
        <w:t xml:space="preserve">, </w:t>
      </w:r>
      <w:r w:rsidR="004C0F0C" w:rsidRPr="00DD0594">
        <w:rPr>
          <w:rFonts w:ascii="Arial" w:hAnsi="Arial" w:cs="Arial"/>
          <w:iCs/>
        </w:rPr>
        <w:t>cort</w:t>
      </w:r>
      <w:r w:rsidRPr="00DD0594">
        <w:rPr>
          <w:rFonts w:ascii="Arial" w:hAnsi="Arial" w:cs="Arial"/>
          <w:iCs/>
        </w:rPr>
        <w:t xml:space="preserve">ical superficial </w:t>
      </w:r>
      <w:proofErr w:type="spellStart"/>
      <w:r w:rsidRPr="00DD0594">
        <w:rPr>
          <w:rFonts w:ascii="Arial" w:hAnsi="Arial" w:cs="Arial"/>
          <w:iCs/>
        </w:rPr>
        <w:t>siderosis</w:t>
      </w:r>
      <w:proofErr w:type="spellEnd"/>
      <w:r w:rsidRPr="00DD0594">
        <w:rPr>
          <w:rFonts w:ascii="Arial" w:hAnsi="Arial" w:cs="Arial"/>
          <w:iCs/>
        </w:rPr>
        <w:t>; GRE,</w:t>
      </w:r>
      <w:r w:rsidR="004C0F0C" w:rsidRPr="00DD0594">
        <w:rPr>
          <w:rFonts w:ascii="Arial" w:hAnsi="Arial" w:cs="Arial"/>
          <w:iCs/>
        </w:rPr>
        <w:t xml:space="preserve"> gradient-recalled echo; SWI</w:t>
      </w:r>
      <w:r w:rsidRPr="00DD0594">
        <w:rPr>
          <w:rFonts w:ascii="Arial" w:hAnsi="Arial" w:cs="Arial"/>
          <w:iCs/>
        </w:rPr>
        <w:t xml:space="preserve">, </w:t>
      </w:r>
      <w:r w:rsidR="004C0F0C" w:rsidRPr="00DD0594">
        <w:rPr>
          <w:rFonts w:ascii="Arial" w:hAnsi="Arial" w:cs="Arial"/>
          <w:iCs/>
        </w:rPr>
        <w:t xml:space="preserve"> susceptibility-weighted imaging; APO</w:t>
      </w:r>
      <w:r w:rsidRPr="00DD0594">
        <w:rPr>
          <w:rFonts w:ascii="Arial" w:hAnsi="Arial" w:cs="Arial"/>
          <w:iCs/>
        </w:rPr>
        <w:t>E,</w:t>
      </w:r>
      <w:r w:rsidR="004C0F0C" w:rsidRPr="00DD0594">
        <w:rPr>
          <w:rFonts w:ascii="Arial" w:hAnsi="Arial" w:cs="Arial"/>
          <w:iCs/>
        </w:rPr>
        <w:t xml:space="preserve"> apolipoprotein E genotype; – = absent</w:t>
      </w:r>
    </w:p>
    <w:p w14:paraId="10ABC728" w14:textId="67FE3BC7" w:rsidR="009B6441" w:rsidRPr="00DD0594" w:rsidRDefault="009B6441" w:rsidP="00BE3CEF">
      <w:pPr>
        <w:widowControl/>
        <w:wordWrap/>
        <w:autoSpaceDE/>
        <w:autoSpaceDN/>
        <w:spacing w:line="360" w:lineRule="auto"/>
        <w:rPr>
          <w:rFonts w:ascii="Arial" w:hAnsi="Arial" w:cs="Arial"/>
          <w:color w:val="000000"/>
          <w:sz w:val="18"/>
          <w:szCs w:val="18"/>
          <w:vertAlign w:val="superscript"/>
        </w:rPr>
      </w:pPr>
      <w:proofErr w:type="spellStart"/>
      <w:proofErr w:type="gramStart"/>
      <w:r w:rsidRPr="00DD0594">
        <w:rPr>
          <w:rFonts w:ascii="Arial" w:hAnsi="Arial" w:cs="Arial"/>
          <w:color w:val="000000"/>
          <w:sz w:val="18"/>
          <w:szCs w:val="18"/>
          <w:vertAlign w:val="superscript"/>
        </w:rPr>
        <w:t>a</w:t>
      </w:r>
      <w:r w:rsidRPr="00DD0594">
        <w:rPr>
          <w:rFonts w:ascii="Arial" w:hAnsi="Arial" w:cs="Arial"/>
          <w:iCs/>
        </w:rPr>
        <w:t>The</w:t>
      </w:r>
      <w:proofErr w:type="spellEnd"/>
      <w:proofErr w:type="gramEnd"/>
      <w:r w:rsidRPr="00DD0594">
        <w:rPr>
          <w:rFonts w:ascii="Arial" w:hAnsi="Arial" w:cs="Arial"/>
          <w:iCs/>
        </w:rPr>
        <w:t xml:space="preserve"> infusion number at which ARIA was first detected.</w:t>
      </w:r>
    </w:p>
    <w:p w14:paraId="4F9C5940" w14:textId="3B23753C" w:rsidR="009B6441" w:rsidRPr="00DD0594" w:rsidRDefault="009B6441" w:rsidP="00BE3CEF">
      <w:pPr>
        <w:widowControl/>
        <w:wordWrap/>
        <w:autoSpaceDE/>
        <w:autoSpaceDN/>
        <w:spacing w:line="360" w:lineRule="auto"/>
        <w:rPr>
          <w:rFonts w:ascii="Arial" w:hAnsi="Arial" w:cs="Arial"/>
          <w:color w:val="000000"/>
          <w:sz w:val="18"/>
          <w:szCs w:val="18"/>
          <w:vertAlign w:val="superscript"/>
        </w:rPr>
      </w:pPr>
      <w:proofErr w:type="spellStart"/>
      <w:proofErr w:type="gramStart"/>
      <w:r w:rsidRPr="00DD0594">
        <w:rPr>
          <w:rFonts w:ascii="Arial" w:hAnsi="Arial" w:cs="Arial"/>
          <w:color w:val="000000"/>
          <w:sz w:val="18"/>
          <w:szCs w:val="18"/>
          <w:vertAlign w:val="superscript"/>
        </w:rPr>
        <w:t>b</w:t>
      </w:r>
      <w:r w:rsidRPr="00DD0594">
        <w:rPr>
          <w:rFonts w:ascii="Arial" w:hAnsi="Arial" w:cs="Arial"/>
          <w:iCs/>
        </w:rPr>
        <w:t>The</w:t>
      </w:r>
      <w:proofErr w:type="spellEnd"/>
      <w:proofErr w:type="gramEnd"/>
      <w:r w:rsidRPr="00DD0594">
        <w:rPr>
          <w:rFonts w:ascii="Arial" w:hAnsi="Arial" w:cs="Arial"/>
          <w:iCs/>
        </w:rPr>
        <w:t xml:space="preserve"> infusion number at which </w:t>
      </w:r>
      <w:r w:rsidR="00656C2E" w:rsidRPr="00DD0594">
        <w:rPr>
          <w:rFonts w:ascii="Arial" w:hAnsi="Arial" w:cs="Arial"/>
          <w:iCs/>
        </w:rPr>
        <w:t xml:space="preserve">the </w:t>
      </w:r>
      <w:r w:rsidRPr="00DD0594">
        <w:rPr>
          <w:rFonts w:ascii="Arial" w:hAnsi="Arial" w:cs="Arial"/>
          <w:iCs/>
        </w:rPr>
        <w:t xml:space="preserve">MRI </w:t>
      </w:r>
      <w:r w:rsidR="00656C2E" w:rsidRPr="00DD0594">
        <w:rPr>
          <w:rFonts w:ascii="Arial" w:hAnsi="Arial" w:cs="Arial"/>
          <w:iCs/>
        </w:rPr>
        <w:t xml:space="preserve">for the GRE and SWI comparison was performed </w:t>
      </w:r>
    </w:p>
    <w:p w14:paraId="21584CD4" w14:textId="77777777" w:rsidR="00DF38DB" w:rsidRPr="00DD0594" w:rsidRDefault="00DF38DB">
      <w:pPr>
        <w:widowControl/>
        <w:wordWrap/>
        <w:autoSpaceDE/>
        <w:autoSpaceDN/>
        <w:rPr>
          <w:rFonts w:ascii="Arial" w:hAnsi="Arial" w:cs="Arial"/>
          <w:b/>
          <w:kern w:val="0"/>
          <w:szCs w:val="20"/>
          <w:lang w:eastAsia="en-US"/>
        </w:rPr>
      </w:pPr>
      <w:bookmarkStart w:id="11" w:name="_Toc225708748"/>
      <w:r w:rsidRPr="00DD0594">
        <w:rPr>
          <w:rFonts w:ascii="Arial" w:hAnsi="Arial" w:cs="Arial"/>
        </w:rPr>
        <w:br w:type="page"/>
      </w:r>
    </w:p>
    <w:p w14:paraId="1636082D" w14:textId="186CCF45" w:rsidR="001B4F8A" w:rsidRPr="00DD0594" w:rsidRDefault="002E79E2" w:rsidP="00BE3CEF">
      <w:pPr>
        <w:pStyle w:val="1"/>
        <w:spacing w:line="360" w:lineRule="auto"/>
        <w:rPr>
          <w:rFonts w:ascii="Arial" w:hAnsi="Arial" w:cs="Arial"/>
        </w:rPr>
      </w:pPr>
      <w:proofErr w:type="gramStart"/>
      <w:r w:rsidRPr="00DD0594">
        <w:rPr>
          <w:rFonts w:ascii="Arial" w:hAnsi="Arial" w:cs="Arial"/>
        </w:rPr>
        <w:lastRenderedPageBreak/>
        <w:t xml:space="preserve">Supplementary Table </w:t>
      </w:r>
      <w:r w:rsidR="002945D6" w:rsidRPr="00DD0594">
        <w:rPr>
          <w:rFonts w:ascii="Arial" w:hAnsi="Arial" w:cs="Arial"/>
        </w:rPr>
        <w:t>3</w:t>
      </w:r>
      <w:r w:rsidRPr="00DD0594">
        <w:rPr>
          <w:rFonts w:ascii="Arial" w:hAnsi="Arial" w:cs="Arial"/>
        </w:rPr>
        <w:t>.</w:t>
      </w:r>
      <w:proofErr w:type="gramEnd"/>
      <w:r w:rsidRPr="00DD0594">
        <w:rPr>
          <w:rFonts w:ascii="Arial" w:hAnsi="Arial" w:cs="Arial"/>
        </w:rPr>
        <w:t xml:space="preserve"> Dementia Prevalence Status in 2024 (Unit: persons, %)</w:t>
      </w:r>
      <w:bookmarkEnd w:id="11"/>
      <w:r w:rsidR="00225410" w:rsidRPr="00DD0594">
        <w:rPr>
          <w:rFonts w:ascii="Arial" w:hAnsi="Arial" w:cs="Arial"/>
        </w:rPr>
        <w:t xml:space="preserve"> </w:t>
      </w:r>
    </w:p>
    <w:tbl>
      <w:tblPr>
        <w:tblStyle w:val="ae"/>
        <w:tblW w:w="0" w:type="auto"/>
        <w:tblInd w:w="-5"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3"/>
        <w:gridCol w:w="1309"/>
        <w:gridCol w:w="1310"/>
        <w:gridCol w:w="1310"/>
        <w:gridCol w:w="1310"/>
        <w:gridCol w:w="1310"/>
        <w:gridCol w:w="1310"/>
        <w:gridCol w:w="1310"/>
        <w:gridCol w:w="1310"/>
        <w:gridCol w:w="1310"/>
      </w:tblGrid>
      <w:tr w:rsidR="00AF4B2A" w:rsidRPr="00DD0594" w14:paraId="11658DF2" w14:textId="77777777" w:rsidTr="00AF4B2A">
        <w:trPr>
          <w:trHeight w:val="1575"/>
        </w:trPr>
        <w:tc>
          <w:tcPr>
            <w:tcW w:w="1913" w:type="dxa"/>
            <w:tcBorders>
              <w:top w:val="single" w:sz="4" w:space="0" w:color="auto"/>
              <w:left w:val="nil"/>
              <w:bottom w:val="single" w:sz="4" w:space="0" w:color="auto"/>
              <w:right w:val="single" w:sz="4" w:space="0" w:color="auto"/>
            </w:tcBorders>
            <w:noWrap/>
            <w:hideMark/>
          </w:tcPr>
          <w:p w14:paraId="1FA94CD8"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City/Province</w:t>
            </w:r>
          </w:p>
        </w:tc>
        <w:tc>
          <w:tcPr>
            <w:tcW w:w="1309" w:type="dxa"/>
            <w:tcBorders>
              <w:top w:val="single" w:sz="4" w:space="0" w:color="auto"/>
              <w:left w:val="single" w:sz="4" w:space="0" w:color="auto"/>
              <w:bottom w:val="single" w:sz="4" w:space="0" w:color="auto"/>
              <w:right w:val="single" w:sz="4" w:space="0" w:color="auto"/>
            </w:tcBorders>
            <w:hideMark/>
          </w:tcPr>
          <w:p w14:paraId="3CF5C985"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Population aged 60 years and older</w:t>
            </w:r>
          </w:p>
        </w:tc>
        <w:tc>
          <w:tcPr>
            <w:tcW w:w="1310" w:type="dxa"/>
            <w:tcBorders>
              <w:top w:val="single" w:sz="4" w:space="0" w:color="auto"/>
              <w:left w:val="single" w:sz="4" w:space="0" w:color="auto"/>
              <w:bottom w:val="single" w:sz="4" w:space="0" w:color="auto"/>
              <w:right w:val="single" w:sz="4" w:space="0" w:color="auto"/>
            </w:tcBorders>
            <w:noWrap/>
            <w:hideMark/>
          </w:tcPr>
          <w:p w14:paraId="3C40BEFF"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number of people with dementia</w:t>
            </w:r>
          </w:p>
        </w:tc>
        <w:tc>
          <w:tcPr>
            <w:tcW w:w="1310" w:type="dxa"/>
            <w:tcBorders>
              <w:top w:val="single" w:sz="4" w:space="0" w:color="auto"/>
              <w:left w:val="single" w:sz="4" w:space="0" w:color="auto"/>
              <w:bottom w:val="single" w:sz="4" w:space="0" w:color="auto"/>
              <w:right w:val="single" w:sz="4" w:space="0" w:color="auto"/>
            </w:tcBorders>
            <w:noWrap/>
            <w:hideMark/>
          </w:tcPr>
          <w:p w14:paraId="1AEC01A6" w14:textId="65A896EB"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dementia prevalence (%)</w:t>
            </w:r>
          </w:p>
        </w:tc>
        <w:tc>
          <w:tcPr>
            <w:tcW w:w="1310" w:type="dxa"/>
            <w:tcBorders>
              <w:top w:val="single" w:sz="4" w:space="0" w:color="auto"/>
              <w:left w:val="single" w:sz="4" w:space="0" w:color="auto"/>
              <w:bottom w:val="single" w:sz="4" w:space="0" w:color="auto"/>
              <w:right w:val="single" w:sz="4" w:space="0" w:color="auto"/>
            </w:tcBorders>
            <w:noWrap/>
            <w:hideMark/>
          </w:tcPr>
          <w:p w14:paraId="6B07FBF1"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number of mild dementia cases</w:t>
            </w:r>
          </w:p>
        </w:tc>
        <w:tc>
          <w:tcPr>
            <w:tcW w:w="1310" w:type="dxa"/>
            <w:tcBorders>
              <w:top w:val="single" w:sz="4" w:space="0" w:color="auto"/>
              <w:left w:val="single" w:sz="4" w:space="0" w:color="auto"/>
              <w:bottom w:val="single" w:sz="4" w:space="0" w:color="auto"/>
              <w:right w:val="single" w:sz="4" w:space="0" w:color="auto"/>
            </w:tcBorders>
            <w:noWrap/>
            <w:hideMark/>
          </w:tcPr>
          <w:p w14:paraId="2C59470F"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number of moderate dementia cases</w:t>
            </w:r>
          </w:p>
        </w:tc>
        <w:tc>
          <w:tcPr>
            <w:tcW w:w="1310" w:type="dxa"/>
            <w:tcBorders>
              <w:top w:val="single" w:sz="4" w:space="0" w:color="auto"/>
              <w:left w:val="single" w:sz="4" w:space="0" w:color="auto"/>
              <w:bottom w:val="single" w:sz="4" w:space="0" w:color="auto"/>
              <w:right w:val="single" w:sz="4" w:space="0" w:color="auto"/>
            </w:tcBorders>
            <w:noWrap/>
            <w:hideMark/>
          </w:tcPr>
          <w:p w14:paraId="7807E3B0" w14:textId="77777777"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number of severe dementia cases</w:t>
            </w:r>
          </w:p>
        </w:tc>
        <w:tc>
          <w:tcPr>
            <w:tcW w:w="1310" w:type="dxa"/>
            <w:tcBorders>
              <w:top w:val="single" w:sz="4" w:space="0" w:color="auto"/>
              <w:left w:val="single" w:sz="4" w:space="0" w:color="auto"/>
              <w:bottom w:val="single" w:sz="4" w:space="0" w:color="auto"/>
              <w:right w:val="single" w:sz="4" w:space="0" w:color="auto"/>
            </w:tcBorders>
            <w:noWrap/>
            <w:hideMark/>
          </w:tcPr>
          <w:p w14:paraId="61B6BD96" w14:textId="63070A8B"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number of individuals diagnosed with MCI</w:t>
            </w:r>
          </w:p>
        </w:tc>
        <w:tc>
          <w:tcPr>
            <w:tcW w:w="1310" w:type="dxa"/>
            <w:tcBorders>
              <w:top w:val="single" w:sz="4" w:space="0" w:color="auto"/>
              <w:left w:val="single" w:sz="4" w:space="0" w:color="auto"/>
              <w:bottom w:val="single" w:sz="4" w:space="0" w:color="auto"/>
              <w:right w:val="single" w:sz="4" w:space="0" w:color="auto"/>
            </w:tcBorders>
            <w:noWrap/>
            <w:hideMark/>
          </w:tcPr>
          <w:p w14:paraId="3A941E00" w14:textId="21F0F9CD" w:rsidR="006B358C" w:rsidRPr="00DD0594" w:rsidRDefault="006B358C" w:rsidP="00BE3CEF">
            <w:pPr>
              <w:spacing w:line="360" w:lineRule="auto"/>
              <w:rPr>
                <w:rFonts w:ascii="Arial" w:hAnsi="Arial" w:cs="Arial"/>
                <w:bCs/>
                <w:iCs/>
                <w:noProof/>
                <w:szCs w:val="20"/>
              </w:rPr>
            </w:pPr>
            <w:r w:rsidRPr="00DD0594">
              <w:rPr>
                <w:rFonts w:ascii="Arial" w:hAnsi="Arial" w:cs="Arial"/>
                <w:bCs/>
                <w:iCs/>
                <w:noProof/>
                <w:szCs w:val="20"/>
              </w:rPr>
              <w:t>Estimated MCI prevalence (%)</w:t>
            </w:r>
          </w:p>
        </w:tc>
        <w:tc>
          <w:tcPr>
            <w:tcW w:w="1310" w:type="dxa"/>
            <w:tcBorders>
              <w:top w:val="single" w:sz="4" w:space="0" w:color="auto"/>
              <w:left w:val="single" w:sz="4" w:space="0" w:color="auto"/>
              <w:bottom w:val="single" w:sz="4" w:space="0" w:color="auto"/>
            </w:tcBorders>
            <w:hideMark/>
          </w:tcPr>
          <w:p w14:paraId="5F4FBF2A" w14:textId="67D038C3" w:rsidR="006B358C" w:rsidRPr="00DD0594" w:rsidRDefault="006B358C" w:rsidP="00BE3CEF">
            <w:pPr>
              <w:spacing w:line="360" w:lineRule="auto"/>
              <w:rPr>
                <w:rFonts w:ascii="Arial" w:hAnsi="Arial" w:cs="Arial"/>
                <w:b/>
                <w:bCs/>
                <w:iCs/>
                <w:noProof/>
                <w:szCs w:val="20"/>
              </w:rPr>
            </w:pPr>
            <w:r w:rsidRPr="00DD0594">
              <w:rPr>
                <w:rFonts w:ascii="Arial" w:hAnsi="Arial" w:cs="Arial"/>
                <w:b/>
                <w:bCs/>
                <w:iCs/>
                <w:noProof/>
                <w:szCs w:val="20"/>
              </w:rPr>
              <w:t>Early AD (mild dementia &amp; MCI)</w:t>
            </w:r>
          </w:p>
        </w:tc>
      </w:tr>
      <w:tr w:rsidR="00AF4B2A" w:rsidRPr="00DD0594" w14:paraId="2AE1213A" w14:textId="77777777" w:rsidTr="00AF4B2A">
        <w:trPr>
          <w:trHeight w:val="330"/>
        </w:trPr>
        <w:tc>
          <w:tcPr>
            <w:tcW w:w="1913" w:type="dxa"/>
            <w:tcBorders>
              <w:top w:val="single" w:sz="4" w:space="0" w:color="auto"/>
              <w:left w:val="nil"/>
              <w:right w:val="single" w:sz="4" w:space="0" w:color="auto"/>
            </w:tcBorders>
            <w:hideMark/>
          </w:tcPr>
          <w:p w14:paraId="152220FA"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Nationwide</w:t>
            </w:r>
          </w:p>
        </w:tc>
        <w:tc>
          <w:tcPr>
            <w:tcW w:w="1309" w:type="dxa"/>
            <w:tcBorders>
              <w:top w:val="single" w:sz="4" w:space="0" w:color="auto"/>
              <w:left w:val="single" w:sz="4" w:space="0" w:color="auto"/>
              <w:right w:val="single" w:sz="4" w:space="0" w:color="auto"/>
            </w:tcBorders>
            <w:noWrap/>
            <w:vAlign w:val="center"/>
            <w:hideMark/>
          </w:tcPr>
          <w:p w14:paraId="5957DBE8" w14:textId="18C24BF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14,132,875</w:t>
            </w:r>
            <w:r w:rsidRPr="00DD0594">
              <w:rPr>
                <w:rFonts w:ascii="Arial" w:eastAsia="맑은 고딕" w:hAnsi="Arial" w:cs="Arial"/>
                <w:color w:val="000000"/>
                <w:sz w:val="18"/>
                <w:szCs w:val="18"/>
              </w:rPr>
              <w:t> </w:t>
            </w:r>
          </w:p>
        </w:tc>
        <w:tc>
          <w:tcPr>
            <w:tcW w:w="1310" w:type="dxa"/>
            <w:tcBorders>
              <w:top w:val="single" w:sz="4" w:space="0" w:color="auto"/>
              <w:left w:val="single" w:sz="4" w:space="0" w:color="auto"/>
              <w:right w:val="single" w:sz="4" w:space="0" w:color="auto"/>
            </w:tcBorders>
            <w:noWrap/>
            <w:vAlign w:val="center"/>
            <w:hideMark/>
          </w:tcPr>
          <w:p w14:paraId="1A9C26B7" w14:textId="70E9DCD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954,789 </w:t>
            </w:r>
          </w:p>
        </w:tc>
        <w:tc>
          <w:tcPr>
            <w:tcW w:w="1310" w:type="dxa"/>
            <w:tcBorders>
              <w:top w:val="single" w:sz="4" w:space="0" w:color="auto"/>
              <w:left w:val="single" w:sz="4" w:space="0" w:color="auto"/>
              <w:right w:val="single" w:sz="4" w:space="0" w:color="auto"/>
            </w:tcBorders>
            <w:noWrap/>
            <w:vAlign w:val="center"/>
            <w:hideMark/>
          </w:tcPr>
          <w:p w14:paraId="73860AF3" w14:textId="56C9D2D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6.76</w:t>
            </w:r>
          </w:p>
        </w:tc>
        <w:tc>
          <w:tcPr>
            <w:tcW w:w="1310" w:type="dxa"/>
            <w:tcBorders>
              <w:top w:val="single" w:sz="4" w:space="0" w:color="auto"/>
              <w:left w:val="single" w:sz="4" w:space="0" w:color="auto"/>
              <w:right w:val="single" w:sz="4" w:space="0" w:color="auto"/>
            </w:tcBorders>
            <w:noWrap/>
            <w:vAlign w:val="center"/>
            <w:hideMark/>
          </w:tcPr>
          <w:p w14:paraId="785F0FA0" w14:textId="17AB28F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646,392 </w:t>
            </w:r>
          </w:p>
        </w:tc>
        <w:tc>
          <w:tcPr>
            <w:tcW w:w="1310" w:type="dxa"/>
            <w:tcBorders>
              <w:top w:val="single" w:sz="4" w:space="0" w:color="auto"/>
              <w:left w:val="single" w:sz="4" w:space="0" w:color="auto"/>
              <w:right w:val="single" w:sz="4" w:space="0" w:color="auto"/>
            </w:tcBorders>
            <w:noWrap/>
            <w:vAlign w:val="center"/>
            <w:hideMark/>
          </w:tcPr>
          <w:p w14:paraId="71E756FF" w14:textId="1C4EC2C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281,663 </w:t>
            </w:r>
          </w:p>
        </w:tc>
        <w:tc>
          <w:tcPr>
            <w:tcW w:w="1310" w:type="dxa"/>
            <w:tcBorders>
              <w:top w:val="single" w:sz="4" w:space="0" w:color="auto"/>
              <w:left w:val="single" w:sz="4" w:space="0" w:color="auto"/>
              <w:right w:val="single" w:sz="4" w:space="0" w:color="auto"/>
            </w:tcBorders>
            <w:noWrap/>
            <w:vAlign w:val="center"/>
            <w:hideMark/>
          </w:tcPr>
          <w:p w14:paraId="530167CD" w14:textId="14921CB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26,734 </w:t>
            </w:r>
          </w:p>
        </w:tc>
        <w:tc>
          <w:tcPr>
            <w:tcW w:w="1310" w:type="dxa"/>
            <w:tcBorders>
              <w:top w:val="single" w:sz="4" w:space="0" w:color="auto"/>
              <w:left w:val="single" w:sz="4" w:space="0" w:color="auto"/>
              <w:right w:val="single" w:sz="4" w:space="0" w:color="auto"/>
            </w:tcBorders>
            <w:noWrap/>
            <w:vAlign w:val="center"/>
            <w:hideMark/>
          </w:tcPr>
          <w:p w14:paraId="77F8045A" w14:textId="4465421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3,931,491 </w:t>
            </w:r>
          </w:p>
        </w:tc>
        <w:tc>
          <w:tcPr>
            <w:tcW w:w="1310" w:type="dxa"/>
            <w:tcBorders>
              <w:top w:val="single" w:sz="4" w:space="0" w:color="auto"/>
              <w:left w:val="single" w:sz="4" w:space="0" w:color="auto"/>
              <w:right w:val="single" w:sz="4" w:space="0" w:color="auto"/>
            </w:tcBorders>
            <w:noWrap/>
            <w:vAlign w:val="center"/>
            <w:hideMark/>
          </w:tcPr>
          <w:p w14:paraId="00CBEB95" w14:textId="7BA57ED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27.82</w:t>
            </w:r>
          </w:p>
        </w:tc>
        <w:tc>
          <w:tcPr>
            <w:tcW w:w="1310" w:type="dxa"/>
            <w:tcBorders>
              <w:top w:val="single" w:sz="4" w:space="0" w:color="auto"/>
              <w:left w:val="single" w:sz="4" w:space="0" w:color="auto"/>
            </w:tcBorders>
            <w:noWrap/>
            <w:vAlign w:val="center"/>
            <w:hideMark/>
          </w:tcPr>
          <w:p w14:paraId="2A196269" w14:textId="16FFDC1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4,577,883 </w:t>
            </w:r>
          </w:p>
        </w:tc>
      </w:tr>
      <w:tr w:rsidR="00AF4B2A" w:rsidRPr="00DD0594" w14:paraId="028E75A8" w14:textId="77777777" w:rsidTr="00AF4B2A">
        <w:trPr>
          <w:trHeight w:val="330"/>
        </w:trPr>
        <w:tc>
          <w:tcPr>
            <w:tcW w:w="1913" w:type="dxa"/>
            <w:tcBorders>
              <w:left w:val="nil"/>
              <w:right w:val="single" w:sz="4" w:space="0" w:color="auto"/>
            </w:tcBorders>
            <w:hideMark/>
          </w:tcPr>
          <w:p w14:paraId="1F9E056C"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Seoul</w:t>
            </w:r>
          </w:p>
        </w:tc>
        <w:tc>
          <w:tcPr>
            <w:tcW w:w="1309" w:type="dxa"/>
            <w:tcBorders>
              <w:left w:val="single" w:sz="4" w:space="0" w:color="auto"/>
              <w:right w:val="single" w:sz="4" w:space="0" w:color="auto"/>
            </w:tcBorders>
            <w:noWrap/>
            <w:vAlign w:val="center"/>
            <w:hideMark/>
          </w:tcPr>
          <w:p w14:paraId="0C42D1CC" w14:textId="70AA499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2,450,887 </w:t>
            </w:r>
          </w:p>
        </w:tc>
        <w:tc>
          <w:tcPr>
            <w:tcW w:w="1310" w:type="dxa"/>
            <w:tcBorders>
              <w:left w:val="single" w:sz="4" w:space="0" w:color="auto"/>
              <w:right w:val="single" w:sz="4" w:space="0" w:color="auto"/>
            </w:tcBorders>
            <w:noWrap/>
            <w:vAlign w:val="center"/>
            <w:hideMark/>
          </w:tcPr>
          <w:p w14:paraId="7A773ADD" w14:textId="4FD7439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162,630 </w:t>
            </w:r>
          </w:p>
        </w:tc>
        <w:tc>
          <w:tcPr>
            <w:tcW w:w="1310" w:type="dxa"/>
            <w:tcBorders>
              <w:left w:val="single" w:sz="4" w:space="0" w:color="auto"/>
              <w:right w:val="single" w:sz="4" w:space="0" w:color="auto"/>
            </w:tcBorders>
            <w:noWrap/>
            <w:vAlign w:val="center"/>
            <w:hideMark/>
          </w:tcPr>
          <w:p w14:paraId="4B1A17E0" w14:textId="1049926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6.64</w:t>
            </w:r>
          </w:p>
        </w:tc>
        <w:tc>
          <w:tcPr>
            <w:tcW w:w="1310" w:type="dxa"/>
            <w:tcBorders>
              <w:left w:val="single" w:sz="4" w:space="0" w:color="auto"/>
              <w:right w:val="single" w:sz="4" w:space="0" w:color="auto"/>
            </w:tcBorders>
            <w:noWrap/>
            <w:vAlign w:val="center"/>
            <w:hideMark/>
          </w:tcPr>
          <w:p w14:paraId="4312B7AE" w14:textId="71829EB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110,100 </w:t>
            </w:r>
          </w:p>
        </w:tc>
        <w:tc>
          <w:tcPr>
            <w:tcW w:w="1310" w:type="dxa"/>
            <w:tcBorders>
              <w:left w:val="single" w:sz="4" w:space="0" w:color="auto"/>
              <w:right w:val="single" w:sz="4" w:space="0" w:color="auto"/>
            </w:tcBorders>
            <w:noWrap/>
            <w:vAlign w:val="center"/>
            <w:hideMark/>
          </w:tcPr>
          <w:p w14:paraId="401D56BE" w14:textId="3B0F7A6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47,976 </w:t>
            </w:r>
          </w:p>
        </w:tc>
        <w:tc>
          <w:tcPr>
            <w:tcW w:w="1310" w:type="dxa"/>
            <w:tcBorders>
              <w:left w:val="single" w:sz="4" w:space="0" w:color="auto"/>
              <w:right w:val="single" w:sz="4" w:space="0" w:color="auto"/>
            </w:tcBorders>
            <w:noWrap/>
            <w:vAlign w:val="center"/>
            <w:hideMark/>
          </w:tcPr>
          <w:p w14:paraId="40958A45" w14:textId="5BD82DA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4,554 </w:t>
            </w:r>
          </w:p>
        </w:tc>
        <w:tc>
          <w:tcPr>
            <w:tcW w:w="1310" w:type="dxa"/>
            <w:tcBorders>
              <w:left w:val="single" w:sz="4" w:space="0" w:color="auto"/>
              <w:right w:val="single" w:sz="4" w:space="0" w:color="auto"/>
            </w:tcBorders>
            <w:noWrap/>
            <w:vAlign w:val="center"/>
            <w:hideMark/>
          </w:tcPr>
          <w:p w14:paraId="43E64B56" w14:textId="0F5CC7F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680,189 </w:t>
            </w:r>
          </w:p>
        </w:tc>
        <w:tc>
          <w:tcPr>
            <w:tcW w:w="1310" w:type="dxa"/>
            <w:tcBorders>
              <w:left w:val="single" w:sz="4" w:space="0" w:color="auto"/>
              <w:right w:val="single" w:sz="4" w:space="0" w:color="auto"/>
            </w:tcBorders>
            <w:noWrap/>
            <w:vAlign w:val="center"/>
            <w:hideMark/>
          </w:tcPr>
          <w:p w14:paraId="74E50D03" w14:textId="756F6C0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27.75</w:t>
            </w:r>
          </w:p>
        </w:tc>
        <w:tc>
          <w:tcPr>
            <w:tcW w:w="1310" w:type="dxa"/>
            <w:tcBorders>
              <w:left w:val="single" w:sz="4" w:space="0" w:color="auto"/>
            </w:tcBorders>
            <w:noWrap/>
            <w:vAlign w:val="center"/>
            <w:hideMark/>
          </w:tcPr>
          <w:p w14:paraId="12312614" w14:textId="4E91001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790,289 </w:t>
            </w:r>
          </w:p>
        </w:tc>
      </w:tr>
      <w:tr w:rsidR="00AF4B2A" w:rsidRPr="00DD0594" w14:paraId="562ED991" w14:textId="77777777" w:rsidTr="00AF4B2A">
        <w:trPr>
          <w:trHeight w:val="330"/>
        </w:trPr>
        <w:tc>
          <w:tcPr>
            <w:tcW w:w="1913" w:type="dxa"/>
            <w:tcBorders>
              <w:left w:val="nil"/>
              <w:right w:val="single" w:sz="4" w:space="0" w:color="auto"/>
            </w:tcBorders>
            <w:hideMark/>
          </w:tcPr>
          <w:p w14:paraId="0FD0B03E"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Busan</w:t>
            </w:r>
          </w:p>
        </w:tc>
        <w:tc>
          <w:tcPr>
            <w:tcW w:w="1309" w:type="dxa"/>
            <w:tcBorders>
              <w:left w:val="single" w:sz="4" w:space="0" w:color="auto"/>
              <w:right w:val="single" w:sz="4" w:space="0" w:color="auto"/>
            </w:tcBorders>
            <w:noWrap/>
            <w:vAlign w:val="center"/>
            <w:hideMark/>
          </w:tcPr>
          <w:p w14:paraId="5405E84E" w14:textId="2BBD7CC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1,049,327 </w:t>
            </w:r>
          </w:p>
        </w:tc>
        <w:tc>
          <w:tcPr>
            <w:tcW w:w="1310" w:type="dxa"/>
            <w:tcBorders>
              <w:left w:val="single" w:sz="4" w:space="0" w:color="auto"/>
              <w:right w:val="single" w:sz="4" w:space="0" w:color="auto"/>
            </w:tcBorders>
            <w:noWrap/>
            <w:vAlign w:val="center"/>
            <w:hideMark/>
          </w:tcPr>
          <w:p w14:paraId="01ADD181" w14:textId="1F67980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69,257 </w:t>
            </w:r>
          </w:p>
        </w:tc>
        <w:tc>
          <w:tcPr>
            <w:tcW w:w="1310" w:type="dxa"/>
            <w:tcBorders>
              <w:left w:val="single" w:sz="4" w:space="0" w:color="auto"/>
              <w:right w:val="single" w:sz="4" w:space="0" w:color="auto"/>
            </w:tcBorders>
            <w:noWrap/>
            <w:vAlign w:val="center"/>
            <w:hideMark/>
          </w:tcPr>
          <w:p w14:paraId="044AFB30" w14:textId="6440534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6.6</w:t>
            </w:r>
          </w:p>
        </w:tc>
        <w:tc>
          <w:tcPr>
            <w:tcW w:w="1310" w:type="dxa"/>
            <w:tcBorders>
              <w:left w:val="single" w:sz="4" w:space="0" w:color="auto"/>
              <w:right w:val="single" w:sz="4" w:space="0" w:color="auto"/>
            </w:tcBorders>
            <w:noWrap/>
            <w:vAlign w:val="center"/>
            <w:hideMark/>
          </w:tcPr>
          <w:p w14:paraId="4B931231" w14:textId="12C7CBF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46,887 </w:t>
            </w:r>
          </w:p>
        </w:tc>
        <w:tc>
          <w:tcPr>
            <w:tcW w:w="1310" w:type="dxa"/>
            <w:tcBorders>
              <w:left w:val="single" w:sz="4" w:space="0" w:color="auto"/>
              <w:right w:val="single" w:sz="4" w:space="0" w:color="auto"/>
            </w:tcBorders>
            <w:noWrap/>
            <w:vAlign w:val="center"/>
            <w:hideMark/>
          </w:tcPr>
          <w:p w14:paraId="642DC3A5" w14:textId="15E8C8A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20,431 </w:t>
            </w:r>
          </w:p>
        </w:tc>
        <w:tc>
          <w:tcPr>
            <w:tcW w:w="1310" w:type="dxa"/>
            <w:tcBorders>
              <w:left w:val="single" w:sz="4" w:space="0" w:color="auto"/>
              <w:right w:val="single" w:sz="4" w:space="0" w:color="auto"/>
            </w:tcBorders>
            <w:noWrap/>
            <w:vAlign w:val="center"/>
            <w:hideMark/>
          </w:tcPr>
          <w:p w14:paraId="4AB78A66" w14:textId="1E6592A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1,939 </w:t>
            </w:r>
          </w:p>
        </w:tc>
        <w:tc>
          <w:tcPr>
            <w:tcW w:w="1310" w:type="dxa"/>
            <w:tcBorders>
              <w:left w:val="single" w:sz="4" w:space="0" w:color="auto"/>
              <w:right w:val="single" w:sz="4" w:space="0" w:color="auto"/>
            </w:tcBorders>
            <w:noWrap/>
            <w:vAlign w:val="center"/>
            <w:hideMark/>
          </w:tcPr>
          <w:p w14:paraId="7E4555C0" w14:textId="39B87D3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289,894 </w:t>
            </w:r>
          </w:p>
        </w:tc>
        <w:tc>
          <w:tcPr>
            <w:tcW w:w="1310" w:type="dxa"/>
            <w:tcBorders>
              <w:left w:val="single" w:sz="4" w:space="0" w:color="auto"/>
              <w:right w:val="single" w:sz="4" w:space="0" w:color="auto"/>
            </w:tcBorders>
            <w:noWrap/>
            <w:vAlign w:val="center"/>
            <w:hideMark/>
          </w:tcPr>
          <w:p w14:paraId="44F799C4" w14:textId="75A891A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27.63</w:t>
            </w:r>
          </w:p>
        </w:tc>
        <w:tc>
          <w:tcPr>
            <w:tcW w:w="1310" w:type="dxa"/>
            <w:tcBorders>
              <w:left w:val="single" w:sz="4" w:space="0" w:color="auto"/>
            </w:tcBorders>
            <w:noWrap/>
            <w:vAlign w:val="center"/>
            <w:hideMark/>
          </w:tcPr>
          <w:p w14:paraId="69D2C726" w14:textId="5EE98CD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336,781 </w:t>
            </w:r>
          </w:p>
        </w:tc>
      </w:tr>
      <w:tr w:rsidR="00AF4B2A" w:rsidRPr="00DD0594" w14:paraId="3AF7C884" w14:textId="77777777" w:rsidTr="00AF4B2A">
        <w:trPr>
          <w:trHeight w:val="330"/>
        </w:trPr>
        <w:tc>
          <w:tcPr>
            <w:tcW w:w="1913" w:type="dxa"/>
            <w:tcBorders>
              <w:left w:val="nil"/>
              <w:right w:val="single" w:sz="4" w:space="0" w:color="auto"/>
            </w:tcBorders>
            <w:hideMark/>
          </w:tcPr>
          <w:p w14:paraId="3FE80729"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Daegu</w:t>
            </w:r>
          </w:p>
        </w:tc>
        <w:tc>
          <w:tcPr>
            <w:tcW w:w="1309" w:type="dxa"/>
            <w:tcBorders>
              <w:left w:val="single" w:sz="4" w:space="0" w:color="auto"/>
              <w:right w:val="single" w:sz="4" w:space="0" w:color="auto"/>
            </w:tcBorders>
            <w:noWrap/>
            <w:vAlign w:val="center"/>
            <w:hideMark/>
          </w:tcPr>
          <w:p w14:paraId="43678CBB" w14:textId="40CDCD3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681,200 </w:t>
            </w:r>
          </w:p>
        </w:tc>
        <w:tc>
          <w:tcPr>
            <w:tcW w:w="1310" w:type="dxa"/>
            <w:tcBorders>
              <w:left w:val="single" w:sz="4" w:space="0" w:color="auto"/>
              <w:right w:val="single" w:sz="4" w:space="0" w:color="auto"/>
            </w:tcBorders>
            <w:noWrap/>
            <w:vAlign w:val="center"/>
            <w:hideMark/>
          </w:tcPr>
          <w:p w14:paraId="768EBDCB" w14:textId="32472D3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45,108 </w:t>
            </w:r>
          </w:p>
        </w:tc>
        <w:tc>
          <w:tcPr>
            <w:tcW w:w="1310" w:type="dxa"/>
            <w:tcBorders>
              <w:left w:val="single" w:sz="4" w:space="0" w:color="auto"/>
              <w:right w:val="single" w:sz="4" w:space="0" w:color="auto"/>
            </w:tcBorders>
            <w:noWrap/>
            <w:vAlign w:val="center"/>
            <w:hideMark/>
          </w:tcPr>
          <w:p w14:paraId="5D14091C" w14:textId="6F9DAC0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6.62</w:t>
            </w:r>
          </w:p>
        </w:tc>
        <w:tc>
          <w:tcPr>
            <w:tcW w:w="1310" w:type="dxa"/>
            <w:tcBorders>
              <w:left w:val="single" w:sz="4" w:space="0" w:color="auto"/>
              <w:right w:val="single" w:sz="4" w:space="0" w:color="auto"/>
            </w:tcBorders>
            <w:noWrap/>
            <w:vAlign w:val="center"/>
            <w:hideMark/>
          </w:tcPr>
          <w:p w14:paraId="64AE5475" w14:textId="0EDE8D9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30,538 </w:t>
            </w:r>
          </w:p>
        </w:tc>
        <w:tc>
          <w:tcPr>
            <w:tcW w:w="1310" w:type="dxa"/>
            <w:tcBorders>
              <w:left w:val="single" w:sz="4" w:space="0" w:color="auto"/>
              <w:right w:val="single" w:sz="4" w:space="0" w:color="auto"/>
            </w:tcBorders>
            <w:noWrap/>
            <w:vAlign w:val="center"/>
            <w:hideMark/>
          </w:tcPr>
          <w:p w14:paraId="0EEAEBD1" w14:textId="0AE9F6E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13,307 </w:t>
            </w:r>
          </w:p>
        </w:tc>
        <w:tc>
          <w:tcPr>
            <w:tcW w:w="1310" w:type="dxa"/>
            <w:tcBorders>
              <w:left w:val="single" w:sz="4" w:space="0" w:color="auto"/>
              <w:right w:val="single" w:sz="4" w:space="0" w:color="auto"/>
            </w:tcBorders>
            <w:noWrap/>
            <w:vAlign w:val="center"/>
            <w:hideMark/>
          </w:tcPr>
          <w:p w14:paraId="65656633" w14:textId="4CB0CB3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1,263 </w:t>
            </w:r>
          </w:p>
        </w:tc>
        <w:tc>
          <w:tcPr>
            <w:tcW w:w="1310" w:type="dxa"/>
            <w:tcBorders>
              <w:left w:val="single" w:sz="4" w:space="0" w:color="auto"/>
              <w:right w:val="single" w:sz="4" w:space="0" w:color="auto"/>
            </w:tcBorders>
            <w:noWrap/>
            <w:vAlign w:val="center"/>
            <w:hideMark/>
          </w:tcPr>
          <w:p w14:paraId="7E0E91FC" w14:textId="3571B12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188,584 </w:t>
            </w:r>
          </w:p>
        </w:tc>
        <w:tc>
          <w:tcPr>
            <w:tcW w:w="1310" w:type="dxa"/>
            <w:tcBorders>
              <w:left w:val="single" w:sz="4" w:space="0" w:color="auto"/>
              <w:right w:val="single" w:sz="4" w:space="0" w:color="auto"/>
            </w:tcBorders>
            <w:noWrap/>
            <w:vAlign w:val="center"/>
            <w:hideMark/>
          </w:tcPr>
          <w:p w14:paraId="10035A20" w14:textId="65A64F1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27.68</w:t>
            </w:r>
          </w:p>
        </w:tc>
        <w:tc>
          <w:tcPr>
            <w:tcW w:w="1310" w:type="dxa"/>
            <w:tcBorders>
              <w:left w:val="single" w:sz="4" w:space="0" w:color="auto"/>
            </w:tcBorders>
            <w:noWrap/>
            <w:vAlign w:val="center"/>
            <w:hideMark/>
          </w:tcPr>
          <w:p w14:paraId="6BA52E8D" w14:textId="3835972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219,122 </w:t>
            </w:r>
          </w:p>
        </w:tc>
      </w:tr>
      <w:tr w:rsidR="00AF4B2A" w:rsidRPr="00DD0594" w14:paraId="52EC6C50" w14:textId="77777777" w:rsidTr="00AF4B2A">
        <w:trPr>
          <w:trHeight w:val="330"/>
        </w:trPr>
        <w:tc>
          <w:tcPr>
            <w:tcW w:w="1913" w:type="dxa"/>
            <w:tcBorders>
              <w:left w:val="nil"/>
              <w:right w:val="single" w:sz="4" w:space="0" w:color="auto"/>
            </w:tcBorders>
            <w:hideMark/>
          </w:tcPr>
          <w:p w14:paraId="3F0EDA37"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Incheon</w:t>
            </w:r>
          </w:p>
        </w:tc>
        <w:tc>
          <w:tcPr>
            <w:tcW w:w="1309" w:type="dxa"/>
            <w:tcBorders>
              <w:left w:val="single" w:sz="4" w:space="0" w:color="auto"/>
              <w:right w:val="single" w:sz="4" w:space="0" w:color="auto"/>
            </w:tcBorders>
            <w:noWrap/>
            <w:vAlign w:val="center"/>
            <w:hideMark/>
          </w:tcPr>
          <w:p w14:paraId="37D64061" w14:textId="7AF46C8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764,246 </w:t>
            </w:r>
          </w:p>
        </w:tc>
        <w:tc>
          <w:tcPr>
            <w:tcW w:w="1310" w:type="dxa"/>
            <w:tcBorders>
              <w:left w:val="single" w:sz="4" w:space="0" w:color="auto"/>
              <w:right w:val="single" w:sz="4" w:space="0" w:color="auto"/>
            </w:tcBorders>
            <w:noWrap/>
            <w:vAlign w:val="center"/>
            <w:hideMark/>
          </w:tcPr>
          <w:p w14:paraId="31709F42" w14:textId="0DF5AF6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47,883 </w:t>
            </w:r>
          </w:p>
        </w:tc>
        <w:tc>
          <w:tcPr>
            <w:tcW w:w="1310" w:type="dxa"/>
            <w:tcBorders>
              <w:left w:val="single" w:sz="4" w:space="0" w:color="auto"/>
              <w:right w:val="single" w:sz="4" w:space="0" w:color="auto"/>
            </w:tcBorders>
            <w:noWrap/>
            <w:vAlign w:val="center"/>
            <w:hideMark/>
          </w:tcPr>
          <w:p w14:paraId="489A6E88" w14:textId="2556A2D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6.27</w:t>
            </w:r>
          </w:p>
        </w:tc>
        <w:tc>
          <w:tcPr>
            <w:tcW w:w="1310" w:type="dxa"/>
            <w:tcBorders>
              <w:left w:val="single" w:sz="4" w:space="0" w:color="auto"/>
              <w:right w:val="single" w:sz="4" w:space="0" w:color="auto"/>
            </w:tcBorders>
            <w:noWrap/>
            <w:vAlign w:val="center"/>
            <w:hideMark/>
          </w:tcPr>
          <w:p w14:paraId="678F4327" w14:textId="07B2C4B7"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32,417 </w:t>
            </w:r>
          </w:p>
        </w:tc>
        <w:tc>
          <w:tcPr>
            <w:tcW w:w="1310" w:type="dxa"/>
            <w:tcBorders>
              <w:left w:val="single" w:sz="4" w:space="0" w:color="auto"/>
              <w:right w:val="single" w:sz="4" w:space="0" w:color="auto"/>
            </w:tcBorders>
            <w:noWrap/>
            <w:vAlign w:val="center"/>
            <w:hideMark/>
          </w:tcPr>
          <w:p w14:paraId="7E1010A5" w14:textId="70315E7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14,125 </w:t>
            </w:r>
          </w:p>
        </w:tc>
        <w:tc>
          <w:tcPr>
            <w:tcW w:w="1310" w:type="dxa"/>
            <w:tcBorders>
              <w:left w:val="single" w:sz="4" w:space="0" w:color="auto"/>
              <w:right w:val="single" w:sz="4" w:space="0" w:color="auto"/>
            </w:tcBorders>
            <w:noWrap/>
            <w:vAlign w:val="center"/>
            <w:hideMark/>
          </w:tcPr>
          <w:p w14:paraId="495B9635" w14:textId="31011D9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1,341 </w:t>
            </w:r>
          </w:p>
        </w:tc>
        <w:tc>
          <w:tcPr>
            <w:tcW w:w="1310" w:type="dxa"/>
            <w:tcBorders>
              <w:left w:val="single" w:sz="4" w:space="0" w:color="auto"/>
              <w:right w:val="single" w:sz="4" w:space="0" w:color="auto"/>
            </w:tcBorders>
            <w:noWrap/>
            <w:vAlign w:val="center"/>
            <w:hideMark/>
          </w:tcPr>
          <w:p w14:paraId="599E4A4A" w14:textId="12D8421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211,142 </w:t>
            </w:r>
          </w:p>
        </w:tc>
        <w:tc>
          <w:tcPr>
            <w:tcW w:w="1310" w:type="dxa"/>
            <w:tcBorders>
              <w:left w:val="single" w:sz="4" w:space="0" w:color="auto"/>
              <w:right w:val="single" w:sz="4" w:space="0" w:color="auto"/>
            </w:tcBorders>
            <w:noWrap/>
            <w:vAlign w:val="center"/>
            <w:hideMark/>
          </w:tcPr>
          <w:p w14:paraId="2894ED53" w14:textId="0D6BE38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27.63</w:t>
            </w:r>
          </w:p>
        </w:tc>
        <w:tc>
          <w:tcPr>
            <w:tcW w:w="1310" w:type="dxa"/>
            <w:tcBorders>
              <w:left w:val="single" w:sz="4" w:space="0" w:color="auto"/>
            </w:tcBorders>
            <w:noWrap/>
            <w:vAlign w:val="center"/>
            <w:hideMark/>
          </w:tcPr>
          <w:p w14:paraId="746146F7" w14:textId="7F04082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243,558 </w:t>
            </w:r>
          </w:p>
        </w:tc>
      </w:tr>
      <w:tr w:rsidR="00AF4B2A" w:rsidRPr="00DD0594" w14:paraId="393CC9C2" w14:textId="77777777" w:rsidTr="00AF4B2A">
        <w:trPr>
          <w:trHeight w:val="330"/>
        </w:trPr>
        <w:tc>
          <w:tcPr>
            <w:tcW w:w="1913" w:type="dxa"/>
            <w:tcBorders>
              <w:left w:val="nil"/>
              <w:right w:val="single" w:sz="4" w:space="0" w:color="auto"/>
            </w:tcBorders>
            <w:hideMark/>
          </w:tcPr>
          <w:p w14:paraId="5F476EBA"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Gwangju</w:t>
            </w:r>
          </w:p>
        </w:tc>
        <w:tc>
          <w:tcPr>
            <w:tcW w:w="1309" w:type="dxa"/>
            <w:tcBorders>
              <w:left w:val="single" w:sz="4" w:space="0" w:color="auto"/>
              <w:right w:val="single" w:sz="4" w:space="0" w:color="auto"/>
            </w:tcBorders>
            <w:noWrap/>
            <w:vAlign w:val="center"/>
            <w:hideMark/>
          </w:tcPr>
          <w:p w14:paraId="526FAE0F" w14:textId="58B9D22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344,397 </w:t>
            </w:r>
          </w:p>
        </w:tc>
        <w:tc>
          <w:tcPr>
            <w:tcW w:w="1310" w:type="dxa"/>
            <w:tcBorders>
              <w:left w:val="single" w:sz="4" w:space="0" w:color="auto"/>
              <w:right w:val="single" w:sz="4" w:space="0" w:color="auto"/>
            </w:tcBorders>
            <w:noWrap/>
            <w:vAlign w:val="center"/>
            <w:hideMark/>
          </w:tcPr>
          <w:p w14:paraId="21756325" w14:textId="6BBF0F8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22,869 </w:t>
            </w:r>
          </w:p>
        </w:tc>
        <w:tc>
          <w:tcPr>
            <w:tcW w:w="1310" w:type="dxa"/>
            <w:tcBorders>
              <w:left w:val="single" w:sz="4" w:space="0" w:color="auto"/>
              <w:right w:val="single" w:sz="4" w:space="0" w:color="auto"/>
            </w:tcBorders>
            <w:noWrap/>
            <w:vAlign w:val="center"/>
            <w:hideMark/>
          </w:tcPr>
          <w:p w14:paraId="2F695949" w14:textId="1BC3C28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6.64</w:t>
            </w:r>
          </w:p>
        </w:tc>
        <w:tc>
          <w:tcPr>
            <w:tcW w:w="1310" w:type="dxa"/>
            <w:tcBorders>
              <w:left w:val="single" w:sz="4" w:space="0" w:color="auto"/>
              <w:right w:val="single" w:sz="4" w:space="0" w:color="auto"/>
            </w:tcBorders>
            <w:noWrap/>
            <w:vAlign w:val="center"/>
            <w:hideMark/>
          </w:tcPr>
          <w:p w14:paraId="77930D00" w14:textId="400B75A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15,482 </w:t>
            </w:r>
          </w:p>
        </w:tc>
        <w:tc>
          <w:tcPr>
            <w:tcW w:w="1310" w:type="dxa"/>
            <w:tcBorders>
              <w:left w:val="single" w:sz="4" w:space="0" w:color="auto"/>
              <w:right w:val="single" w:sz="4" w:space="0" w:color="auto"/>
            </w:tcBorders>
            <w:noWrap/>
            <w:vAlign w:val="center"/>
            <w:hideMark/>
          </w:tcPr>
          <w:p w14:paraId="5F669DC7" w14:textId="12ADB77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6,746 </w:t>
            </w:r>
          </w:p>
        </w:tc>
        <w:tc>
          <w:tcPr>
            <w:tcW w:w="1310" w:type="dxa"/>
            <w:tcBorders>
              <w:left w:val="single" w:sz="4" w:space="0" w:color="auto"/>
              <w:right w:val="single" w:sz="4" w:space="0" w:color="auto"/>
            </w:tcBorders>
            <w:noWrap/>
            <w:vAlign w:val="center"/>
            <w:hideMark/>
          </w:tcPr>
          <w:p w14:paraId="7EBFC0F8" w14:textId="2D63959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640 </w:t>
            </w:r>
          </w:p>
        </w:tc>
        <w:tc>
          <w:tcPr>
            <w:tcW w:w="1310" w:type="dxa"/>
            <w:tcBorders>
              <w:left w:val="single" w:sz="4" w:space="0" w:color="auto"/>
              <w:right w:val="single" w:sz="4" w:space="0" w:color="auto"/>
            </w:tcBorders>
            <w:noWrap/>
            <w:vAlign w:val="center"/>
            <w:hideMark/>
          </w:tcPr>
          <w:p w14:paraId="1D5AD698" w14:textId="606D868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95,607 </w:t>
            </w:r>
          </w:p>
        </w:tc>
        <w:tc>
          <w:tcPr>
            <w:tcW w:w="1310" w:type="dxa"/>
            <w:tcBorders>
              <w:left w:val="single" w:sz="4" w:space="0" w:color="auto"/>
              <w:right w:val="single" w:sz="4" w:space="0" w:color="auto"/>
            </w:tcBorders>
            <w:noWrap/>
            <w:vAlign w:val="center"/>
            <w:hideMark/>
          </w:tcPr>
          <w:p w14:paraId="40E7394B" w14:textId="64CF0BB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27.76</w:t>
            </w:r>
          </w:p>
        </w:tc>
        <w:tc>
          <w:tcPr>
            <w:tcW w:w="1310" w:type="dxa"/>
            <w:tcBorders>
              <w:left w:val="single" w:sz="4" w:space="0" w:color="auto"/>
            </w:tcBorders>
            <w:noWrap/>
            <w:vAlign w:val="center"/>
            <w:hideMark/>
          </w:tcPr>
          <w:p w14:paraId="018DD54E" w14:textId="76012C1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111,090 </w:t>
            </w:r>
          </w:p>
        </w:tc>
      </w:tr>
      <w:tr w:rsidR="00AF4B2A" w:rsidRPr="00DD0594" w14:paraId="32560315" w14:textId="77777777" w:rsidTr="00AF4B2A">
        <w:trPr>
          <w:trHeight w:val="330"/>
        </w:trPr>
        <w:tc>
          <w:tcPr>
            <w:tcW w:w="1913" w:type="dxa"/>
            <w:tcBorders>
              <w:left w:val="nil"/>
              <w:right w:val="single" w:sz="4" w:space="0" w:color="auto"/>
            </w:tcBorders>
            <w:hideMark/>
          </w:tcPr>
          <w:p w14:paraId="792FFC6E"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Daejeon</w:t>
            </w:r>
          </w:p>
        </w:tc>
        <w:tc>
          <w:tcPr>
            <w:tcW w:w="1309" w:type="dxa"/>
            <w:tcBorders>
              <w:left w:val="single" w:sz="4" w:space="0" w:color="auto"/>
              <w:right w:val="single" w:sz="4" w:space="0" w:color="auto"/>
            </w:tcBorders>
            <w:noWrap/>
            <w:vAlign w:val="center"/>
            <w:hideMark/>
          </w:tcPr>
          <w:p w14:paraId="40F40D42" w14:textId="2604780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362,753 </w:t>
            </w:r>
          </w:p>
        </w:tc>
        <w:tc>
          <w:tcPr>
            <w:tcW w:w="1310" w:type="dxa"/>
            <w:tcBorders>
              <w:left w:val="single" w:sz="4" w:space="0" w:color="auto"/>
              <w:right w:val="single" w:sz="4" w:space="0" w:color="auto"/>
            </w:tcBorders>
            <w:noWrap/>
            <w:vAlign w:val="center"/>
            <w:hideMark/>
          </w:tcPr>
          <w:p w14:paraId="6DAD7C35" w14:textId="147E1F2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23,515 </w:t>
            </w:r>
          </w:p>
        </w:tc>
        <w:tc>
          <w:tcPr>
            <w:tcW w:w="1310" w:type="dxa"/>
            <w:tcBorders>
              <w:left w:val="single" w:sz="4" w:space="0" w:color="auto"/>
              <w:right w:val="single" w:sz="4" w:space="0" w:color="auto"/>
            </w:tcBorders>
            <w:noWrap/>
            <w:vAlign w:val="center"/>
            <w:hideMark/>
          </w:tcPr>
          <w:p w14:paraId="3382F84A" w14:textId="457EF1B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6.48</w:t>
            </w:r>
          </w:p>
        </w:tc>
        <w:tc>
          <w:tcPr>
            <w:tcW w:w="1310" w:type="dxa"/>
            <w:tcBorders>
              <w:left w:val="single" w:sz="4" w:space="0" w:color="auto"/>
              <w:right w:val="single" w:sz="4" w:space="0" w:color="auto"/>
            </w:tcBorders>
            <w:noWrap/>
            <w:vAlign w:val="center"/>
            <w:hideMark/>
          </w:tcPr>
          <w:p w14:paraId="427BEC40" w14:textId="320CCB2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15,920 </w:t>
            </w:r>
          </w:p>
        </w:tc>
        <w:tc>
          <w:tcPr>
            <w:tcW w:w="1310" w:type="dxa"/>
            <w:tcBorders>
              <w:left w:val="single" w:sz="4" w:space="0" w:color="auto"/>
              <w:right w:val="single" w:sz="4" w:space="0" w:color="auto"/>
            </w:tcBorders>
            <w:noWrap/>
            <w:vAlign w:val="center"/>
            <w:hideMark/>
          </w:tcPr>
          <w:p w14:paraId="27232406" w14:textId="2FDB96A7"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6,937 </w:t>
            </w:r>
          </w:p>
        </w:tc>
        <w:tc>
          <w:tcPr>
            <w:tcW w:w="1310" w:type="dxa"/>
            <w:tcBorders>
              <w:left w:val="single" w:sz="4" w:space="0" w:color="auto"/>
              <w:right w:val="single" w:sz="4" w:space="0" w:color="auto"/>
            </w:tcBorders>
            <w:noWrap/>
            <w:vAlign w:val="center"/>
            <w:hideMark/>
          </w:tcPr>
          <w:p w14:paraId="0A29CCAE" w14:textId="162F509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658 </w:t>
            </w:r>
          </w:p>
        </w:tc>
        <w:tc>
          <w:tcPr>
            <w:tcW w:w="1310" w:type="dxa"/>
            <w:tcBorders>
              <w:left w:val="single" w:sz="4" w:space="0" w:color="auto"/>
              <w:right w:val="single" w:sz="4" w:space="0" w:color="auto"/>
            </w:tcBorders>
            <w:noWrap/>
            <w:vAlign w:val="center"/>
            <w:hideMark/>
          </w:tcPr>
          <w:p w14:paraId="009DE22B" w14:textId="3032CAF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100,385 </w:t>
            </w:r>
          </w:p>
        </w:tc>
        <w:tc>
          <w:tcPr>
            <w:tcW w:w="1310" w:type="dxa"/>
            <w:tcBorders>
              <w:left w:val="single" w:sz="4" w:space="0" w:color="auto"/>
              <w:right w:val="single" w:sz="4" w:space="0" w:color="auto"/>
            </w:tcBorders>
            <w:noWrap/>
            <w:vAlign w:val="center"/>
            <w:hideMark/>
          </w:tcPr>
          <w:p w14:paraId="43FA2C84" w14:textId="27A0CB4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27.67</w:t>
            </w:r>
          </w:p>
        </w:tc>
        <w:tc>
          <w:tcPr>
            <w:tcW w:w="1310" w:type="dxa"/>
            <w:tcBorders>
              <w:left w:val="single" w:sz="4" w:space="0" w:color="auto"/>
            </w:tcBorders>
            <w:noWrap/>
            <w:vAlign w:val="center"/>
            <w:hideMark/>
          </w:tcPr>
          <w:p w14:paraId="6F8A93D3" w14:textId="5EA35E6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116,304 </w:t>
            </w:r>
          </w:p>
        </w:tc>
      </w:tr>
      <w:tr w:rsidR="00AF4B2A" w:rsidRPr="00DD0594" w14:paraId="4DFD005F" w14:textId="77777777" w:rsidTr="00AF4B2A">
        <w:trPr>
          <w:trHeight w:val="330"/>
        </w:trPr>
        <w:tc>
          <w:tcPr>
            <w:tcW w:w="1913" w:type="dxa"/>
            <w:tcBorders>
              <w:left w:val="nil"/>
              <w:right w:val="single" w:sz="4" w:space="0" w:color="auto"/>
            </w:tcBorders>
            <w:hideMark/>
          </w:tcPr>
          <w:p w14:paraId="12EF469D"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Ulsan</w:t>
            </w:r>
          </w:p>
        </w:tc>
        <w:tc>
          <w:tcPr>
            <w:tcW w:w="1309" w:type="dxa"/>
            <w:tcBorders>
              <w:left w:val="single" w:sz="4" w:space="0" w:color="auto"/>
              <w:right w:val="single" w:sz="4" w:space="0" w:color="auto"/>
            </w:tcBorders>
            <w:noWrap/>
            <w:vAlign w:val="center"/>
            <w:hideMark/>
          </w:tcPr>
          <w:p w14:paraId="0074AD29" w14:textId="3C6A4A3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278,660 </w:t>
            </w:r>
          </w:p>
        </w:tc>
        <w:tc>
          <w:tcPr>
            <w:tcW w:w="1310" w:type="dxa"/>
            <w:tcBorders>
              <w:left w:val="single" w:sz="4" w:space="0" w:color="auto"/>
              <w:right w:val="single" w:sz="4" w:space="0" w:color="auto"/>
            </w:tcBorders>
            <w:noWrap/>
            <w:vAlign w:val="center"/>
            <w:hideMark/>
          </w:tcPr>
          <w:p w14:paraId="1723B33F" w14:textId="54AD4EC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15,874 </w:t>
            </w:r>
          </w:p>
        </w:tc>
        <w:tc>
          <w:tcPr>
            <w:tcW w:w="1310" w:type="dxa"/>
            <w:tcBorders>
              <w:left w:val="single" w:sz="4" w:space="0" w:color="auto"/>
              <w:right w:val="single" w:sz="4" w:space="0" w:color="auto"/>
            </w:tcBorders>
            <w:noWrap/>
            <w:vAlign w:val="center"/>
            <w:hideMark/>
          </w:tcPr>
          <w:p w14:paraId="4FA037F3" w14:textId="17B34637"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5.7</w:t>
            </w:r>
          </w:p>
        </w:tc>
        <w:tc>
          <w:tcPr>
            <w:tcW w:w="1310" w:type="dxa"/>
            <w:tcBorders>
              <w:left w:val="single" w:sz="4" w:space="0" w:color="auto"/>
              <w:right w:val="single" w:sz="4" w:space="0" w:color="auto"/>
            </w:tcBorders>
            <w:noWrap/>
            <w:vAlign w:val="center"/>
            <w:hideMark/>
          </w:tcPr>
          <w:p w14:paraId="508F563B" w14:textId="5399685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10,747 </w:t>
            </w:r>
          </w:p>
        </w:tc>
        <w:tc>
          <w:tcPr>
            <w:tcW w:w="1310" w:type="dxa"/>
            <w:tcBorders>
              <w:left w:val="single" w:sz="4" w:space="0" w:color="auto"/>
              <w:right w:val="single" w:sz="4" w:space="0" w:color="auto"/>
            </w:tcBorders>
            <w:noWrap/>
            <w:vAlign w:val="center"/>
            <w:hideMark/>
          </w:tcPr>
          <w:p w14:paraId="25EBFBA3" w14:textId="3F45EDC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4,683 </w:t>
            </w:r>
          </w:p>
        </w:tc>
        <w:tc>
          <w:tcPr>
            <w:tcW w:w="1310" w:type="dxa"/>
            <w:tcBorders>
              <w:left w:val="single" w:sz="4" w:space="0" w:color="auto"/>
              <w:right w:val="single" w:sz="4" w:space="0" w:color="auto"/>
            </w:tcBorders>
            <w:noWrap/>
            <w:vAlign w:val="center"/>
            <w:hideMark/>
          </w:tcPr>
          <w:p w14:paraId="69216CC3" w14:textId="78C019B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444 </w:t>
            </w:r>
          </w:p>
        </w:tc>
        <w:tc>
          <w:tcPr>
            <w:tcW w:w="1310" w:type="dxa"/>
            <w:tcBorders>
              <w:left w:val="single" w:sz="4" w:space="0" w:color="auto"/>
              <w:right w:val="single" w:sz="4" w:space="0" w:color="auto"/>
            </w:tcBorders>
            <w:noWrap/>
            <w:vAlign w:val="center"/>
            <w:hideMark/>
          </w:tcPr>
          <w:p w14:paraId="425658CB" w14:textId="7CA7C90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76,478 </w:t>
            </w:r>
          </w:p>
        </w:tc>
        <w:tc>
          <w:tcPr>
            <w:tcW w:w="1310" w:type="dxa"/>
            <w:tcBorders>
              <w:left w:val="single" w:sz="4" w:space="0" w:color="auto"/>
              <w:right w:val="single" w:sz="4" w:space="0" w:color="auto"/>
            </w:tcBorders>
            <w:noWrap/>
            <w:vAlign w:val="center"/>
            <w:hideMark/>
          </w:tcPr>
          <w:p w14:paraId="0599496D" w14:textId="4BD76D3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27.45</w:t>
            </w:r>
          </w:p>
        </w:tc>
        <w:tc>
          <w:tcPr>
            <w:tcW w:w="1310" w:type="dxa"/>
            <w:tcBorders>
              <w:left w:val="single" w:sz="4" w:space="0" w:color="auto"/>
            </w:tcBorders>
            <w:noWrap/>
            <w:vAlign w:val="center"/>
            <w:hideMark/>
          </w:tcPr>
          <w:p w14:paraId="64A2A0BB" w14:textId="22853A2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87,225 </w:t>
            </w:r>
          </w:p>
        </w:tc>
      </w:tr>
      <w:tr w:rsidR="00AF4B2A" w:rsidRPr="00DD0594" w14:paraId="0396A0A9" w14:textId="77777777" w:rsidTr="00AF4B2A">
        <w:trPr>
          <w:trHeight w:val="330"/>
        </w:trPr>
        <w:tc>
          <w:tcPr>
            <w:tcW w:w="1913" w:type="dxa"/>
            <w:tcBorders>
              <w:left w:val="nil"/>
              <w:right w:val="single" w:sz="4" w:space="0" w:color="auto"/>
            </w:tcBorders>
            <w:hideMark/>
          </w:tcPr>
          <w:p w14:paraId="7F3BDC75"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Sejong</w:t>
            </w:r>
          </w:p>
        </w:tc>
        <w:tc>
          <w:tcPr>
            <w:tcW w:w="1309" w:type="dxa"/>
            <w:tcBorders>
              <w:left w:val="single" w:sz="4" w:space="0" w:color="auto"/>
              <w:right w:val="single" w:sz="4" w:space="0" w:color="auto"/>
            </w:tcBorders>
            <w:noWrap/>
            <w:vAlign w:val="center"/>
            <w:hideMark/>
          </w:tcPr>
          <w:p w14:paraId="36856C2A" w14:textId="6C1406D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64,851 </w:t>
            </w:r>
          </w:p>
        </w:tc>
        <w:tc>
          <w:tcPr>
            <w:tcW w:w="1310" w:type="dxa"/>
            <w:tcBorders>
              <w:left w:val="single" w:sz="4" w:space="0" w:color="auto"/>
              <w:right w:val="single" w:sz="4" w:space="0" w:color="auto"/>
            </w:tcBorders>
            <w:noWrap/>
            <w:vAlign w:val="center"/>
            <w:hideMark/>
          </w:tcPr>
          <w:p w14:paraId="3793643F" w14:textId="575638F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4,134 </w:t>
            </w:r>
          </w:p>
        </w:tc>
        <w:tc>
          <w:tcPr>
            <w:tcW w:w="1310" w:type="dxa"/>
            <w:tcBorders>
              <w:left w:val="single" w:sz="4" w:space="0" w:color="auto"/>
              <w:right w:val="single" w:sz="4" w:space="0" w:color="auto"/>
            </w:tcBorders>
            <w:noWrap/>
            <w:vAlign w:val="center"/>
            <w:hideMark/>
          </w:tcPr>
          <w:p w14:paraId="2C798853" w14:textId="21D37E9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6.37</w:t>
            </w:r>
          </w:p>
        </w:tc>
        <w:tc>
          <w:tcPr>
            <w:tcW w:w="1310" w:type="dxa"/>
            <w:tcBorders>
              <w:left w:val="single" w:sz="4" w:space="0" w:color="auto"/>
              <w:right w:val="single" w:sz="4" w:space="0" w:color="auto"/>
            </w:tcBorders>
            <w:noWrap/>
            <w:vAlign w:val="center"/>
            <w:hideMark/>
          </w:tcPr>
          <w:p w14:paraId="4D6F9DE9" w14:textId="49AC6F8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2,799 </w:t>
            </w:r>
          </w:p>
        </w:tc>
        <w:tc>
          <w:tcPr>
            <w:tcW w:w="1310" w:type="dxa"/>
            <w:tcBorders>
              <w:left w:val="single" w:sz="4" w:space="0" w:color="auto"/>
              <w:right w:val="single" w:sz="4" w:space="0" w:color="auto"/>
            </w:tcBorders>
            <w:noWrap/>
            <w:vAlign w:val="center"/>
            <w:hideMark/>
          </w:tcPr>
          <w:p w14:paraId="4E09D19B" w14:textId="773F4D8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1,220 </w:t>
            </w:r>
          </w:p>
        </w:tc>
        <w:tc>
          <w:tcPr>
            <w:tcW w:w="1310" w:type="dxa"/>
            <w:tcBorders>
              <w:left w:val="single" w:sz="4" w:space="0" w:color="auto"/>
              <w:right w:val="single" w:sz="4" w:space="0" w:color="auto"/>
            </w:tcBorders>
            <w:noWrap/>
            <w:vAlign w:val="center"/>
            <w:hideMark/>
          </w:tcPr>
          <w:p w14:paraId="69BAF89B" w14:textId="528D484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116 </w:t>
            </w:r>
          </w:p>
        </w:tc>
        <w:tc>
          <w:tcPr>
            <w:tcW w:w="1310" w:type="dxa"/>
            <w:tcBorders>
              <w:left w:val="single" w:sz="4" w:space="0" w:color="auto"/>
              <w:right w:val="single" w:sz="4" w:space="0" w:color="auto"/>
            </w:tcBorders>
            <w:noWrap/>
            <w:vAlign w:val="center"/>
            <w:hideMark/>
          </w:tcPr>
          <w:p w14:paraId="44E02F38" w14:textId="111B5DF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17,931 </w:t>
            </w:r>
          </w:p>
        </w:tc>
        <w:tc>
          <w:tcPr>
            <w:tcW w:w="1310" w:type="dxa"/>
            <w:tcBorders>
              <w:left w:val="single" w:sz="4" w:space="0" w:color="auto"/>
              <w:right w:val="single" w:sz="4" w:space="0" w:color="auto"/>
            </w:tcBorders>
            <w:noWrap/>
            <w:vAlign w:val="center"/>
            <w:hideMark/>
          </w:tcPr>
          <w:p w14:paraId="67805A2C" w14:textId="61F04B6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27.65</w:t>
            </w:r>
          </w:p>
        </w:tc>
        <w:tc>
          <w:tcPr>
            <w:tcW w:w="1310" w:type="dxa"/>
            <w:tcBorders>
              <w:left w:val="single" w:sz="4" w:space="0" w:color="auto"/>
            </w:tcBorders>
            <w:noWrap/>
            <w:vAlign w:val="center"/>
            <w:hideMark/>
          </w:tcPr>
          <w:p w14:paraId="42103A3A" w14:textId="5A88BE1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20,730 </w:t>
            </w:r>
          </w:p>
        </w:tc>
      </w:tr>
      <w:tr w:rsidR="00AF4B2A" w:rsidRPr="00DD0594" w14:paraId="4A59B968" w14:textId="77777777" w:rsidTr="00AF4B2A">
        <w:trPr>
          <w:trHeight w:val="330"/>
        </w:trPr>
        <w:tc>
          <w:tcPr>
            <w:tcW w:w="1913" w:type="dxa"/>
            <w:tcBorders>
              <w:left w:val="nil"/>
              <w:right w:val="single" w:sz="4" w:space="0" w:color="auto"/>
            </w:tcBorders>
            <w:hideMark/>
          </w:tcPr>
          <w:p w14:paraId="0185735A"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Gyeonggi</w:t>
            </w:r>
          </w:p>
        </w:tc>
        <w:tc>
          <w:tcPr>
            <w:tcW w:w="1309" w:type="dxa"/>
            <w:tcBorders>
              <w:left w:val="single" w:sz="4" w:space="0" w:color="auto"/>
              <w:right w:val="single" w:sz="4" w:space="0" w:color="auto"/>
            </w:tcBorders>
            <w:noWrap/>
            <w:vAlign w:val="center"/>
            <w:hideMark/>
          </w:tcPr>
          <w:p w14:paraId="77A6FE49" w14:textId="4AF1BA9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3,229,747 </w:t>
            </w:r>
          </w:p>
        </w:tc>
        <w:tc>
          <w:tcPr>
            <w:tcW w:w="1310" w:type="dxa"/>
            <w:tcBorders>
              <w:left w:val="single" w:sz="4" w:space="0" w:color="auto"/>
              <w:right w:val="single" w:sz="4" w:space="0" w:color="auto"/>
            </w:tcBorders>
            <w:noWrap/>
            <w:vAlign w:val="center"/>
            <w:hideMark/>
          </w:tcPr>
          <w:p w14:paraId="5C76385F" w14:textId="368F45B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206,317 </w:t>
            </w:r>
          </w:p>
        </w:tc>
        <w:tc>
          <w:tcPr>
            <w:tcW w:w="1310" w:type="dxa"/>
            <w:tcBorders>
              <w:left w:val="single" w:sz="4" w:space="0" w:color="auto"/>
              <w:right w:val="single" w:sz="4" w:space="0" w:color="auto"/>
            </w:tcBorders>
            <w:noWrap/>
            <w:vAlign w:val="center"/>
            <w:hideMark/>
          </w:tcPr>
          <w:p w14:paraId="3E5D71A6" w14:textId="317131D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6.39</w:t>
            </w:r>
          </w:p>
        </w:tc>
        <w:tc>
          <w:tcPr>
            <w:tcW w:w="1310" w:type="dxa"/>
            <w:tcBorders>
              <w:left w:val="single" w:sz="4" w:space="0" w:color="auto"/>
              <w:right w:val="single" w:sz="4" w:space="0" w:color="auto"/>
            </w:tcBorders>
            <w:noWrap/>
            <w:vAlign w:val="center"/>
            <w:hideMark/>
          </w:tcPr>
          <w:p w14:paraId="21DDBEAE" w14:textId="5E915107"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139,677 </w:t>
            </w:r>
          </w:p>
        </w:tc>
        <w:tc>
          <w:tcPr>
            <w:tcW w:w="1310" w:type="dxa"/>
            <w:tcBorders>
              <w:left w:val="single" w:sz="4" w:space="0" w:color="auto"/>
              <w:right w:val="single" w:sz="4" w:space="0" w:color="auto"/>
            </w:tcBorders>
            <w:noWrap/>
            <w:vAlign w:val="center"/>
            <w:hideMark/>
          </w:tcPr>
          <w:p w14:paraId="52E8D6BA" w14:textId="07DE708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60,864 </w:t>
            </w:r>
          </w:p>
        </w:tc>
        <w:tc>
          <w:tcPr>
            <w:tcW w:w="1310" w:type="dxa"/>
            <w:tcBorders>
              <w:left w:val="single" w:sz="4" w:space="0" w:color="auto"/>
              <w:right w:val="single" w:sz="4" w:space="0" w:color="auto"/>
            </w:tcBorders>
            <w:noWrap/>
            <w:vAlign w:val="center"/>
            <w:hideMark/>
          </w:tcPr>
          <w:p w14:paraId="49827C48" w14:textId="7B8FD5F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5,777 </w:t>
            </w:r>
          </w:p>
        </w:tc>
        <w:tc>
          <w:tcPr>
            <w:tcW w:w="1310" w:type="dxa"/>
            <w:tcBorders>
              <w:left w:val="single" w:sz="4" w:space="0" w:color="auto"/>
              <w:right w:val="single" w:sz="4" w:space="0" w:color="auto"/>
            </w:tcBorders>
            <w:noWrap/>
            <w:vAlign w:val="center"/>
            <w:hideMark/>
          </w:tcPr>
          <w:p w14:paraId="2DE6A069" w14:textId="5810464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896,213 </w:t>
            </w:r>
          </w:p>
        </w:tc>
        <w:tc>
          <w:tcPr>
            <w:tcW w:w="1310" w:type="dxa"/>
            <w:tcBorders>
              <w:left w:val="single" w:sz="4" w:space="0" w:color="auto"/>
              <w:right w:val="single" w:sz="4" w:space="0" w:color="auto"/>
            </w:tcBorders>
            <w:noWrap/>
            <w:vAlign w:val="center"/>
            <w:hideMark/>
          </w:tcPr>
          <w:p w14:paraId="03A4B636" w14:textId="03654B8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27.75</w:t>
            </w:r>
          </w:p>
        </w:tc>
        <w:tc>
          <w:tcPr>
            <w:tcW w:w="1310" w:type="dxa"/>
            <w:tcBorders>
              <w:left w:val="single" w:sz="4" w:space="0" w:color="auto"/>
            </w:tcBorders>
            <w:noWrap/>
            <w:vAlign w:val="center"/>
            <w:hideMark/>
          </w:tcPr>
          <w:p w14:paraId="60EEF5D4" w14:textId="600FD1F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1,035,890 </w:t>
            </w:r>
          </w:p>
        </w:tc>
      </w:tr>
      <w:tr w:rsidR="00AF4B2A" w:rsidRPr="00DD0594" w14:paraId="4DF5E5A0" w14:textId="77777777" w:rsidTr="00AF4B2A">
        <w:trPr>
          <w:trHeight w:val="330"/>
        </w:trPr>
        <w:tc>
          <w:tcPr>
            <w:tcW w:w="1913" w:type="dxa"/>
            <w:tcBorders>
              <w:left w:val="nil"/>
              <w:right w:val="single" w:sz="4" w:space="0" w:color="auto"/>
            </w:tcBorders>
            <w:hideMark/>
          </w:tcPr>
          <w:p w14:paraId="5067CB8A"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Gangwon</w:t>
            </w:r>
          </w:p>
        </w:tc>
        <w:tc>
          <w:tcPr>
            <w:tcW w:w="1309" w:type="dxa"/>
            <w:tcBorders>
              <w:left w:val="single" w:sz="4" w:space="0" w:color="auto"/>
              <w:right w:val="single" w:sz="4" w:space="0" w:color="auto"/>
            </w:tcBorders>
            <w:noWrap/>
            <w:vAlign w:val="center"/>
            <w:hideMark/>
          </w:tcPr>
          <w:p w14:paraId="38F8482C" w14:textId="59F79D1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520,150 </w:t>
            </w:r>
          </w:p>
        </w:tc>
        <w:tc>
          <w:tcPr>
            <w:tcW w:w="1310" w:type="dxa"/>
            <w:tcBorders>
              <w:left w:val="single" w:sz="4" w:space="0" w:color="auto"/>
              <w:right w:val="single" w:sz="4" w:space="0" w:color="auto"/>
            </w:tcBorders>
            <w:noWrap/>
            <w:vAlign w:val="center"/>
            <w:hideMark/>
          </w:tcPr>
          <w:p w14:paraId="27F58E10" w14:textId="0B53694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37,108 </w:t>
            </w:r>
          </w:p>
        </w:tc>
        <w:tc>
          <w:tcPr>
            <w:tcW w:w="1310" w:type="dxa"/>
            <w:tcBorders>
              <w:left w:val="single" w:sz="4" w:space="0" w:color="auto"/>
              <w:right w:val="single" w:sz="4" w:space="0" w:color="auto"/>
            </w:tcBorders>
            <w:noWrap/>
            <w:vAlign w:val="center"/>
            <w:hideMark/>
          </w:tcPr>
          <w:p w14:paraId="1257B9A2" w14:textId="19FBB44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7.13</w:t>
            </w:r>
          </w:p>
        </w:tc>
        <w:tc>
          <w:tcPr>
            <w:tcW w:w="1310" w:type="dxa"/>
            <w:tcBorders>
              <w:left w:val="single" w:sz="4" w:space="0" w:color="auto"/>
              <w:right w:val="single" w:sz="4" w:space="0" w:color="auto"/>
            </w:tcBorders>
            <w:noWrap/>
            <w:vAlign w:val="center"/>
            <w:hideMark/>
          </w:tcPr>
          <w:p w14:paraId="4A7929B5" w14:textId="683F9A3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25,122 </w:t>
            </w:r>
          </w:p>
        </w:tc>
        <w:tc>
          <w:tcPr>
            <w:tcW w:w="1310" w:type="dxa"/>
            <w:tcBorders>
              <w:left w:val="single" w:sz="4" w:space="0" w:color="auto"/>
              <w:right w:val="single" w:sz="4" w:space="0" w:color="auto"/>
            </w:tcBorders>
            <w:noWrap/>
            <w:vAlign w:val="center"/>
            <w:hideMark/>
          </w:tcPr>
          <w:p w14:paraId="2541E4E4" w14:textId="6B0C70C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10,947 </w:t>
            </w:r>
          </w:p>
        </w:tc>
        <w:tc>
          <w:tcPr>
            <w:tcW w:w="1310" w:type="dxa"/>
            <w:tcBorders>
              <w:left w:val="single" w:sz="4" w:space="0" w:color="auto"/>
              <w:right w:val="single" w:sz="4" w:space="0" w:color="auto"/>
            </w:tcBorders>
            <w:noWrap/>
            <w:vAlign w:val="center"/>
            <w:hideMark/>
          </w:tcPr>
          <w:p w14:paraId="6BF6B406" w14:textId="574F1D4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1,039 </w:t>
            </w:r>
          </w:p>
        </w:tc>
        <w:tc>
          <w:tcPr>
            <w:tcW w:w="1310" w:type="dxa"/>
            <w:tcBorders>
              <w:left w:val="single" w:sz="4" w:space="0" w:color="auto"/>
              <w:right w:val="single" w:sz="4" w:space="0" w:color="auto"/>
            </w:tcBorders>
            <w:noWrap/>
            <w:vAlign w:val="center"/>
            <w:hideMark/>
          </w:tcPr>
          <w:p w14:paraId="72654908" w14:textId="1122A28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145,608 </w:t>
            </w:r>
          </w:p>
        </w:tc>
        <w:tc>
          <w:tcPr>
            <w:tcW w:w="1310" w:type="dxa"/>
            <w:tcBorders>
              <w:left w:val="single" w:sz="4" w:space="0" w:color="auto"/>
              <w:right w:val="single" w:sz="4" w:space="0" w:color="auto"/>
            </w:tcBorders>
            <w:noWrap/>
            <w:vAlign w:val="center"/>
            <w:hideMark/>
          </w:tcPr>
          <w:p w14:paraId="32AFA5AD" w14:textId="78C1F34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27.99</w:t>
            </w:r>
          </w:p>
        </w:tc>
        <w:tc>
          <w:tcPr>
            <w:tcW w:w="1310" w:type="dxa"/>
            <w:tcBorders>
              <w:left w:val="single" w:sz="4" w:space="0" w:color="auto"/>
            </w:tcBorders>
            <w:noWrap/>
            <w:vAlign w:val="center"/>
            <w:hideMark/>
          </w:tcPr>
          <w:p w14:paraId="1773BBBC" w14:textId="439FBE2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170,730 </w:t>
            </w:r>
          </w:p>
        </w:tc>
      </w:tr>
      <w:tr w:rsidR="00AF4B2A" w:rsidRPr="00DD0594" w14:paraId="2F498776" w14:textId="77777777" w:rsidTr="00AF4B2A">
        <w:trPr>
          <w:trHeight w:val="660"/>
        </w:trPr>
        <w:tc>
          <w:tcPr>
            <w:tcW w:w="1913" w:type="dxa"/>
            <w:tcBorders>
              <w:left w:val="nil"/>
              <w:right w:val="single" w:sz="4" w:space="0" w:color="auto"/>
            </w:tcBorders>
            <w:hideMark/>
          </w:tcPr>
          <w:p w14:paraId="0B1A3CFE"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Chungcheongbuk-do (Chungbuk)</w:t>
            </w:r>
          </w:p>
        </w:tc>
        <w:tc>
          <w:tcPr>
            <w:tcW w:w="1309" w:type="dxa"/>
            <w:tcBorders>
              <w:left w:val="single" w:sz="4" w:space="0" w:color="auto"/>
              <w:right w:val="single" w:sz="4" w:space="0" w:color="auto"/>
            </w:tcBorders>
            <w:noWrap/>
            <w:vAlign w:val="center"/>
            <w:hideMark/>
          </w:tcPr>
          <w:p w14:paraId="08A28377" w14:textId="624E5DF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479,937 </w:t>
            </w:r>
          </w:p>
        </w:tc>
        <w:tc>
          <w:tcPr>
            <w:tcW w:w="1310" w:type="dxa"/>
            <w:tcBorders>
              <w:left w:val="single" w:sz="4" w:space="0" w:color="auto"/>
              <w:right w:val="single" w:sz="4" w:space="0" w:color="auto"/>
            </w:tcBorders>
            <w:noWrap/>
            <w:vAlign w:val="center"/>
            <w:hideMark/>
          </w:tcPr>
          <w:p w14:paraId="5D9A1FA1" w14:textId="7376D1D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33,505 </w:t>
            </w:r>
          </w:p>
        </w:tc>
        <w:tc>
          <w:tcPr>
            <w:tcW w:w="1310" w:type="dxa"/>
            <w:tcBorders>
              <w:left w:val="single" w:sz="4" w:space="0" w:color="auto"/>
              <w:right w:val="single" w:sz="4" w:space="0" w:color="auto"/>
            </w:tcBorders>
            <w:noWrap/>
            <w:vAlign w:val="center"/>
            <w:hideMark/>
          </w:tcPr>
          <w:p w14:paraId="7CBC548D" w14:textId="305D4FD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6.98</w:t>
            </w:r>
          </w:p>
        </w:tc>
        <w:tc>
          <w:tcPr>
            <w:tcW w:w="1310" w:type="dxa"/>
            <w:tcBorders>
              <w:left w:val="single" w:sz="4" w:space="0" w:color="auto"/>
              <w:right w:val="single" w:sz="4" w:space="0" w:color="auto"/>
            </w:tcBorders>
            <w:noWrap/>
            <w:vAlign w:val="center"/>
            <w:hideMark/>
          </w:tcPr>
          <w:p w14:paraId="6004A918" w14:textId="06CDCFF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22,683 </w:t>
            </w:r>
          </w:p>
        </w:tc>
        <w:tc>
          <w:tcPr>
            <w:tcW w:w="1310" w:type="dxa"/>
            <w:tcBorders>
              <w:left w:val="single" w:sz="4" w:space="0" w:color="auto"/>
              <w:right w:val="single" w:sz="4" w:space="0" w:color="auto"/>
            </w:tcBorders>
            <w:noWrap/>
            <w:vAlign w:val="center"/>
            <w:hideMark/>
          </w:tcPr>
          <w:p w14:paraId="2DD7F1EF" w14:textId="20B0FCA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9,884 </w:t>
            </w:r>
          </w:p>
        </w:tc>
        <w:tc>
          <w:tcPr>
            <w:tcW w:w="1310" w:type="dxa"/>
            <w:tcBorders>
              <w:left w:val="single" w:sz="4" w:space="0" w:color="auto"/>
              <w:right w:val="single" w:sz="4" w:space="0" w:color="auto"/>
            </w:tcBorders>
            <w:noWrap/>
            <w:vAlign w:val="center"/>
            <w:hideMark/>
          </w:tcPr>
          <w:p w14:paraId="50692D19" w14:textId="40DA0B3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938 </w:t>
            </w:r>
          </w:p>
        </w:tc>
        <w:tc>
          <w:tcPr>
            <w:tcW w:w="1310" w:type="dxa"/>
            <w:tcBorders>
              <w:left w:val="single" w:sz="4" w:space="0" w:color="auto"/>
              <w:right w:val="single" w:sz="4" w:space="0" w:color="auto"/>
            </w:tcBorders>
            <w:noWrap/>
            <w:vAlign w:val="center"/>
            <w:hideMark/>
          </w:tcPr>
          <w:p w14:paraId="6DF3F8AA" w14:textId="07ECB6F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134,052 </w:t>
            </w:r>
          </w:p>
        </w:tc>
        <w:tc>
          <w:tcPr>
            <w:tcW w:w="1310" w:type="dxa"/>
            <w:tcBorders>
              <w:left w:val="single" w:sz="4" w:space="0" w:color="auto"/>
              <w:right w:val="single" w:sz="4" w:space="0" w:color="auto"/>
            </w:tcBorders>
            <w:noWrap/>
            <w:vAlign w:val="center"/>
            <w:hideMark/>
          </w:tcPr>
          <w:p w14:paraId="439770C4" w14:textId="1F34CD5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27.93</w:t>
            </w:r>
          </w:p>
        </w:tc>
        <w:tc>
          <w:tcPr>
            <w:tcW w:w="1310" w:type="dxa"/>
            <w:tcBorders>
              <w:left w:val="single" w:sz="4" w:space="0" w:color="auto"/>
            </w:tcBorders>
            <w:noWrap/>
            <w:vAlign w:val="center"/>
            <w:hideMark/>
          </w:tcPr>
          <w:p w14:paraId="23CDF555" w14:textId="47B7779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156,735 </w:t>
            </w:r>
          </w:p>
        </w:tc>
      </w:tr>
      <w:tr w:rsidR="00AF4B2A" w:rsidRPr="00DD0594" w14:paraId="788A836C" w14:textId="77777777" w:rsidTr="00AF4B2A">
        <w:trPr>
          <w:trHeight w:val="660"/>
        </w:trPr>
        <w:tc>
          <w:tcPr>
            <w:tcW w:w="1913" w:type="dxa"/>
            <w:tcBorders>
              <w:left w:val="nil"/>
              <w:right w:val="single" w:sz="4" w:space="0" w:color="auto"/>
            </w:tcBorders>
            <w:hideMark/>
          </w:tcPr>
          <w:p w14:paraId="1C37C212"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Chungcheongnam-do (Chungnam)</w:t>
            </w:r>
          </w:p>
        </w:tc>
        <w:tc>
          <w:tcPr>
            <w:tcW w:w="1309" w:type="dxa"/>
            <w:tcBorders>
              <w:left w:val="single" w:sz="4" w:space="0" w:color="auto"/>
              <w:right w:val="single" w:sz="4" w:space="0" w:color="auto"/>
            </w:tcBorders>
            <w:noWrap/>
            <w:vAlign w:val="center"/>
            <w:hideMark/>
          </w:tcPr>
          <w:p w14:paraId="221CF632" w14:textId="64740A5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642,790 </w:t>
            </w:r>
          </w:p>
        </w:tc>
        <w:tc>
          <w:tcPr>
            <w:tcW w:w="1310" w:type="dxa"/>
            <w:tcBorders>
              <w:left w:val="single" w:sz="4" w:space="0" w:color="auto"/>
              <w:right w:val="single" w:sz="4" w:space="0" w:color="auto"/>
            </w:tcBorders>
            <w:noWrap/>
            <w:vAlign w:val="center"/>
            <w:hideMark/>
          </w:tcPr>
          <w:p w14:paraId="4C1DA4D8" w14:textId="52BE6D3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47,696 </w:t>
            </w:r>
          </w:p>
        </w:tc>
        <w:tc>
          <w:tcPr>
            <w:tcW w:w="1310" w:type="dxa"/>
            <w:tcBorders>
              <w:left w:val="single" w:sz="4" w:space="0" w:color="auto"/>
              <w:right w:val="single" w:sz="4" w:space="0" w:color="auto"/>
            </w:tcBorders>
            <w:noWrap/>
            <w:vAlign w:val="center"/>
            <w:hideMark/>
          </w:tcPr>
          <w:p w14:paraId="2849D3A7" w14:textId="6E70081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7.42</w:t>
            </w:r>
          </w:p>
        </w:tc>
        <w:tc>
          <w:tcPr>
            <w:tcW w:w="1310" w:type="dxa"/>
            <w:tcBorders>
              <w:left w:val="single" w:sz="4" w:space="0" w:color="auto"/>
              <w:right w:val="single" w:sz="4" w:space="0" w:color="auto"/>
            </w:tcBorders>
            <w:noWrap/>
            <w:vAlign w:val="center"/>
            <w:hideMark/>
          </w:tcPr>
          <w:p w14:paraId="334977B3" w14:textId="5AF2DD34"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32,290 </w:t>
            </w:r>
          </w:p>
        </w:tc>
        <w:tc>
          <w:tcPr>
            <w:tcW w:w="1310" w:type="dxa"/>
            <w:tcBorders>
              <w:left w:val="single" w:sz="4" w:space="0" w:color="auto"/>
              <w:right w:val="single" w:sz="4" w:space="0" w:color="auto"/>
            </w:tcBorders>
            <w:noWrap/>
            <w:vAlign w:val="center"/>
            <w:hideMark/>
          </w:tcPr>
          <w:p w14:paraId="2481D330" w14:textId="321CEA2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14,070 </w:t>
            </w:r>
          </w:p>
        </w:tc>
        <w:tc>
          <w:tcPr>
            <w:tcW w:w="1310" w:type="dxa"/>
            <w:tcBorders>
              <w:left w:val="single" w:sz="4" w:space="0" w:color="auto"/>
              <w:right w:val="single" w:sz="4" w:space="0" w:color="auto"/>
            </w:tcBorders>
            <w:noWrap/>
            <w:vAlign w:val="center"/>
            <w:hideMark/>
          </w:tcPr>
          <w:p w14:paraId="238FA504" w14:textId="1A4EF6D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1,335 </w:t>
            </w:r>
          </w:p>
        </w:tc>
        <w:tc>
          <w:tcPr>
            <w:tcW w:w="1310" w:type="dxa"/>
            <w:tcBorders>
              <w:left w:val="single" w:sz="4" w:space="0" w:color="auto"/>
              <w:right w:val="single" w:sz="4" w:space="0" w:color="auto"/>
            </w:tcBorders>
            <w:noWrap/>
            <w:vAlign w:val="center"/>
            <w:hideMark/>
          </w:tcPr>
          <w:p w14:paraId="58BA565B" w14:textId="625F68F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180,841 </w:t>
            </w:r>
          </w:p>
        </w:tc>
        <w:tc>
          <w:tcPr>
            <w:tcW w:w="1310" w:type="dxa"/>
            <w:tcBorders>
              <w:left w:val="single" w:sz="4" w:space="0" w:color="auto"/>
              <w:right w:val="single" w:sz="4" w:space="0" w:color="auto"/>
            </w:tcBorders>
            <w:noWrap/>
            <w:vAlign w:val="center"/>
            <w:hideMark/>
          </w:tcPr>
          <w:p w14:paraId="7F8FBAF8" w14:textId="0149EE8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28.13</w:t>
            </w:r>
          </w:p>
        </w:tc>
        <w:tc>
          <w:tcPr>
            <w:tcW w:w="1310" w:type="dxa"/>
            <w:tcBorders>
              <w:left w:val="single" w:sz="4" w:space="0" w:color="auto"/>
            </w:tcBorders>
            <w:noWrap/>
            <w:vAlign w:val="center"/>
            <w:hideMark/>
          </w:tcPr>
          <w:p w14:paraId="4804BB19" w14:textId="0C503FA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213,131 </w:t>
            </w:r>
          </w:p>
        </w:tc>
      </w:tr>
      <w:tr w:rsidR="00AF4B2A" w:rsidRPr="00DD0594" w14:paraId="45E0DD76" w14:textId="77777777" w:rsidTr="00AF4B2A">
        <w:trPr>
          <w:trHeight w:val="660"/>
        </w:trPr>
        <w:tc>
          <w:tcPr>
            <w:tcW w:w="1913" w:type="dxa"/>
            <w:tcBorders>
              <w:left w:val="nil"/>
              <w:right w:val="single" w:sz="4" w:space="0" w:color="auto"/>
            </w:tcBorders>
            <w:hideMark/>
          </w:tcPr>
          <w:p w14:paraId="6D85AFE1"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Jeollabuk-do (Jeonbuk)</w:t>
            </w:r>
          </w:p>
        </w:tc>
        <w:tc>
          <w:tcPr>
            <w:tcW w:w="1309" w:type="dxa"/>
            <w:tcBorders>
              <w:left w:val="single" w:sz="4" w:space="0" w:color="auto"/>
              <w:right w:val="single" w:sz="4" w:space="0" w:color="auto"/>
            </w:tcBorders>
            <w:noWrap/>
            <w:vAlign w:val="center"/>
            <w:hideMark/>
          </w:tcPr>
          <w:p w14:paraId="3CB936DC" w14:textId="7DA6D39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583,647 </w:t>
            </w:r>
          </w:p>
        </w:tc>
        <w:tc>
          <w:tcPr>
            <w:tcW w:w="1310" w:type="dxa"/>
            <w:tcBorders>
              <w:left w:val="single" w:sz="4" w:space="0" w:color="auto"/>
              <w:right w:val="single" w:sz="4" w:space="0" w:color="auto"/>
            </w:tcBorders>
            <w:noWrap/>
            <w:vAlign w:val="center"/>
            <w:hideMark/>
          </w:tcPr>
          <w:p w14:paraId="287A73F5" w14:textId="0411339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44,418 </w:t>
            </w:r>
          </w:p>
        </w:tc>
        <w:tc>
          <w:tcPr>
            <w:tcW w:w="1310" w:type="dxa"/>
            <w:tcBorders>
              <w:left w:val="single" w:sz="4" w:space="0" w:color="auto"/>
              <w:right w:val="single" w:sz="4" w:space="0" w:color="auto"/>
            </w:tcBorders>
            <w:noWrap/>
            <w:vAlign w:val="center"/>
            <w:hideMark/>
          </w:tcPr>
          <w:p w14:paraId="7CBF5644" w14:textId="22F532B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7.61</w:t>
            </w:r>
          </w:p>
        </w:tc>
        <w:tc>
          <w:tcPr>
            <w:tcW w:w="1310" w:type="dxa"/>
            <w:tcBorders>
              <w:left w:val="single" w:sz="4" w:space="0" w:color="auto"/>
              <w:right w:val="single" w:sz="4" w:space="0" w:color="auto"/>
            </w:tcBorders>
            <w:noWrap/>
            <w:vAlign w:val="center"/>
            <w:hideMark/>
          </w:tcPr>
          <w:p w14:paraId="535D6DDB" w14:textId="33A6C6C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30,071 </w:t>
            </w:r>
          </w:p>
        </w:tc>
        <w:tc>
          <w:tcPr>
            <w:tcW w:w="1310" w:type="dxa"/>
            <w:tcBorders>
              <w:left w:val="single" w:sz="4" w:space="0" w:color="auto"/>
              <w:right w:val="single" w:sz="4" w:space="0" w:color="auto"/>
            </w:tcBorders>
            <w:noWrap/>
            <w:vAlign w:val="center"/>
            <w:hideMark/>
          </w:tcPr>
          <w:p w14:paraId="424C4DD7" w14:textId="2023D02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13,103 </w:t>
            </w:r>
          </w:p>
        </w:tc>
        <w:tc>
          <w:tcPr>
            <w:tcW w:w="1310" w:type="dxa"/>
            <w:tcBorders>
              <w:left w:val="single" w:sz="4" w:space="0" w:color="auto"/>
              <w:right w:val="single" w:sz="4" w:space="0" w:color="auto"/>
            </w:tcBorders>
            <w:noWrap/>
            <w:vAlign w:val="center"/>
            <w:hideMark/>
          </w:tcPr>
          <w:p w14:paraId="0452FE6F" w14:textId="18F438B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1,244 </w:t>
            </w:r>
          </w:p>
        </w:tc>
        <w:tc>
          <w:tcPr>
            <w:tcW w:w="1310" w:type="dxa"/>
            <w:tcBorders>
              <w:left w:val="single" w:sz="4" w:space="0" w:color="auto"/>
              <w:right w:val="single" w:sz="4" w:space="0" w:color="auto"/>
            </w:tcBorders>
            <w:noWrap/>
            <w:vAlign w:val="center"/>
            <w:hideMark/>
          </w:tcPr>
          <w:p w14:paraId="7EF7AD2E" w14:textId="6C2F8257"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164,246 </w:t>
            </w:r>
          </w:p>
        </w:tc>
        <w:tc>
          <w:tcPr>
            <w:tcW w:w="1310" w:type="dxa"/>
            <w:tcBorders>
              <w:left w:val="single" w:sz="4" w:space="0" w:color="auto"/>
              <w:right w:val="single" w:sz="4" w:space="0" w:color="auto"/>
            </w:tcBorders>
            <w:noWrap/>
            <w:vAlign w:val="center"/>
            <w:hideMark/>
          </w:tcPr>
          <w:p w14:paraId="7EBBBB23" w14:textId="75A82B9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28.14</w:t>
            </w:r>
          </w:p>
        </w:tc>
        <w:tc>
          <w:tcPr>
            <w:tcW w:w="1310" w:type="dxa"/>
            <w:tcBorders>
              <w:left w:val="single" w:sz="4" w:space="0" w:color="auto"/>
            </w:tcBorders>
            <w:noWrap/>
            <w:vAlign w:val="center"/>
            <w:hideMark/>
          </w:tcPr>
          <w:p w14:paraId="0307309E" w14:textId="4F9DB7A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194,317 </w:t>
            </w:r>
          </w:p>
        </w:tc>
      </w:tr>
      <w:tr w:rsidR="00AF4B2A" w:rsidRPr="00DD0594" w14:paraId="2D2EFA94" w14:textId="77777777" w:rsidTr="00AF4B2A">
        <w:trPr>
          <w:trHeight w:val="660"/>
        </w:trPr>
        <w:tc>
          <w:tcPr>
            <w:tcW w:w="1913" w:type="dxa"/>
            <w:tcBorders>
              <w:left w:val="nil"/>
              <w:right w:val="single" w:sz="4" w:space="0" w:color="auto"/>
            </w:tcBorders>
            <w:hideMark/>
          </w:tcPr>
          <w:p w14:paraId="42E38162"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Jeollanam-do (Jeonnam)</w:t>
            </w:r>
          </w:p>
        </w:tc>
        <w:tc>
          <w:tcPr>
            <w:tcW w:w="1309" w:type="dxa"/>
            <w:tcBorders>
              <w:left w:val="single" w:sz="4" w:space="0" w:color="auto"/>
              <w:right w:val="single" w:sz="4" w:space="0" w:color="auto"/>
            </w:tcBorders>
            <w:noWrap/>
            <w:vAlign w:val="center"/>
            <w:hideMark/>
          </w:tcPr>
          <w:p w14:paraId="2CE76A57" w14:textId="709B02C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644,158 </w:t>
            </w:r>
          </w:p>
        </w:tc>
        <w:tc>
          <w:tcPr>
            <w:tcW w:w="1310" w:type="dxa"/>
            <w:tcBorders>
              <w:left w:val="single" w:sz="4" w:space="0" w:color="auto"/>
              <w:right w:val="single" w:sz="4" w:space="0" w:color="auto"/>
            </w:tcBorders>
            <w:noWrap/>
            <w:vAlign w:val="center"/>
            <w:hideMark/>
          </w:tcPr>
          <w:p w14:paraId="44E747FF" w14:textId="05C6F50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50,855 </w:t>
            </w:r>
          </w:p>
        </w:tc>
        <w:tc>
          <w:tcPr>
            <w:tcW w:w="1310" w:type="dxa"/>
            <w:tcBorders>
              <w:left w:val="single" w:sz="4" w:space="0" w:color="auto"/>
              <w:right w:val="single" w:sz="4" w:space="0" w:color="auto"/>
            </w:tcBorders>
            <w:noWrap/>
            <w:vAlign w:val="center"/>
            <w:hideMark/>
          </w:tcPr>
          <w:p w14:paraId="77C1EAE8" w14:textId="3CB2A18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7.89</w:t>
            </w:r>
          </w:p>
        </w:tc>
        <w:tc>
          <w:tcPr>
            <w:tcW w:w="1310" w:type="dxa"/>
            <w:tcBorders>
              <w:left w:val="single" w:sz="4" w:space="0" w:color="auto"/>
              <w:right w:val="single" w:sz="4" w:space="0" w:color="auto"/>
            </w:tcBorders>
            <w:noWrap/>
            <w:vAlign w:val="center"/>
            <w:hideMark/>
          </w:tcPr>
          <w:p w14:paraId="655DCE59" w14:textId="2BEC64C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34,429 </w:t>
            </w:r>
          </w:p>
        </w:tc>
        <w:tc>
          <w:tcPr>
            <w:tcW w:w="1310" w:type="dxa"/>
            <w:tcBorders>
              <w:left w:val="single" w:sz="4" w:space="0" w:color="auto"/>
              <w:right w:val="single" w:sz="4" w:space="0" w:color="auto"/>
            </w:tcBorders>
            <w:noWrap/>
            <w:vAlign w:val="center"/>
            <w:hideMark/>
          </w:tcPr>
          <w:p w14:paraId="5AC22723" w14:textId="26E410B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15,002 </w:t>
            </w:r>
          </w:p>
        </w:tc>
        <w:tc>
          <w:tcPr>
            <w:tcW w:w="1310" w:type="dxa"/>
            <w:tcBorders>
              <w:left w:val="single" w:sz="4" w:space="0" w:color="auto"/>
              <w:right w:val="single" w:sz="4" w:space="0" w:color="auto"/>
            </w:tcBorders>
            <w:noWrap/>
            <w:vAlign w:val="center"/>
            <w:hideMark/>
          </w:tcPr>
          <w:p w14:paraId="65645EC0" w14:textId="1662538A"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1,424 </w:t>
            </w:r>
          </w:p>
        </w:tc>
        <w:tc>
          <w:tcPr>
            <w:tcW w:w="1310" w:type="dxa"/>
            <w:tcBorders>
              <w:left w:val="single" w:sz="4" w:space="0" w:color="auto"/>
              <w:right w:val="single" w:sz="4" w:space="0" w:color="auto"/>
            </w:tcBorders>
            <w:noWrap/>
            <w:vAlign w:val="center"/>
            <w:hideMark/>
          </w:tcPr>
          <w:p w14:paraId="5693E150" w14:textId="552B8FC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182,337 </w:t>
            </w:r>
          </w:p>
        </w:tc>
        <w:tc>
          <w:tcPr>
            <w:tcW w:w="1310" w:type="dxa"/>
            <w:tcBorders>
              <w:left w:val="single" w:sz="4" w:space="0" w:color="auto"/>
              <w:right w:val="single" w:sz="4" w:space="0" w:color="auto"/>
            </w:tcBorders>
            <w:noWrap/>
            <w:vAlign w:val="center"/>
            <w:hideMark/>
          </w:tcPr>
          <w:p w14:paraId="023793AE" w14:textId="03388DE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28.31</w:t>
            </w:r>
          </w:p>
        </w:tc>
        <w:tc>
          <w:tcPr>
            <w:tcW w:w="1310" w:type="dxa"/>
            <w:tcBorders>
              <w:left w:val="single" w:sz="4" w:space="0" w:color="auto"/>
            </w:tcBorders>
            <w:noWrap/>
            <w:vAlign w:val="center"/>
            <w:hideMark/>
          </w:tcPr>
          <w:p w14:paraId="292936FB" w14:textId="2BA9B0D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216,766 </w:t>
            </w:r>
          </w:p>
        </w:tc>
      </w:tr>
      <w:tr w:rsidR="00AF4B2A" w:rsidRPr="00DD0594" w14:paraId="56BBA647" w14:textId="77777777" w:rsidTr="00AF4B2A">
        <w:trPr>
          <w:trHeight w:val="660"/>
        </w:trPr>
        <w:tc>
          <w:tcPr>
            <w:tcW w:w="1913" w:type="dxa"/>
            <w:tcBorders>
              <w:left w:val="nil"/>
              <w:right w:val="single" w:sz="4" w:space="0" w:color="auto"/>
            </w:tcBorders>
            <w:hideMark/>
          </w:tcPr>
          <w:p w14:paraId="5425F17A"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lastRenderedPageBreak/>
              <w:t>Gyeongsangbuk-do (Gyeongbuk)</w:t>
            </w:r>
          </w:p>
        </w:tc>
        <w:tc>
          <w:tcPr>
            <w:tcW w:w="1309" w:type="dxa"/>
            <w:tcBorders>
              <w:left w:val="single" w:sz="4" w:space="0" w:color="auto"/>
              <w:right w:val="single" w:sz="4" w:space="0" w:color="auto"/>
            </w:tcBorders>
            <w:noWrap/>
            <w:vAlign w:val="center"/>
            <w:hideMark/>
          </w:tcPr>
          <w:p w14:paraId="4EADB9A6" w14:textId="27F2DA1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885,202 </w:t>
            </w:r>
          </w:p>
        </w:tc>
        <w:tc>
          <w:tcPr>
            <w:tcW w:w="1310" w:type="dxa"/>
            <w:tcBorders>
              <w:left w:val="single" w:sz="4" w:space="0" w:color="auto"/>
              <w:right w:val="single" w:sz="4" w:space="0" w:color="auto"/>
            </w:tcBorders>
            <w:noWrap/>
            <w:vAlign w:val="center"/>
            <w:hideMark/>
          </w:tcPr>
          <w:p w14:paraId="79B7F775" w14:textId="2AA6747C"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64,778 </w:t>
            </w:r>
          </w:p>
        </w:tc>
        <w:tc>
          <w:tcPr>
            <w:tcW w:w="1310" w:type="dxa"/>
            <w:tcBorders>
              <w:left w:val="single" w:sz="4" w:space="0" w:color="auto"/>
              <w:right w:val="single" w:sz="4" w:space="0" w:color="auto"/>
            </w:tcBorders>
            <w:noWrap/>
            <w:vAlign w:val="center"/>
            <w:hideMark/>
          </w:tcPr>
          <w:p w14:paraId="219D41C3" w14:textId="4ECF8CB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7.32</w:t>
            </w:r>
          </w:p>
        </w:tc>
        <w:tc>
          <w:tcPr>
            <w:tcW w:w="1310" w:type="dxa"/>
            <w:tcBorders>
              <w:left w:val="single" w:sz="4" w:space="0" w:color="auto"/>
              <w:right w:val="single" w:sz="4" w:space="0" w:color="auto"/>
            </w:tcBorders>
            <w:noWrap/>
            <w:vAlign w:val="center"/>
            <w:hideMark/>
          </w:tcPr>
          <w:p w14:paraId="28F08BDD" w14:textId="0B572AB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43,855 </w:t>
            </w:r>
          </w:p>
        </w:tc>
        <w:tc>
          <w:tcPr>
            <w:tcW w:w="1310" w:type="dxa"/>
            <w:tcBorders>
              <w:left w:val="single" w:sz="4" w:space="0" w:color="auto"/>
              <w:right w:val="single" w:sz="4" w:space="0" w:color="auto"/>
            </w:tcBorders>
            <w:noWrap/>
            <w:vAlign w:val="center"/>
            <w:hideMark/>
          </w:tcPr>
          <w:p w14:paraId="2F3275B4" w14:textId="2A0F8D1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19,110 </w:t>
            </w:r>
          </w:p>
        </w:tc>
        <w:tc>
          <w:tcPr>
            <w:tcW w:w="1310" w:type="dxa"/>
            <w:tcBorders>
              <w:left w:val="single" w:sz="4" w:space="0" w:color="auto"/>
              <w:right w:val="single" w:sz="4" w:space="0" w:color="auto"/>
            </w:tcBorders>
            <w:noWrap/>
            <w:vAlign w:val="center"/>
            <w:hideMark/>
          </w:tcPr>
          <w:p w14:paraId="3DDA3AC1" w14:textId="31A3C16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1,814 </w:t>
            </w:r>
          </w:p>
        </w:tc>
        <w:tc>
          <w:tcPr>
            <w:tcW w:w="1310" w:type="dxa"/>
            <w:tcBorders>
              <w:left w:val="single" w:sz="4" w:space="0" w:color="auto"/>
              <w:right w:val="single" w:sz="4" w:space="0" w:color="auto"/>
            </w:tcBorders>
            <w:noWrap/>
            <w:vAlign w:val="center"/>
            <w:hideMark/>
          </w:tcPr>
          <w:p w14:paraId="780CD913" w14:textId="723F92C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247,934 </w:t>
            </w:r>
          </w:p>
        </w:tc>
        <w:tc>
          <w:tcPr>
            <w:tcW w:w="1310" w:type="dxa"/>
            <w:tcBorders>
              <w:left w:val="single" w:sz="4" w:space="0" w:color="auto"/>
              <w:right w:val="single" w:sz="4" w:space="0" w:color="auto"/>
            </w:tcBorders>
            <w:noWrap/>
            <w:vAlign w:val="center"/>
            <w:hideMark/>
          </w:tcPr>
          <w:p w14:paraId="1FF09B60" w14:textId="0BEE36D5"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28.01</w:t>
            </w:r>
          </w:p>
        </w:tc>
        <w:tc>
          <w:tcPr>
            <w:tcW w:w="1310" w:type="dxa"/>
            <w:tcBorders>
              <w:left w:val="single" w:sz="4" w:space="0" w:color="auto"/>
            </w:tcBorders>
            <w:noWrap/>
            <w:vAlign w:val="center"/>
            <w:hideMark/>
          </w:tcPr>
          <w:p w14:paraId="6C8573E2" w14:textId="4CBA43B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291,788 </w:t>
            </w:r>
          </w:p>
        </w:tc>
      </w:tr>
      <w:tr w:rsidR="00AF4B2A" w:rsidRPr="00DD0594" w14:paraId="1CBBAA80" w14:textId="77777777" w:rsidTr="00AF4B2A">
        <w:trPr>
          <w:trHeight w:val="660"/>
        </w:trPr>
        <w:tc>
          <w:tcPr>
            <w:tcW w:w="1913" w:type="dxa"/>
            <w:tcBorders>
              <w:left w:val="nil"/>
              <w:bottom w:val="nil"/>
              <w:right w:val="single" w:sz="4" w:space="0" w:color="auto"/>
            </w:tcBorders>
            <w:hideMark/>
          </w:tcPr>
          <w:p w14:paraId="6CF94DB1"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Gyeongsangnam-do (Gyeongnam)</w:t>
            </w:r>
          </w:p>
        </w:tc>
        <w:tc>
          <w:tcPr>
            <w:tcW w:w="1309" w:type="dxa"/>
            <w:tcBorders>
              <w:left w:val="single" w:sz="4" w:space="0" w:color="auto"/>
              <w:bottom w:val="nil"/>
              <w:right w:val="single" w:sz="4" w:space="0" w:color="auto"/>
            </w:tcBorders>
            <w:noWrap/>
            <w:vAlign w:val="center"/>
            <w:hideMark/>
          </w:tcPr>
          <w:p w14:paraId="332678E9" w14:textId="20C5E35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975,225 </w:t>
            </w:r>
          </w:p>
        </w:tc>
        <w:tc>
          <w:tcPr>
            <w:tcW w:w="1310" w:type="dxa"/>
            <w:tcBorders>
              <w:left w:val="single" w:sz="4" w:space="0" w:color="auto"/>
              <w:bottom w:val="nil"/>
              <w:right w:val="single" w:sz="4" w:space="0" w:color="auto"/>
            </w:tcBorders>
            <w:noWrap/>
            <w:vAlign w:val="center"/>
            <w:hideMark/>
          </w:tcPr>
          <w:p w14:paraId="65F954FD" w14:textId="62AF11C3"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66,360 </w:t>
            </w:r>
          </w:p>
        </w:tc>
        <w:tc>
          <w:tcPr>
            <w:tcW w:w="1310" w:type="dxa"/>
            <w:tcBorders>
              <w:left w:val="single" w:sz="4" w:space="0" w:color="auto"/>
              <w:bottom w:val="nil"/>
              <w:right w:val="single" w:sz="4" w:space="0" w:color="auto"/>
            </w:tcBorders>
            <w:noWrap/>
            <w:vAlign w:val="center"/>
            <w:hideMark/>
          </w:tcPr>
          <w:p w14:paraId="293E5FA7" w14:textId="7149568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6.8</w:t>
            </w:r>
          </w:p>
        </w:tc>
        <w:tc>
          <w:tcPr>
            <w:tcW w:w="1310" w:type="dxa"/>
            <w:tcBorders>
              <w:left w:val="single" w:sz="4" w:space="0" w:color="auto"/>
              <w:bottom w:val="nil"/>
              <w:right w:val="single" w:sz="4" w:space="0" w:color="auto"/>
            </w:tcBorders>
            <w:noWrap/>
            <w:vAlign w:val="center"/>
            <w:hideMark/>
          </w:tcPr>
          <w:p w14:paraId="58E8592A" w14:textId="2589807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44,925 </w:t>
            </w:r>
          </w:p>
        </w:tc>
        <w:tc>
          <w:tcPr>
            <w:tcW w:w="1310" w:type="dxa"/>
            <w:tcBorders>
              <w:left w:val="single" w:sz="4" w:space="0" w:color="auto"/>
              <w:bottom w:val="nil"/>
              <w:right w:val="single" w:sz="4" w:space="0" w:color="auto"/>
            </w:tcBorders>
            <w:noWrap/>
            <w:vAlign w:val="center"/>
            <w:hideMark/>
          </w:tcPr>
          <w:p w14:paraId="64B195BE" w14:textId="27112B3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19,576 </w:t>
            </w:r>
          </w:p>
        </w:tc>
        <w:tc>
          <w:tcPr>
            <w:tcW w:w="1310" w:type="dxa"/>
            <w:tcBorders>
              <w:left w:val="single" w:sz="4" w:space="0" w:color="auto"/>
              <w:bottom w:val="nil"/>
              <w:right w:val="single" w:sz="4" w:space="0" w:color="auto"/>
            </w:tcBorders>
            <w:noWrap/>
            <w:vAlign w:val="center"/>
            <w:hideMark/>
          </w:tcPr>
          <w:p w14:paraId="0BCA9309" w14:textId="58B3D7B6"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1,858 </w:t>
            </w:r>
          </w:p>
        </w:tc>
        <w:tc>
          <w:tcPr>
            <w:tcW w:w="1310" w:type="dxa"/>
            <w:tcBorders>
              <w:left w:val="single" w:sz="4" w:space="0" w:color="auto"/>
              <w:bottom w:val="nil"/>
              <w:right w:val="single" w:sz="4" w:space="0" w:color="auto"/>
            </w:tcBorders>
            <w:noWrap/>
            <w:vAlign w:val="center"/>
            <w:hideMark/>
          </w:tcPr>
          <w:p w14:paraId="75778128" w14:textId="06674F31"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270,872 </w:t>
            </w:r>
          </w:p>
        </w:tc>
        <w:tc>
          <w:tcPr>
            <w:tcW w:w="1310" w:type="dxa"/>
            <w:tcBorders>
              <w:left w:val="single" w:sz="4" w:space="0" w:color="auto"/>
              <w:bottom w:val="nil"/>
              <w:right w:val="single" w:sz="4" w:space="0" w:color="auto"/>
            </w:tcBorders>
            <w:noWrap/>
            <w:vAlign w:val="center"/>
            <w:hideMark/>
          </w:tcPr>
          <w:p w14:paraId="04A2C0EA" w14:textId="4455B7C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27.78</w:t>
            </w:r>
          </w:p>
        </w:tc>
        <w:tc>
          <w:tcPr>
            <w:tcW w:w="1310" w:type="dxa"/>
            <w:tcBorders>
              <w:left w:val="single" w:sz="4" w:space="0" w:color="auto"/>
              <w:bottom w:val="nil"/>
            </w:tcBorders>
            <w:noWrap/>
            <w:vAlign w:val="center"/>
            <w:hideMark/>
          </w:tcPr>
          <w:p w14:paraId="72CF7B57" w14:textId="277766B8"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315,797 </w:t>
            </w:r>
          </w:p>
        </w:tc>
      </w:tr>
      <w:tr w:rsidR="00AF4B2A" w:rsidRPr="00DD0594" w14:paraId="05523987" w14:textId="77777777" w:rsidTr="00AF4B2A">
        <w:trPr>
          <w:trHeight w:val="330"/>
        </w:trPr>
        <w:tc>
          <w:tcPr>
            <w:tcW w:w="1913" w:type="dxa"/>
            <w:tcBorders>
              <w:top w:val="nil"/>
              <w:left w:val="nil"/>
              <w:bottom w:val="single" w:sz="4" w:space="0" w:color="auto"/>
              <w:right w:val="single" w:sz="4" w:space="0" w:color="auto"/>
            </w:tcBorders>
            <w:hideMark/>
          </w:tcPr>
          <w:p w14:paraId="23917949" w14:textId="77777777" w:rsidR="00AF4B2A" w:rsidRPr="00DD0594" w:rsidRDefault="00AF4B2A" w:rsidP="00BE3CEF">
            <w:pPr>
              <w:spacing w:line="360" w:lineRule="auto"/>
              <w:rPr>
                <w:rFonts w:ascii="Arial" w:hAnsi="Arial" w:cs="Arial"/>
                <w:bCs/>
                <w:iCs/>
                <w:noProof/>
                <w:szCs w:val="20"/>
              </w:rPr>
            </w:pPr>
            <w:r w:rsidRPr="00DD0594">
              <w:rPr>
                <w:rFonts w:ascii="Arial" w:hAnsi="Arial" w:cs="Arial"/>
                <w:bCs/>
                <w:iCs/>
                <w:noProof/>
                <w:szCs w:val="20"/>
              </w:rPr>
              <w:t>Jeju</w:t>
            </w:r>
          </w:p>
        </w:tc>
        <w:tc>
          <w:tcPr>
            <w:tcW w:w="1309" w:type="dxa"/>
            <w:tcBorders>
              <w:top w:val="nil"/>
              <w:left w:val="single" w:sz="4" w:space="0" w:color="auto"/>
              <w:bottom w:val="single" w:sz="4" w:space="0" w:color="auto"/>
              <w:right w:val="single" w:sz="4" w:space="0" w:color="auto"/>
            </w:tcBorders>
            <w:noWrap/>
            <w:vAlign w:val="center"/>
            <w:hideMark/>
          </w:tcPr>
          <w:p w14:paraId="1EE6B8EB" w14:textId="2AAC6122"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175,703 </w:t>
            </w:r>
          </w:p>
        </w:tc>
        <w:tc>
          <w:tcPr>
            <w:tcW w:w="1310" w:type="dxa"/>
            <w:tcBorders>
              <w:top w:val="nil"/>
              <w:left w:val="single" w:sz="4" w:space="0" w:color="auto"/>
              <w:bottom w:val="single" w:sz="4" w:space="0" w:color="auto"/>
              <w:right w:val="single" w:sz="4" w:space="0" w:color="auto"/>
            </w:tcBorders>
            <w:noWrap/>
            <w:vAlign w:val="center"/>
            <w:hideMark/>
          </w:tcPr>
          <w:p w14:paraId="1450C938" w14:textId="32172959"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12,482 </w:t>
            </w:r>
          </w:p>
        </w:tc>
        <w:tc>
          <w:tcPr>
            <w:tcW w:w="1310" w:type="dxa"/>
            <w:tcBorders>
              <w:top w:val="nil"/>
              <w:left w:val="single" w:sz="4" w:space="0" w:color="auto"/>
              <w:bottom w:val="single" w:sz="4" w:space="0" w:color="auto"/>
              <w:right w:val="single" w:sz="4" w:space="0" w:color="auto"/>
            </w:tcBorders>
            <w:noWrap/>
            <w:vAlign w:val="center"/>
            <w:hideMark/>
          </w:tcPr>
          <w:p w14:paraId="7A442582" w14:textId="3D9A068F"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7.1</w:t>
            </w:r>
          </w:p>
        </w:tc>
        <w:tc>
          <w:tcPr>
            <w:tcW w:w="1310" w:type="dxa"/>
            <w:tcBorders>
              <w:top w:val="nil"/>
              <w:left w:val="single" w:sz="4" w:space="0" w:color="auto"/>
              <w:bottom w:val="single" w:sz="4" w:space="0" w:color="auto"/>
              <w:right w:val="single" w:sz="4" w:space="0" w:color="auto"/>
            </w:tcBorders>
            <w:noWrap/>
            <w:vAlign w:val="center"/>
            <w:hideMark/>
          </w:tcPr>
          <w:p w14:paraId="235FE6F6" w14:textId="58FA83E0"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8,450 </w:t>
            </w:r>
          </w:p>
        </w:tc>
        <w:tc>
          <w:tcPr>
            <w:tcW w:w="1310" w:type="dxa"/>
            <w:tcBorders>
              <w:top w:val="nil"/>
              <w:left w:val="single" w:sz="4" w:space="0" w:color="auto"/>
              <w:bottom w:val="single" w:sz="4" w:space="0" w:color="auto"/>
              <w:right w:val="single" w:sz="4" w:space="0" w:color="auto"/>
            </w:tcBorders>
            <w:noWrap/>
            <w:vAlign w:val="center"/>
            <w:hideMark/>
          </w:tcPr>
          <w:p w14:paraId="312C333A" w14:textId="1DA1FFBE"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3,682 </w:t>
            </w:r>
          </w:p>
        </w:tc>
        <w:tc>
          <w:tcPr>
            <w:tcW w:w="1310" w:type="dxa"/>
            <w:tcBorders>
              <w:top w:val="nil"/>
              <w:left w:val="single" w:sz="4" w:space="0" w:color="auto"/>
              <w:bottom w:val="single" w:sz="4" w:space="0" w:color="auto"/>
              <w:right w:val="single" w:sz="4" w:space="0" w:color="auto"/>
            </w:tcBorders>
            <w:noWrap/>
            <w:vAlign w:val="center"/>
            <w:hideMark/>
          </w:tcPr>
          <w:p w14:paraId="07B5F2F8" w14:textId="6ADCEDE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350 </w:t>
            </w:r>
          </w:p>
        </w:tc>
        <w:tc>
          <w:tcPr>
            <w:tcW w:w="1310" w:type="dxa"/>
            <w:tcBorders>
              <w:top w:val="nil"/>
              <w:left w:val="single" w:sz="4" w:space="0" w:color="auto"/>
              <w:bottom w:val="single" w:sz="4" w:space="0" w:color="auto"/>
              <w:right w:val="single" w:sz="4" w:space="0" w:color="auto"/>
            </w:tcBorders>
            <w:noWrap/>
            <w:vAlign w:val="center"/>
            <w:hideMark/>
          </w:tcPr>
          <w:p w14:paraId="6A36BEBA" w14:textId="38A03EA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49,179 </w:t>
            </w:r>
          </w:p>
        </w:tc>
        <w:tc>
          <w:tcPr>
            <w:tcW w:w="1310" w:type="dxa"/>
            <w:tcBorders>
              <w:top w:val="nil"/>
              <w:left w:val="single" w:sz="4" w:space="0" w:color="auto"/>
              <w:bottom w:val="single" w:sz="4" w:space="0" w:color="auto"/>
              <w:right w:val="single" w:sz="4" w:space="0" w:color="auto"/>
            </w:tcBorders>
            <w:noWrap/>
            <w:vAlign w:val="center"/>
            <w:hideMark/>
          </w:tcPr>
          <w:p w14:paraId="513FCCF8" w14:textId="7690E7FB"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27.99</w:t>
            </w:r>
          </w:p>
        </w:tc>
        <w:tc>
          <w:tcPr>
            <w:tcW w:w="1310" w:type="dxa"/>
            <w:tcBorders>
              <w:top w:val="nil"/>
              <w:left w:val="single" w:sz="4" w:space="0" w:color="auto"/>
              <w:bottom w:val="single" w:sz="4" w:space="0" w:color="auto"/>
            </w:tcBorders>
            <w:noWrap/>
            <w:vAlign w:val="center"/>
            <w:hideMark/>
          </w:tcPr>
          <w:p w14:paraId="17A73969" w14:textId="30207B6D" w:rsidR="00AF4B2A" w:rsidRPr="00DD0594" w:rsidRDefault="00AF4B2A" w:rsidP="00BE3CEF">
            <w:pPr>
              <w:spacing w:line="360" w:lineRule="auto"/>
              <w:rPr>
                <w:rFonts w:ascii="Arial" w:hAnsi="Arial" w:cs="Arial"/>
                <w:bCs/>
                <w:iCs/>
                <w:noProof/>
                <w:szCs w:val="20"/>
              </w:rPr>
            </w:pPr>
            <w:r w:rsidRPr="00DD0594">
              <w:rPr>
                <w:rFonts w:ascii="Arial" w:eastAsia="맑은 고딕" w:hAnsi="Arial" w:cs="Arial"/>
                <w:color w:val="000000"/>
                <w:szCs w:val="20"/>
              </w:rPr>
              <w:t xml:space="preserve">57,629 </w:t>
            </w:r>
          </w:p>
        </w:tc>
      </w:tr>
    </w:tbl>
    <w:p w14:paraId="78254651" w14:textId="301E340A" w:rsidR="00AF4B2A" w:rsidRPr="00DD0594" w:rsidRDefault="00AF4B2A" w:rsidP="00BE3CEF">
      <w:pPr>
        <w:widowControl/>
        <w:wordWrap/>
        <w:autoSpaceDE/>
        <w:autoSpaceDN/>
        <w:spacing w:line="360" w:lineRule="auto"/>
        <w:rPr>
          <w:rFonts w:ascii="Arial" w:hAnsi="Arial" w:cs="Arial"/>
        </w:rPr>
      </w:pPr>
      <w:r w:rsidRPr="00DD0594">
        <w:rPr>
          <w:rFonts w:ascii="Arial" w:hAnsi="Arial" w:cs="Arial"/>
        </w:rPr>
        <w:t>Abbreviations: AD, Alzheimer's disease; MCI, mild cognitive impairment</w:t>
      </w:r>
    </w:p>
    <w:p w14:paraId="1C8B730F" w14:textId="77777777" w:rsidR="00763AA8" w:rsidRPr="00DD0594" w:rsidRDefault="00763AA8" w:rsidP="00BE3CEF">
      <w:pPr>
        <w:spacing w:line="360" w:lineRule="auto"/>
        <w:rPr>
          <w:rFonts w:ascii="Arial" w:hAnsi="Arial" w:cs="Arial"/>
          <w:b/>
          <w:bCs/>
          <w:i/>
          <w:iCs/>
          <w:noProof/>
          <w:szCs w:val="20"/>
        </w:rPr>
        <w:sectPr w:rsidR="00763AA8" w:rsidRPr="00DD0594" w:rsidSect="001B4F8A">
          <w:pgSz w:w="16838" w:h="11906" w:orient="landscape"/>
          <w:pgMar w:top="1440" w:right="1701" w:bottom="1440" w:left="1440" w:header="851" w:footer="992" w:gutter="0"/>
          <w:lnNumType w:countBy="1" w:restart="continuous"/>
          <w:cols w:space="425"/>
          <w:docGrid w:linePitch="360"/>
        </w:sectPr>
      </w:pPr>
    </w:p>
    <w:p w14:paraId="55795B07" w14:textId="46B9149A" w:rsidR="0072478C" w:rsidRPr="00DD0594" w:rsidRDefault="0072478C" w:rsidP="00BE3CEF">
      <w:pPr>
        <w:pStyle w:val="1"/>
        <w:spacing w:line="360" w:lineRule="auto"/>
        <w:rPr>
          <w:rFonts w:ascii="Arial" w:hAnsi="Arial" w:cs="Arial"/>
        </w:rPr>
      </w:pPr>
      <w:bookmarkStart w:id="12" w:name="_Toc225708749"/>
      <w:proofErr w:type="gramStart"/>
      <w:r w:rsidRPr="00DD0594">
        <w:rPr>
          <w:rFonts w:ascii="Arial" w:hAnsi="Arial" w:cs="Arial"/>
        </w:rPr>
        <w:lastRenderedPageBreak/>
        <w:t xml:space="preserve">Supplementary Table </w:t>
      </w:r>
      <w:r w:rsidR="002945D6" w:rsidRPr="00DD0594">
        <w:rPr>
          <w:rFonts w:ascii="Arial" w:hAnsi="Arial" w:cs="Arial"/>
        </w:rPr>
        <w:t>4</w:t>
      </w:r>
      <w:r w:rsidRPr="00DD0594">
        <w:rPr>
          <w:rFonts w:ascii="Arial" w:hAnsi="Arial" w:cs="Arial"/>
        </w:rPr>
        <w:t>.</w:t>
      </w:r>
      <w:proofErr w:type="gramEnd"/>
      <w:r w:rsidRPr="00DD0594">
        <w:rPr>
          <w:rFonts w:ascii="Arial" w:hAnsi="Arial" w:cs="Arial"/>
        </w:rPr>
        <w:t xml:space="preserve"> Comparison of Reimbursement Structures and Key Challenges in </w:t>
      </w:r>
      <w:proofErr w:type="spellStart"/>
      <w:r w:rsidRPr="00DD0594">
        <w:rPr>
          <w:rFonts w:ascii="Arial" w:hAnsi="Arial" w:cs="Arial"/>
        </w:rPr>
        <w:t>Lecanemab</w:t>
      </w:r>
      <w:proofErr w:type="spellEnd"/>
      <w:r w:rsidRPr="00DD0594">
        <w:rPr>
          <w:rFonts w:ascii="Arial" w:hAnsi="Arial" w:cs="Arial"/>
        </w:rPr>
        <w:t xml:space="preserve"> Treatment </w:t>
      </w:r>
      <w:proofErr w:type="gramStart"/>
      <w:r w:rsidRPr="00DD0594">
        <w:rPr>
          <w:rFonts w:ascii="Arial" w:hAnsi="Arial" w:cs="Arial"/>
        </w:rPr>
        <w:t>Across</w:t>
      </w:r>
      <w:proofErr w:type="gramEnd"/>
      <w:r w:rsidRPr="00DD0594">
        <w:rPr>
          <w:rFonts w:ascii="Arial" w:hAnsi="Arial" w:cs="Arial"/>
        </w:rPr>
        <w:t xml:space="preserve"> Countries</w:t>
      </w:r>
      <w:bookmarkEnd w:id="12"/>
    </w:p>
    <w:tbl>
      <w:tblPr>
        <w:tblW w:w="0" w:type="auto"/>
        <w:tblCellSpacing w:w="15" w:type="dxa"/>
        <w:tblLayout w:type="fixed"/>
        <w:tblCellMar>
          <w:left w:w="15" w:type="dxa"/>
          <w:right w:w="15" w:type="dxa"/>
        </w:tblCellMar>
        <w:tblLook w:val="04A0" w:firstRow="1" w:lastRow="0" w:firstColumn="1" w:lastColumn="0" w:noHBand="0" w:noVBand="1"/>
      </w:tblPr>
      <w:tblGrid>
        <w:gridCol w:w="1511"/>
        <w:gridCol w:w="2458"/>
        <w:gridCol w:w="2131"/>
        <w:gridCol w:w="2930"/>
      </w:tblGrid>
      <w:tr w:rsidR="0072478C" w:rsidRPr="00DD0594" w14:paraId="4AD2CCA8" w14:textId="77777777" w:rsidTr="001224A5">
        <w:trPr>
          <w:tblCellSpacing w:w="15" w:type="dxa"/>
        </w:trPr>
        <w:tc>
          <w:tcPr>
            <w:tcW w:w="1466" w:type="dxa"/>
            <w:tcBorders>
              <w:top w:val="single" w:sz="4" w:space="0" w:color="auto"/>
              <w:bottom w:val="single" w:sz="4" w:space="0" w:color="auto"/>
            </w:tcBorders>
            <w:vAlign w:val="center"/>
          </w:tcPr>
          <w:p w14:paraId="2BA5F5FC" w14:textId="77777777" w:rsidR="0072478C" w:rsidRPr="00DD0594" w:rsidRDefault="0072478C" w:rsidP="00BE3CEF">
            <w:pPr>
              <w:spacing w:after="0" w:line="360" w:lineRule="auto"/>
              <w:jc w:val="left"/>
              <w:rPr>
                <w:rFonts w:ascii="Arial" w:hAnsi="Arial" w:cs="Arial"/>
                <w:szCs w:val="20"/>
              </w:rPr>
            </w:pPr>
          </w:p>
        </w:tc>
        <w:tc>
          <w:tcPr>
            <w:tcW w:w="2428" w:type="dxa"/>
            <w:tcBorders>
              <w:top w:val="single" w:sz="4" w:space="0" w:color="auto"/>
              <w:bottom w:val="single" w:sz="4" w:space="0" w:color="auto"/>
            </w:tcBorders>
            <w:vAlign w:val="center"/>
          </w:tcPr>
          <w:p w14:paraId="18DA813E" w14:textId="77777777" w:rsidR="0072478C" w:rsidRPr="00DD0594" w:rsidRDefault="0072478C" w:rsidP="00BE3CEF">
            <w:pPr>
              <w:spacing w:after="0" w:line="360" w:lineRule="auto"/>
              <w:jc w:val="left"/>
              <w:rPr>
                <w:rFonts w:ascii="Arial" w:eastAsia="굴림" w:hAnsi="Arial" w:cs="Arial"/>
                <w:bCs/>
                <w:color w:val="1F1F1F"/>
                <w:kern w:val="0"/>
                <w:szCs w:val="20"/>
                <w:bdr w:val="none" w:sz="0" w:space="0" w:color="auto" w:frame="1"/>
              </w:rPr>
            </w:pPr>
            <w:r w:rsidRPr="00DD0594">
              <w:rPr>
                <w:rFonts w:ascii="Arial" w:hAnsi="Arial" w:cs="Arial"/>
                <w:bCs/>
                <w:szCs w:val="20"/>
              </w:rPr>
              <w:t>Korea</w:t>
            </w:r>
          </w:p>
        </w:tc>
        <w:tc>
          <w:tcPr>
            <w:tcW w:w="2101" w:type="dxa"/>
            <w:tcBorders>
              <w:top w:val="single" w:sz="4" w:space="0" w:color="auto"/>
              <w:bottom w:val="single" w:sz="4" w:space="0" w:color="auto"/>
            </w:tcBorders>
          </w:tcPr>
          <w:p w14:paraId="119CDFF3" w14:textId="77777777" w:rsidR="0072478C" w:rsidRPr="00DD0594" w:rsidRDefault="0072478C" w:rsidP="00BE3CEF">
            <w:pPr>
              <w:spacing w:after="0" w:line="360" w:lineRule="auto"/>
              <w:jc w:val="left"/>
              <w:rPr>
                <w:rFonts w:ascii="Arial" w:eastAsia="굴림" w:hAnsi="Arial" w:cs="Arial"/>
                <w:bCs/>
                <w:color w:val="1F1F1F"/>
                <w:kern w:val="0"/>
                <w:szCs w:val="20"/>
                <w:bdr w:val="none" w:sz="0" w:space="0" w:color="auto" w:frame="1"/>
              </w:rPr>
            </w:pPr>
            <w:r w:rsidRPr="00DD0594">
              <w:rPr>
                <w:rFonts w:ascii="Arial" w:hAnsi="Arial" w:cs="Arial"/>
                <w:bCs/>
                <w:szCs w:val="20"/>
              </w:rPr>
              <w:t>U.S.</w:t>
            </w:r>
          </w:p>
        </w:tc>
        <w:tc>
          <w:tcPr>
            <w:tcW w:w="2881" w:type="dxa"/>
            <w:tcBorders>
              <w:top w:val="single" w:sz="4" w:space="0" w:color="auto"/>
              <w:bottom w:val="single" w:sz="4" w:space="0" w:color="auto"/>
            </w:tcBorders>
            <w:vAlign w:val="center"/>
          </w:tcPr>
          <w:p w14:paraId="4A481823" w14:textId="77777777" w:rsidR="0072478C" w:rsidRPr="00DD0594" w:rsidRDefault="0072478C" w:rsidP="00BE3CEF">
            <w:pPr>
              <w:spacing w:after="0" w:line="360" w:lineRule="auto"/>
              <w:jc w:val="left"/>
              <w:rPr>
                <w:rFonts w:ascii="Arial" w:eastAsia="굴림" w:hAnsi="Arial" w:cs="Arial"/>
                <w:bCs/>
                <w:color w:val="1F1F1F"/>
                <w:kern w:val="0"/>
                <w:szCs w:val="20"/>
                <w:bdr w:val="none" w:sz="0" w:space="0" w:color="auto" w:frame="1"/>
              </w:rPr>
            </w:pPr>
            <w:r w:rsidRPr="00DD0594">
              <w:rPr>
                <w:rFonts w:ascii="Arial" w:hAnsi="Arial" w:cs="Arial"/>
                <w:bCs/>
                <w:szCs w:val="20"/>
              </w:rPr>
              <w:t>Japan</w:t>
            </w:r>
          </w:p>
        </w:tc>
      </w:tr>
      <w:tr w:rsidR="0072478C" w:rsidRPr="00DD0594" w14:paraId="0D6DB956" w14:textId="77777777" w:rsidTr="001224A5">
        <w:trPr>
          <w:trHeight w:val="407"/>
          <w:tblCellSpacing w:w="15" w:type="dxa"/>
        </w:trPr>
        <w:tc>
          <w:tcPr>
            <w:tcW w:w="1466" w:type="dxa"/>
            <w:tcBorders>
              <w:bottom w:val="single" w:sz="4" w:space="0" w:color="auto"/>
            </w:tcBorders>
            <w:vAlign w:val="center"/>
          </w:tcPr>
          <w:p w14:paraId="14022FFC"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color w:val="1F1F1F"/>
                <w:kern w:val="0"/>
                <w:szCs w:val="20"/>
                <w:bdr w:val="none" w:sz="0" w:space="0" w:color="auto" w:frame="1"/>
              </w:rPr>
              <w:t xml:space="preserve">Approval </w:t>
            </w:r>
          </w:p>
        </w:tc>
        <w:tc>
          <w:tcPr>
            <w:tcW w:w="2428" w:type="dxa"/>
            <w:tcBorders>
              <w:bottom w:val="single" w:sz="4" w:space="0" w:color="auto"/>
            </w:tcBorders>
            <w:vAlign w:val="center"/>
          </w:tcPr>
          <w:p w14:paraId="32F7A00D"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bCs/>
                <w:color w:val="1F1F1F"/>
                <w:kern w:val="0"/>
                <w:szCs w:val="20"/>
                <w:bdr w:val="none" w:sz="0" w:space="0" w:color="auto" w:frame="1"/>
              </w:rPr>
              <w:t>Traditional Full Approval</w:t>
            </w:r>
            <w:r w:rsidRPr="00DD0594">
              <w:rPr>
                <w:rFonts w:ascii="Arial" w:eastAsia="굴림" w:hAnsi="Arial" w:cs="Arial"/>
                <w:color w:val="1F1F1F"/>
                <w:kern w:val="0"/>
                <w:szCs w:val="20"/>
                <w:bdr w:val="none" w:sz="0" w:space="0" w:color="auto" w:frame="1"/>
              </w:rPr>
              <w:t xml:space="preserve"> granted in May 2024</w:t>
            </w:r>
          </w:p>
        </w:tc>
        <w:tc>
          <w:tcPr>
            <w:tcW w:w="2101" w:type="dxa"/>
            <w:tcBorders>
              <w:bottom w:val="single" w:sz="4" w:space="0" w:color="auto"/>
            </w:tcBorders>
            <w:vAlign w:val="center"/>
          </w:tcPr>
          <w:p w14:paraId="60C3F3D4"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bCs/>
                <w:color w:val="1F1F1F"/>
                <w:kern w:val="0"/>
                <w:szCs w:val="20"/>
                <w:bdr w:val="none" w:sz="0" w:space="0" w:color="auto" w:frame="1"/>
              </w:rPr>
              <w:t>Traditional Full Approval</w:t>
            </w:r>
            <w:r w:rsidRPr="00DD0594">
              <w:rPr>
                <w:rFonts w:ascii="Arial" w:eastAsia="굴림" w:hAnsi="Arial" w:cs="Arial"/>
                <w:color w:val="1F1F1F"/>
                <w:kern w:val="0"/>
                <w:szCs w:val="20"/>
                <w:bdr w:val="none" w:sz="0" w:space="0" w:color="auto" w:frame="1"/>
              </w:rPr>
              <w:t xml:space="preserve"> granted in July 2023</w:t>
            </w:r>
          </w:p>
        </w:tc>
        <w:tc>
          <w:tcPr>
            <w:tcW w:w="2881" w:type="dxa"/>
            <w:tcBorders>
              <w:bottom w:val="single" w:sz="4" w:space="0" w:color="auto"/>
            </w:tcBorders>
            <w:vAlign w:val="center"/>
          </w:tcPr>
          <w:p w14:paraId="586DF570"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bCs/>
                <w:color w:val="1F1F1F"/>
                <w:kern w:val="0"/>
                <w:szCs w:val="20"/>
                <w:bdr w:val="none" w:sz="0" w:space="0" w:color="auto" w:frame="1"/>
              </w:rPr>
              <w:t>Approved</w:t>
            </w:r>
            <w:r w:rsidRPr="00DD0594">
              <w:rPr>
                <w:rFonts w:ascii="Arial" w:eastAsia="굴림" w:hAnsi="Arial" w:cs="Arial"/>
                <w:color w:val="1F1F1F"/>
                <w:kern w:val="0"/>
                <w:szCs w:val="20"/>
                <w:bdr w:val="none" w:sz="0" w:space="0" w:color="auto" w:frame="1"/>
              </w:rPr>
              <w:t xml:space="preserve"> in September 2023</w:t>
            </w:r>
          </w:p>
        </w:tc>
      </w:tr>
      <w:tr w:rsidR="0072478C" w:rsidRPr="00DD0594" w14:paraId="08F38AC3" w14:textId="77777777" w:rsidTr="001224A5">
        <w:trPr>
          <w:trHeight w:val="968"/>
          <w:tblCellSpacing w:w="15" w:type="dxa"/>
        </w:trPr>
        <w:tc>
          <w:tcPr>
            <w:tcW w:w="1466" w:type="dxa"/>
            <w:tcBorders>
              <w:bottom w:val="single" w:sz="4" w:space="0" w:color="auto"/>
            </w:tcBorders>
            <w:vAlign w:val="center"/>
          </w:tcPr>
          <w:p w14:paraId="456BBE15"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color w:val="1F1F1F"/>
                <w:kern w:val="0"/>
                <w:szCs w:val="20"/>
                <w:bdr w:val="none" w:sz="0" w:space="0" w:color="auto" w:frame="1"/>
              </w:rPr>
              <w:t>Reimbursement Structure</w:t>
            </w:r>
          </w:p>
        </w:tc>
        <w:tc>
          <w:tcPr>
            <w:tcW w:w="2428" w:type="dxa"/>
            <w:tcBorders>
              <w:bottom w:val="single" w:sz="4" w:space="0" w:color="auto"/>
            </w:tcBorders>
            <w:vAlign w:val="center"/>
          </w:tcPr>
          <w:p w14:paraId="5167FB0D" w14:textId="77777777" w:rsidR="0072478C" w:rsidRPr="00DD0594" w:rsidRDefault="0072478C" w:rsidP="00BE3CEF">
            <w:pPr>
              <w:spacing w:after="0" w:line="360" w:lineRule="auto"/>
              <w:jc w:val="left"/>
              <w:rPr>
                <w:rFonts w:ascii="Arial" w:hAnsi="Arial" w:cs="Arial"/>
                <w:bCs/>
                <w:szCs w:val="20"/>
              </w:rPr>
            </w:pPr>
            <w:r w:rsidRPr="00DD0594">
              <w:rPr>
                <w:rFonts w:ascii="Arial" w:hAnsi="Arial" w:cs="Arial"/>
                <w:bCs/>
                <w:szCs w:val="20"/>
              </w:rPr>
              <w:t>Not reimbursed by national health insurance system</w:t>
            </w:r>
          </w:p>
        </w:tc>
        <w:tc>
          <w:tcPr>
            <w:tcW w:w="2101" w:type="dxa"/>
            <w:tcBorders>
              <w:bottom w:val="single" w:sz="4" w:space="0" w:color="auto"/>
            </w:tcBorders>
          </w:tcPr>
          <w:p w14:paraId="1D17103F" w14:textId="299C6BAD" w:rsidR="0072478C" w:rsidRPr="00DD0594" w:rsidRDefault="00DC01ED" w:rsidP="00BE3CEF">
            <w:pPr>
              <w:spacing w:after="0" w:line="360" w:lineRule="auto"/>
              <w:jc w:val="left"/>
              <w:rPr>
                <w:rFonts w:ascii="Arial" w:hAnsi="Arial" w:cs="Arial"/>
                <w:bCs/>
                <w:szCs w:val="20"/>
              </w:rPr>
            </w:pPr>
            <w:r w:rsidRPr="00DD0594">
              <w:rPr>
                <w:rFonts w:ascii="Arial" w:eastAsia="굴림" w:hAnsi="Arial" w:cs="Arial"/>
                <w:color w:val="1F1F1F"/>
                <w:kern w:val="0"/>
                <w:szCs w:val="20"/>
                <w:bdr w:val="none" w:sz="0" w:space="0" w:color="auto" w:frame="1"/>
              </w:rPr>
              <w:t>Medicare reimbursement under CMS Coverage with Evidence Development (CED), including registry participation</w:t>
            </w:r>
          </w:p>
        </w:tc>
        <w:tc>
          <w:tcPr>
            <w:tcW w:w="2881" w:type="dxa"/>
            <w:tcBorders>
              <w:bottom w:val="single" w:sz="4" w:space="0" w:color="auto"/>
            </w:tcBorders>
            <w:vAlign w:val="center"/>
          </w:tcPr>
          <w:p w14:paraId="18D6F14B"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hAnsi="Arial" w:cs="Arial"/>
                <w:bCs/>
                <w:szCs w:val="20"/>
              </w:rPr>
              <w:t xml:space="preserve">Reimbursed </w:t>
            </w:r>
            <w:r w:rsidRPr="00DD0594">
              <w:rPr>
                <w:rFonts w:ascii="Arial" w:eastAsia="굴림" w:hAnsi="Arial" w:cs="Arial"/>
                <w:bCs/>
                <w:color w:val="1F1F1F"/>
                <w:kern w:val="0"/>
                <w:szCs w:val="20"/>
                <w:bdr w:val="none" w:sz="0" w:space="0" w:color="auto" w:frame="1"/>
              </w:rPr>
              <w:t xml:space="preserve">by national health insurance system </w:t>
            </w:r>
            <w:r w:rsidRPr="00DD0594">
              <w:rPr>
                <w:rFonts w:ascii="Arial" w:eastAsia="굴림" w:hAnsi="Arial" w:cs="Arial"/>
                <w:color w:val="1F1F1F"/>
                <w:kern w:val="0"/>
                <w:szCs w:val="20"/>
                <w:bdr w:val="none" w:sz="0" w:space="0" w:color="auto" w:frame="1"/>
              </w:rPr>
              <w:t>with specific age-based co-payment rates (e.g., 10–30%) and price-capping mechanisms.</w:t>
            </w:r>
          </w:p>
        </w:tc>
      </w:tr>
      <w:tr w:rsidR="00976E2A" w:rsidRPr="00DD0594" w14:paraId="53A5DB04" w14:textId="77777777" w:rsidTr="00976E2A">
        <w:trPr>
          <w:trHeight w:val="968"/>
          <w:tblCellSpacing w:w="15" w:type="dxa"/>
        </w:trPr>
        <w:tc>
          <w:tcPr>
            <w:tcW w:w="1466" w:type="dxa"/>
            <w:tcBorders>
              <w:bottom w:val="single" w:sz="4" w:space="0" w:color="auto"/>
            </w:tcBorders>
            <w:vAlign w:val="center"/>
          </w:tcPr>
          <w:p w14:paraId="021F1D61" w14:textId="35B3B763" w:rsidR="00976E2A" w:rsidRPr="00DD0594" w:rsidRDefault="005A21BB"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eastAsia="굴림" w:hAnsi="Arial" w:cs="Arial"/>
                <w:color w:val="1F1F1F"/>
                <w:kern w:val="0"/>
                <w:szCs w:val="20"/>
                <w:bdr w:val="none" w:sz="0" w:space="0" w:color="auto" w:frame="1"/>
              </w:rPr>
              <w:t>Clinical eligibility / prescribing framework</w:t>
            </w:r>
          </w:p>
        </w:tc>
        <w:tc>
          <w:tcPr>
            <w:tcW w:w="2428" w:type="dxa"/>
            <w:tcBorders>
              <w:bottom w:val="single" w:sz="4" w:space="0" w:color="auto"/>
            </w:tcBorders>
            <w:vAlign w:val="center"/>
          </w:tcPr>
          <w:p w14:paraId="7EB6D11A" w14:textId="1F02FDD6" w:rsidR="00976E2A" w:rsidRPr="00DD0594" w:rsidRDefault="005A21BB" w:rsidP="00BE3CEF">
            <w:pPr>
              <w:spacing w:after="0" w:line="360" w:lineRule="auto"/>
              <w:jc w:val="left"/>
              <w:rPr>
                <w:rFonts w:ascii="Arial" w:hAnsi="Arial" w:cs="Arial"/>
                <w:bCs/>
                <w:szCs w:val="20"/>
              </w:rPr>
            </w:pPr>
            <w:r w:rsidRPr="00DD0594">
              <w:rPr>
                <w:rFonts w:ascii="Arial" w:hAnsi="Arial" w:cs="Arial"/>
                <w:bCs/>
                <w:szCs w:val="20"/>
              </w:rPr>
              <w:t>Approved indication required; K-AUR-guided eligibility without a fixed lower MMSE cutoff, with final treatment decisions made by the treating physician</w:t>
            </w:r>
          </w:p>
        </w:tc>
        <w:tc>
          <w:tcPr>
            <w:tcW w:w="2097" w:type="dxa"/>
            <w:tcBorders>
              <w:bottom w:val="single" w:sz="4" w:space="0" w:color="auto"/>
            </w:tcBorders>
            <w:vAlign w:val="center"/>
          </w:tcPr>
          <w:p w14:paraId="0B772248" w14:textId="14144FDC" w:rsidR="00976E2A" w:rsidRPr="00DD0594" w:rsidRDefault="00BF2F0A" w:rsidP="00BE3CEF">
            <w:pPr>
              <w:spacing w:after="0" w:line="360" w:lineRule="auto"/>
              <w:jc w:val="left"/>
              <w:rPr>
                <w:rFonts w:ascii="Arial" w:hAnsi="Arial" w:cs="Arial"/>
                <w:b/>
                <w:bCs/>
                <w:szCs w:val="20"/>
              </w:rPr>
            </w:pPr>
            <w:r w:rsidRPr="00DD0594">
              <w:rPr>
                <w:rFonts w:ascii="Arial" w:eastAsia="굴림" w:hAnsi="Arial" w:cs="Arial"/>
                <w:color w:val="1F1F1F"/>
                <w:kern w:val="0"/>
                <w:szCs w:val="20"/>
                <w:bdr w:val="none" w:sz="0" w:space="0" w:color="auto" w:frame="1"/>
              </w:rPr>
              <w:t xml:space="preserve">Approved indication required; </w:t>
            </w:r>
            <w:proofErr w:type="spellStart"/>
            <w:r w:rsidRPr="00DD0594">
              <w:rPr>
                <w:rFonts w:ascii="Arial" w:eastAsia="굴림" w:hAnsi="Arial" w:cs="Arial"/>
                <w:color w:val="1F1F1F"/>
                <w:kern w:val="0"/>
                <w:szCs w:val="20"/>
                <w:bdr w:val="none" w:sz="0" w:space="0" w:color="auto" w:frame="1"/>
              </w:rPr>
              <w:t>prespecified</w:t>
            </w:r>
            <w:proofErr w:type="spellEnd"/>
            <w:r w:rsidRPr="00DD0594">
              <w:rPr>
                <w:rFonts w:ascii="Arial" w:eastAsia="굴림" w:hAnsi="Arial" w:cs="Arial"/>
                <w:color w:val="1F1F1F"/>
                <w:kern w:val="0"/>
                <w:szCs w:val="20"/>
                <w:bdr w:val="none" w:sz="0" w:space="0" w:color="auto" w:frame="1"/>
              </w:rPr>
              <w:t xml:space="preserve"> CMS clinical eligibility criteria apply for Medicare-covered use</w:t>
            </w:r>
          </w:p>
        </w:tc>
        <w:tc>
          <w:tcPr>
            <w:tcW w:w="2885" w:type="dxa"/>
            <w:tcBorders>
              <w:bottom w:val="single" w:sz="4" w:space="0" w:color="auto"/>
            </w:tcBorders>
            <w:vAlign w:val="center"/>
          </w:tcPr>
          <w:p w14:paraId="4680BB7F" w14:textId="2E0EC744" w:rsidR="00976E2A" w:rsidRPr="00DD0594" w:rsidRDefault="005A21BB" w:rsidP="00BE3CEF">
            <w:pPr>
              <w:spacing w:after="0" w:line="360" w:lineRule="auto"/>
              <w:jc w:val="left"/>
              <w:rPr>
                <w:rFonts w:ascii="Arial" w:hAnsi="Arial" w:cs="Arial"/>
                <w:szCs w:val="20"/>
              </w:rPr>
            </w:pPr>
            <w:r w:rsidRPr="00DD0594">
              <w:rPr>
                <w:rFonts w:ascii="Arial" w:hAnsi="Arial" w:cs="Arial"/>
                <w:szCs w:val="20"/>
              </w:rPr>
              <w:t xml:space="preserve">Approved indication required; </w:t>
            </w:r>
            <w:proofErr w:type="spellStart"/>
            <w:r w:rsidRPr="00DD0594">
              <w:rPr>
                <w:rFonts w:ascii="Arial" w:hAnsi="Arial" w:cs="Arial"/>
                <w:szCs w:val="20"/>
              </w:rPr>
              <w:t>prespecified</w:t>
            </w:r>
            <w:proofErr w:type="spellEnd"/>
            <w:r w:rsidRPr="00DD0594">
              <w:rPr>
                <w:rFonts w:ascii="Arial" w:hAnsi="Arial" w:cs="Arial"/>
                <w:szCs w:val="20"/>
              </w:rPr>
              <w:t xml:space="preserve"> national clinical eligibility criteria apply, including cognitive-severity thresholds</w:t>
            </w:r>
          </w:p>
        </w:tc>
      </w:tr>
      <w:tr w:rsidR="0072478C" w:rsidRPr="00DD0594" w14:paraId="7D17D913" w14:textId="77777777" w:rsidTr="001224A5">
        <w:trPr>
          <w:trHeight w:val="1575"/>
          <w:tblCellSpacing w:w="15" w:type="dxa"/>
        </w:trPr>
        <w:tc>
          <w:tcPr>
            <w:tcW w:w="1466" w:type="dxa"/>
            <w:tcBorders>
              <w:bottom w:val="single" w:sz="4" w:space="0" w:color="auto"/>
            </w:tcBorders>
            <w:vAlign w:val="center"/>
          </w:tcPr>
          <w:p w14:paraId="1CD0072A" w14:textId="77777777" w:rsidR="0072478C" w:rsidRPr="00DD0594" w:rsidRDefault="0072478C" w:rsidP="00BE3CEF">
            <w:pPr>
              <w:spacing w:after="0" w:line="360" w:lineRule="auto"/>
              <w:jc w:val="left"/>
              <w:rPr>
                <w:rFonts w:ascii="Arial" w:eastAsia="굴림" w:hAnsi="Arial" w:cs="Arial"/>
                <w:color w:val="1F1F1F"/>
                <w:kern w:val="0"/>
                <w:szCs w:val="20"/>
                <w:bdr w:val="none" w:sz="0" w:space="0" w:color="auto" w:frame="1"/>
              </w:rPr>
            </w:pPr>
            <w:r w:rsidRPr="00DD0594">
              <w:rPr>
                <w:rFonts w:ascii="Arial" w:hAnsi="Arial" w:cs="Arial"/>
                <w:bCs/>
                <w:szCs w:val="20"/>
              </w:rPr>
              <w:t xml:space="preserve">Key challenges </w:t>
            </w:r>
          </w:p>
        </w:tc>
        <w:tc>
          <w:tcPr>
            <w:tcW w:w="2428" w:type="dxa"/>
            <w:tcBorders>
              <w:bottom w:val="single" w:sz="4" w:space="0" w:color="auto"/>
            </w:tcBorders>
            <w:vAlign w:val="center"/>
          </w:tcPr>
          <w:p w14:paraId="73AFA082" w14:textId="2ED63385" w:rsidR="0072478C" w:rsidRPr="00DD0594" w:rsidRDefault="001224A5" w:rsidP="00BE3CEF">
            <w:pPr>
              <w:spacing w:after="0" w:line="360" w:lineRule="auto"/>
              <w:contextualSpacing/>
              <w:jc w:val="left"/>
              <w:rPr>
                <w:rFonts w:ascii="Arial" w:hAnsi="Arial" w:cs="Arial"/>
                <w:bCs/>
                <w:szCs w:val="20"/>
              </w:rPr>
            </w:pPr>
            <w:r w:rsidRPr="00DD0594">
              <w:rPr>
                <w:rFonts w:ascii="Arial" w:hAnsi="Arial" w:cs="Arial"/>
                <w:szCs w:val="20"/>
              </w:rPr>
              <w:t>- H</w:t>
            </w:r>
            <w:r w:rsidRPr="00DD0594">
              <w:rPr>
                <w:rFonts w:ascii="Arial" w:hAnsi="Arial" w:cs="Arial"/>
                <w:bCs/>
                <w:szCs w:val="20"/>
              </w:rPr>
              <w:t>igh out-of-pocket burden</w:t>
            </w:r>
          </w:p>
          <w:p w14:paraId="33AD9BA8" w14:textId="7FB2F511" w:rsidR="0072478C" w:rsidRPr="00DD0594" w:rsidRDefault="001224A5" w:rsidP="00BE3CEF">
            <w:pPr>
              <w:widowControl/>
              <w:wordWrap/>
              <w:autoSpaceDE/>
              <w:autoSpaceDN/>
              <w:spacing w:after="60" w:line="360" w:lineRule="auto"/>
              <w:jc w:val="left"/>
              <w:rPr>
                <w:rFonts w:ascii="Arial" w:eastAsia="굴림" w:hAnsi="Arial" w:cs="Arial"/>
                <w:color w:val="141413"/>
                <w:kern w:val="0"/>
                <w:szCs w:val="20"/>
              </w:rPr>
            </w:pPr>
            <w:r w:rsidRPr="00DD0594">
              <w:rPr>
                <w:rFonts w:ascii="Arial" w:eastAsia="굴림" w:hAnsi="Arial" w:cs="Arial"/>
                <w:color w:val="141413"/>
                <w:kern w:val="0"/>
                <w:szCs w:val="20"/>
              </w:rPr>
              <w:t xml:space="preserve">- </w:t>
            </w:r>
            <w:r w:rsidR="0072478C" w:rsidRPr="00DD0594">
              <w:rPr>
                <w:rFonts w:ascii="Arial" w:eastAsia="굴림" w:hAnsi="Arial" w:cs="Arial"/>
                <w:color w:val="141413"/>
                <w:kern w:val="0"/>
                <w:szCs w:val="20"/>
              </w:rPr>
              <w:t>Patient overconcentration at tertiary care centers and insufficient infusion infrastructure</w:t>
            </w:r>
          </w:p>
          <w:p w14:paraId="7CCEC9A7" w14:textId="6202741C" w:rsidR="0072478C" w:rsidRPr="00DD0594" w:rsidRDefault="001224A5" w:rsidP="00BE3CEF">
            <w:pPr>
              <w:widowControl/>
              <w:wordWrap/>
              <w:autoSpaceDE/>
              <w:autoSpaceDN/>
              <w:spacing w:after="60" w:line="360" w:lineRule="auto"/>
              <w:jc w:val="left"/>
              <w:rPr>
                <w:rFonts w:ascii="Arial" w:eastAsia="굴림" w:hAnsi="Arial" w:cs="Arial"/>
                <w:color w:val="141413"/>
                <w:kern w:val="0"/>
                <w:szCs w:val="20"/>
              </w:rPr>
            </w:pPr>
            <w:r w:rsidRPr="00DD0594">
              <w:rPr>
                <w:rFonts w:ascii="Arial" w:eastAsia="굴림" w:hAnsi="Arial" w:cs="Arial"/>
                <w:color w:val="141413"/>
                <w:kern w:val="0"/>
                <w:szCs w:val="20"/>
              </w:rPr>
              <w:t xml:space="preserve">- </w:t>
            </w:r>
            <w:r w:rsidR="0072478C" w:rsidRPr="00DD0594">
              <w:rPr>
                <w:rFonts w:ascii="Arial" w:eastAsia="굴림" w:hAnsi="Arial" w:cs="Arial"/>
                <w:color w:val="141413"/>
                <w:kern w:val="0"/>
                <w:szCs w:val="20"/>
              </w:rPr>
              <w:t xml:space="preserve">No dedicated reimbursement for </w:t>
            </w:r>
            <w:r w:rsidRPr="00DD0594">
              <w:rPr>
                <w:rFonts w:ascii="Arial" w:eastAsia="굴림" w:hAnsi="Arial" w:cs="Arial"/>
                <w:color w:val="141413"/>
                <w:kern w:val="0"/>
                <w:szCs w:val="20"/>
              </w:rPr>
              <w:t xml:space="preserve">treatment </w:t>
            </w:r>
            <w:r w:rsidR="0072478C" w:rsidRPr="00DD0594">
              <w:rPr>
                <w:rFonts w:ascii="Arial" w:eastAsia="굴림" w:hAnsi="Arial" w:cs="Arial"/>
                <w:color w:val="141413"/>
                <w:kern w:val="0"/>
                <w:szCs w:val="20"/>
              </w:rPr>
              <w:t xml:space="preserve">infrastructures </w:t>
            </w:r>
            <w:r w:rsidR="00E70368" w:rsidRPr="00DD0594">
              <w:rPr>
                <w:rFonts w:ascii="Arial" w:eastAsia="굴림" w:hAnsi="Arial" w:cs="Arial"/>
                <w:color w:val="141413"/>
                <w:kern w:val="0"/>
                <w:szCs w:val="20"/>
              </w:rPr>
              <w:t>or</w:t>
            </w:r>
            <w:r w:rsidR="0072478C" w:rsidRPr="00DD0594">
              <w:rPr>
                <w:rFonts w:ascii="Arial" w:eastAsia="굴림" w:hAnsi="Arial" w:cs="Arial"/>
                <w:color w:val="141413"/>
                <w:kern w:val="0"/>
                <w:szCs w:val="20"/>
              </w:rPr>
              <w:t xml:space="preserve"> safety monitoring.</w:t>
            </w:r>
          </w:p>
        </w:tc>
        <w:tc>
          <w:tcPr>
            <w:tcW w:w="2101" w:type="dxa"/>
            <w:tcBorders>
              <w:bottom w:val="single" w:sz="4" w:space="0" w:color="auto"/>
            </w:tcBorders>
            <w:vAlign w:val="center"/>
          </w:tcPr>
          <w:p w14:paraId="48FB0218" w14:textId="250EE452" w:rsidR="006C5C98" w:rsidRPr="00DD0594" w:rsidRDefault="001224A5" w:rsidP="00BE3CEF">
            <w:pPr>
              <w:spacing w:after="0" w:line="360" w:lineRule="auto"/>
              <w:contextualSpacing/>
              <w:jc w:val="left"/>
              <w:rPr>
                <w:rFonts w:ascii="Arial" w:eastAsia="굴림" w:hAnsi="Arial" w:cs="Arial"/>
                <w:color w:val="1F1F1F"/>
                <w:kern w:val="0"/>
                <w:szCs w:val="20"/>
                <w:bdr w:val="none" w:sz="0" w:space="0" w:color="auto" w:frame="1"/>
              </w:rPr>
            </w:pPr>
            <w:r w:rsidRPr="00DD0594">
              <w:rPr>
                <w:rFonts w:ascii="Arial" w:eastAsia="굴림" w:hAnsi="Arial" w:cs="Arial"/>
                <w:color w:val="1F1F1F"/>
                <w:kern w:val="0"/>
                <w:szCs w:val="20"/>
                <w:bdr w:val="none" w:sz="0" w:space="0" w:color="auto" w:frame="1"/>
              </w:rPr>
              <w:t xml:space="preserve">- </w:t>
            </w:r>
            <w:r w:rsidR="006C5C98" w:rsidRPr="00DD0594">
              <w:rPr>
                <w:rFonts w:ascii="Arial" w:eastAsia="굴림" w:hAnsi="Arial" w:cs="Arial"/>
                <w:color w:val="1F1F1F"/>
                <w:kern w:val="0"/>
                <w:szCs w:val="20"/>
                <w:bdr w:val="none" w:sz="0" w:space="0" w:color="auto" w:frame="1"/>
              </w:rPr>
              <w:t>Substantial financial burden due to high drug cost and ancillary service requirement</w:t>
            </w:r>
          </w:p>
          <w:p w14:paraId="2C74F92C" w14:textId="71C7627F" w:rsidR="0072478C" w:rsidRPr="00DD0594" w:rsidRDefault="001224A5" w:rsidP="00BE3CEF">
            <w:pPr>
              <w:spacing w:after="0" w:line="360" w:lineRule="auto"/>
              <w:contextualSpacing/>
              <w:jc w:val="left"/>
              <w:rPr>
                <w:rFonts w:ascii="Arial" w:eastAsia="굴림" w:hAnsi="Arial" w:cs="Arial"/>
                <w:color w:val="1F1F1F"/>
                <w:kern w:val="0"/>
                <w:szCs w:val="20"/>
                <w:bdr w:val="none" w:sz="0" w:space="0" w:color="auto" w:frame="1"/>
              </w:rPr>
            </w:pPr>
            <w:r w:rsidRPr="00DD0594">
              <w:rPr>
                <w:rFonts w:ascii="Arial" w:eastAsia="굴림" w:hAnsi="Arial" w:cs="Arial"/>
                <w:color w:val="1F1F1F"/>
                <w:kern w:val="0"/>
                <w:szCs w:val="20"/>
                <w:bdr w:val="none" w:sz="0" w:space="0" w:color="auto" w:frame="1"/>
              </w:rPr>
              <w:t>- Administrative barriers from registry participation</w:t>
            </w:r>
          </w:p>
        </w:tc>
        <w:tc>
          <w:tcPr>
            <w:tcW w:w="2881" w:type="dxa"/>
            <w:tcBorders>
              <w:bottom w:val="single" w:sz="4" w:space="0" w:color="auto"/>
            </w:tcBorders>
            <w:vAlign w:val="center"/>
          </w:tcPr>
          <w:p w14:paraId="1E87C628" w14:textId="7E92261B" w:rsidR="0072478C" w:rsidRPr="00DD0594" w:rsidRDefault="001224A5" w:rsidP="00BE3CEF">
            <w:pPr>
              <w:widowControl/>
              <w:wordWrap/>
              <w:autoSpaceDE/>
              <w:autoSpaceDN/>
              <w:spacing w:after="60" w:line="360" w:lineRule="auto"/>
              <w:jc w:val="left"/>
              <w:rPr>
                <w:rFonts w:ascii="Arial" w:eastAsia="굴림" w:hAnsi="Arial" w:cs="Arial"/>
                <w:color w:val="141413"/>
                <w:kern w:val="0"/>
                <w:szCs w:val="20"/>
              </w:rPr>
            </w:pPr>
            <w:r w:rsidRPr="00DD0594">
              <w:rPr>
                <w:rFonts w:ascii="Arial" w:eastAsia="굴림" w:hAnsi="Arial" w:cs="Arial"/>
                <w:color w:val="141413"/>
                <w:kern w:val="0"/>
                <w:szCs w:val="20"/>
              </w:rPr>
              <w:t xml:space="preserve">- </w:t>
            </w:r>
            <w:r w:rsidR="0072478C" w:rsidRPr="00DD0594">
              <w:rPr>
                <w:rFonts w:ascii="Arial" w:eastAsia="굴림" w:hAnsi="Arial" w:cs="Arial"/>
                <w:color w:val="141413"/>
                <w:kern w:val="0"/>
                <w:szCs w:val="20"/>
              </w:rPr>
              <w:t>Balancing the high cost with the sustainability of the universal health insurance system</w:t>
            </w:r>
          </w:p>
          <w:p w14:paraId="0245723B" w14:textId="23E1ABC9" w:rsidR="001224A5" w:rsidRPr="00DD0594" w:rsidRDefault="001224A5" w:rsidP="00BE3CEF">
            <w:pPr>
              <w:widowControl/>
              <w:wordWrap/>
              <w:autoSpaceDE/>
              <w:autoSpaceDN/>
              <w:spacing w:after="60" w:line="360" w:lineRule="auto"/>
              <w:jc w:val="left"/>
              <w:rPr>
                <w:rFonts w:ascii="Arial" w:eastAsia="굴림" w:hAnsi="Arial" w:cs="Arial"/>
                <w:color w:val="141413"/>
                <w:kern w:val="0"/>
                <w:szCs w:val="20"/>
              </w:rPr>
            </w:pPr>
            <w:r w:rsidRPr="00DD0594">
              <w:rPr>
                <w:rFonts w:ascii="Arial" w:eastAsia="굴림" w:hAnsi="Arial" w:cs="Arial"/>
                <w:color w:val="141413"/>
                <w:kern w:val="0"/>
                <w:szCs w:val="20"/>
              </w:rPr>
              <w:t>-</w:t>
            </w:r>
            <w:r w:rsidRPr="00DD0594">
              <w:rPr>
                <w:rFonts w:ascii="Arial" w:hAnsi="Arial" w:cs="Arial"/>
              </w:rPr>
              <w:t xml:space="preserve"> </w:t>
            </w:r>
            <w:r w:rsidRPr="00DD0594">
              <w:rPr>
                <w:rFonts w:ascii="Arial" w:eastAsia="굴림" w:hAnsi="Arial" w:cs="Arial"/>
                <w:color w:val="141413"/>
                <w:kern w:val="0"/>
                <w:szCs w:val="20"/>
              </w:rPr>
              <w:t>Absence of APOE testing coverage under national health insurance</w:t>
            </w:r>
          </w:p>
          <w:p w14:paraId="2119FD51" w14:textId="4AA59196" w:rsidR="0072478C" w:rsidRPr="00DD0594" w:rsidRDefault="001224A5" w:rsidP="00BE3CEF">
            <w:pPr>
              <w:widowControl/>
              <w:wordWrap/>
              <w:autoSpaceDE/>
              <w:autoSpaceDN/>
              <w:spacing w:after="60" w:line="360" w:lineRule="auto"/>
              <w:jc w:val="left"/>
              <w:rPr>
                <w:rFonts w:ascii="Arial" w:eastAsia="굴림" w:hAnsi="Arial" w:cs="Arial"/>
                <w:color w:val="141413"/>
                <w:kern w:val="0"/>
                <w:szCs w:val="20"/>
              </w:rPr>
            </w:pPr>
            <w:r w:rsidRPr="00DD0594">
              <w:rPr>
                <w:rFonts w:ascii="Arial" w:eastAsia="굴림" w:hAnsi="Arial" w:cs="Arial"/>
                <w:color w:val="141413"/>
                <w:kern w:val="0"/>
                <w:szCs w:val="20"/>
              </w:rPr>
              <w:t xml:space="preserve">- </w:t>
            </w:r>
            <w:r w:rsidR="006C5C98" w:rsidRPr="00DD0594">
              <w:rPr>
                <w:rFonts w:ascii="Arial" w:eastAsia="굴림" w:hAnsi="Arial" w:cs="Arial"/>
                <w:color w:val="141413"/>
                <w:kern w:val="0"/>
                <w:szCs w:val="20"/>
              </w:rPr>
              <w:t xml:space="preserve">Requirement for </w:t>
            </w:r>
            <w:r w:rsidR="00E70368" w:rsidRPr="00DD0594">
              <w:rPr>
                <w:rFonts w:ascii="Arial" w:eastAsia="굴림" w:hAnsi="Arial" w:cs="Arial"/>
                <w:color w:val="141413"/>
                <w:kern w:val="0"/>
                <w:szCs w:val="20"/>
              </w:rPr>
              <w:t>i</w:t>
            </w:r>
            <w:r w:rsidR="0072478C" w:rsidRPr="00DD0594">
              <w:rPr>
                <w:rFonts w:ascii="Arial" w:eastAsia="굴림" w:hAnsi="Arial" w:cs="Arial"/>
                <w:color w:val="141413"/>
                <w:kern w:val="0"/>
                <w:szCs w:val="20"/>
              </w:rPr>
              <w:t>nfusion infrastructure</w:t>
            </w:r>
            <w:r w:rsidR="006C5C98" w:rsidRPr="00DD0594">
              <w:rPr>
                <w:rFonts w:ascii="Arial" w:eastAsia="굴림" w:hAnsi="Arial" w:cs="Arial"/>
                <w:color w:val="141413"/>
                <w:kern w:val="0"/>
                <w:szCs w:val="20"/>
              </w:rPr>
              <w:t>, re</w:t>
            </w:r>
            <w:r w:rsidRPr="00DD0594">
              <w:rPr>
                <w:rFonts w:ascii="Arial" w:eastAsia="굴림" w:hAnsi="Arial" w:cs="Arial"/>
                <w:color w:val="141413"/>
                <w:kern w:val="0"/>
                <w:szCs w:val="20"/>
              </w:rPr>
              <w:t>sulting in regional disparities</w:t>
            </w:r>
          </w:p>
        </w:tc>
      </w:tr>
    </w:tbl>
    <w:p w14:paraId="16EFA724" w14:textId="59A86A54" w:rsidR="0072478C" w:rsidRPr="00DD0594" w:rsidRDefault="00EC0980" w:rsidP="00BE3CEF">
      <w:pPr>
        <w:spacing w:after="0" w:line="360" w:lineRule="auto"/>
        <w:jc w:val="left"/>
        <w:rPr>
          <w:rFonts w:ascii="Arial" w:hAnsi="Arial" w:cs="Arial"/>
          <w:iCs/>
          <w:szCs w:val="20"/>
        </w:rPr>
      </w:pPr>
      <w:r w:rsidRPr="00DD0594">
        <w:rPr>
          <w:rFonts w:ascii="Arial" w:hAnsi="Arial" w:cs="Arial"/>
          <w:iCs/>
          <w:szCs w:val="20"/>
        </w:rPr>
        <w:t xml:space="preserve">Sources: Country-specific reimbursement structures and key challenges were informed by published literature. Cost and ancillary service data for the U.S. were referenced from </w:t>
      </w:r>
      <w:proofErr w:type="spellStart"/>
      <w:r w:rsidRPr="00DD0594">
        <w:rPr>
          <w:rFonts w:ascii="Arial" w:hAnsi="Arial" w:cs="Arial"/>
          <w:iCs/>
          <w:szCs w:val="20"/>
        </w:rPr>
        <w:t>Arbanas</w:t>
      </w:r>
      <w:proofErr w:type="spellEnd"/>
      <w:r w:rsidRPr="00DD0594">
        <w:rPr>
          <w:rFonts w:ascii="Arial" w:hAnsi="Arial" w:cs="Arial"/>
          <w:iCs/>
          <w:szCs w:val="20"/>
        </w:rPr>
        <w:t xml:space="preserve"> et al. </w:t>
      </w:r>
      <w:r w:rsidR="00416115" w:rsidRPr="00DD0594">
        <w:rPr>
          <w:rFonts w:ascii="Arial" w:eastAsia="굴림" w:hAnsi="Arial" w:cs="Arial"/>
          <w:color w:val="1F1F1F"/>
          <w:kern w:val="0"/>
          <w:szCs w:val="20"/>
          <w:bdr w:val="none" w:sz="0" w:space="0" w:color="auto" w:frame="1"/>
        </w:rPr>
        <w:fldChar w:fldCharType="begin">
          <w:fldData xml:space="preserve">PEVuZE5vdGU+PENpdGU+PEF1dGhvcj5BcmJhbmFzPC9BdXRob3I+PFllYXI+MjAyMzwvWWVhcj48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</w:fldData>
        </w:fldChar>
      </w:r>
      <w:r w:rsidR="00416115" w:rsidRPr="00DD0594">
        <w:rPr>
          <w:rFonts w:ascii="Arial" w:eastAsia="굴림" w:hAnsi="Arial" w:cs="Arial"/>
          <w:color w:val="1F1F1F"/>
          <w:kern w:val="0"/>
          <w:szCs w:val="20"/>
          <w:bdr w:val="none" w:sz="0" w:space="0" w:color="auto" w:frame="1"/>
        </w:rPr>
        <w:instrText xml:space="preserve"> ADDIN EN.CITE </w:instrText>
      </w:r>
      <w:r w:rsidR="00416115" w:rsidRPr="00DD0594">
        <w:rPr>
          <w:rFonts w:ascii="Arial" w:eastAsia="굴림" w:hAnsi="Arial" w:cs="Arial"/>
          <w:color w:val="1F1F1F"/>
          <w:kern w:val="0"/>
          <w:szCs w:val="20"/>
          <w:bdr w:val="none" w:sz="0" w:space="0" w:color="auto" w:frame="1"/>
        </w:rPr>
        <w:fldChar w:fldCharType="begin">
          <w:fldData xml:space="preserve">PEVuZE5vdGU+PENpdGU+PEF1dGhvcj5BcmJhbmFzPC9BdXRob3I+PFllYXI+MjAyMzwvWWVhcj48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</w:fldData>
        </w:fldChar>
      </w:r>
      <w:r w:rsidR="00416115" w:rsidRPr="00DD0594">
        <w:rPr>
          <w:rFonts w:ascii="Arial" w:eastAsia="굴림" w:hAnsi="Arial" w:cs="Arial"/>
          <w:color w:val="1F1F1F"/>
          <w:kern w:val="0"/>
          <w:szCs w:val="20"/>
          <w:bdr w:val="none" w:sz="0" w:space="0" w:color="auto" w:frame="1"/>
        </w:rPr>
        <w:instrText xml:space="preserve"> ADDIN EN.CITE.DATA </w:instrText>
      </w:r>
      <w:r w:rsidR="00416115" w:rsidRPr="00DD0594">
        <w:rPr>
          <w:rFonts w:ascii="Arial" w:eastAsia="굴림" w:hAnsi="Arial" w:cs="Arial"/>
          <w:color w:val="1F1F1F"/>
          <w:kern w:val="0"/>
          <w:szCs w:val="20"/>
          <w:bdr w:val="none" w:sz="0" w:space="0" w:color="auto" w:frame="1"/>
        </w:rPr>
      </w:r>
      <w:r w:rsidR="00416115" w:rsidRPr="00DD0594">
        <w:rPr>
          <w:rFonts w:ascii="Arial" w:eastAsia="굴림" w:hAnsi="Arial" w:cs="Arial"/>
          <w:color w:val="1F1F1F"/>
          <w:kern w:val="0"/>
          <w:szCs w:val="20"/>
          <w:bdr w:val="none" w:sz="0" w:space="0" w:color="auto" w:frame="1"/>
        </w:rPr>
        <w:fldChar w:fldCharType="end"/>
      </w:r>
      <w:r w:rsidR="00416115" w:rsidRPr="00DD0594">
        <w:rPr>
          <w:rFonts w:ascii="Arial" w:eastAsia="굴림" w:hAnsi="Arial" w:cs="Arial"/>
          <w:color w:val="1F1F1F"/>
          <w:kern w:val="0"/>
          <w:szCs w:val="20"/>
          <w:bdr w:val="none" w:sz="0" w:space="0" w:color="auto" w:frame="1"/>
        </w:rPr>
      </w:r>
      <w:r w:rsidR="00416115" w:rsidRPr="00DD0594">
        <w:rPr>
          <w:rFonts w:ascii="Arial" w:eastAsia="굴림" w:hAnsi="Arial" w:cs="Arial"/>
          <w:color w:val="1F1F1F"/>
          <w:kern w:val="0"/>
          <w:szCs w:val="20"/>
          <w:bdr w:val="none" w:sz="0" w:space="0" w:color="auto" w:frame="1"/>
        </w:rPr>
        <w:fldChar w:fldCharType="separate"/>
      </w:r>
      <w:r w:rsidR="00416115" w:rsidRPr="00DD0594">
        <w:rPr>
          <w:rFonts w:ascii="Arial" w:eastAsia="굴림" w:hAnsi="Arial" w:cs="Arial"/>
          <w:noProof/>
          <w:color w:val="1F1F1F"/>
          <w:kern w:val="0"/>
          <w:szCs w:val="20"/>
          <w:bdr w:val="none" w:sz="0" w:space="0" w:color="auto" w:frame="1"/>
        </w:rPr>
        <w:t>[3]</w:t>
      </w:r>
      <w:r w:rsidR="00416115" w:rsidRPr="00DD0594">
        <w:rPr>
          <w:rFonts w:ascii="Arial" w:eastAsia="굴림" w:hAnsi="Arial" w:cs="Arial"/>
          <w:color w:val="1F1F1F"/>
          <w:kern w:val="0"/>
          <w:szCs w:val="20"/>
          <w:bdr w:val="none" w:sz="0" w:space="0" w:color="auto" w:frame="1"/>
        </w:rPr>
        <w:fldChar w:fldCharType="end"/>
      </w:r>
      <w:r w:rsidRPr="00DD0594">
        <w:rPr>
          <w:rFonts w:ascii="Arial" w:hAnsi="Arial" w:cs="Arial"/>
          <w:iCs/>
          <w:szCs w:val="20"/>
        </w:rPr>
        <w:t xml:space="preserve">. Infrastructure barriers and reimbursement challenges in Japan were referenced from Sato et al. </w:t>
      </w:r>
      <w:r w:rsidR="00416115" w:rsidRPr="00DD0594">
        <w:rPr>
          <w:rFonts w:ascii="Arial" w:eastAsia="굴림" w:hAnsi="Arial" w:cs="Arial"/>
          <w:color w:val="141413"/>
          <w:kern w:val="0"/>
          <w:szCs w:val="20"/>
        </w:rPr>
        <w:fldChar w:fldCharType="begin">
          <w:fldData xml:space="preserve">PEVuZE5vdGU+PENpdGU+PEF1dGhvcj5TYXRvPC9BdXRob3I+PFllYXI+MjAyNTwvWWVhcj48UmVj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</w:fldData>
        </w:fldChar>
      </w:r>
      <w:r w:rsidR="00416115" w:rsidRPr="00DD0594">
        <w:rPr>
          <w:rFonts w:ascii="Arial" w:eastAsia="굴림" w:hAnsi="Arial" w:cs="Arial"/>
          <w:color w:val="141413"/>
          <w:kern w:val="0"/>
          <w:szCs w:val="20"/>
        </w:rPr>
        <w:instrText xml:space="preserve"> ADDIN EN.CITE </w:instrText>
      </w:r>
      <w:r w:rsidR="00416115" w:rsidRPr="00DD0594">
        <w:rPr>
          <w:rFonts w:ascii="Arial" w:eastAsia="굴림" w:hAnsi="Arial" w:cs="Arial"/>
          <w:color w:val="141413"/>
          <w:kern w:val="0"/>
          <w:szCs w:val="20"/>
        </w:rPr>
        <w:fldChar w:fldCharType="begin">
          <w:fldData xml:space="preserve">PEVuZE5vdGU+PENpdGU+PEF1dGhvcj5TYXRvPC9BdXRob3I+PFllYXI+MjAyNTwvWWVhcj48UmVj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</w:fldData>
        </w:fldChar>
      </w:r>
      <w:r w:rsidR="00416115" w:rsidRPr="00DD0594">
        <w:rPr>
          <w:rFonts w:ascii="Arial" w:eastAsia="굴림" w:hAnsi="Arial" w:cs="Arial"/>
          <w:color w:val="141413"/>
          <w:kern w:val="0"/>
          <w:szCs w:val="20"/>
        </w:rPr>
        <w:instrText xml:space="preserve"> ADDIN EN.CITE.DATA </w:instrText>
      </w:r>
      <w:r w:rsidR="00416115" w:rsidRPr="00DD0594">
        <w:rPr>
          <w:rFonts w:ascii="Arial" w:eastAsia="굴림" w:hAnsi="Arial" w:cs="Arial"/>
          <w:color w:val="141413"/>
          <w:kern w:val="0"/>
          <w:szCs w:val="20"/>
        </w:rPr>
      </w:r>
      <w:r w:rsidR="00416115" w:rsidRPr="00DD0594">
        <w:rPr>
          <w:rFonts w:ascii="Arial" w:eastAsia="굴림" w:hAnsi="Arial" w:cs="Arial"/>
          <w:color w:val="141413"/>
          <w:kern w:val="0"/>
          <w:szCs w:val="20"/>
        </w:rPr>
        <w:fldChar w:fldCharType="end"/>
      </w:r>
      <w:r w:rsidR="00416115" w:rsidRPr="00DD0594">
        <w:rPr>
          <w:rFonts w:ascii="Arial" w:eastAsia="굴림" w:hAnsi="Arial" w:cs="Arial"/>
          <w:color w:val="141413"/>
          <w:kern w:val="0"/>
          <w:szCs w:val="20"/>
        </w:rPr>
      </w:r>
      <w:r w:rsidR="00416115" w:rsidRPr="00DD0594">
        <w:rPr>
          <w:rFonts w:ascii="Arial" w:eastAsia="굴림" w:hAnsi="Arial" w:cs="Arial"/>
          <w:color w:val="141413"/>
          <w:kern w:val="0"/>
          <w:szCs w:val="20"/>
        </w:rPr>
        <w:fldChar w:fldCharType="separate"/>
      </w:r>
      <w:r w:rsidR="00416115" w:rsidRPr="00DD0594">
        <w:rPr>
          <w:rFonts w:ascii="Arial" w:eastAsia="굴림" w:hAnsi="Arial" w:cs="Arial"/>
          <w:noProof/>
          <w:color w:val="141413"/>
          <w:kern w:val="0"/>
          <w:szCs w:val="20"/>
        </w:rPr>
        <w:t>[4]</w:t>
      </w:r>
      <w:r w:rsidR="00416115" w:rsidRPr="00DD0594">
        <w:rPr>
          <w:rFonts w:ascii="Arial" w:eastAsia="굴림" w:hAnsi="Arial" w:cs="Arial"/>
          <w:color w:val="141413"/>
          <w:kern w:val="0"/>
          <w:szCs w:val="20"/>
        </w:rPr>
        <w:fldChar w:fldCharType="end"/>
      </w:r>
      <w:r w:rsidR="00416115" w:rsidRPr="00DD0594">
        <w:rPr>
          <w:rFonts w:ascii="Arial" w:eastAsia="굴림" w:hAnsi="Arial" w:cs="Arial"/>
          <w:color w:val="141413"/>
          <w:kern w:val="0"/>
          <w:szCs w:val="20"/>
        </w:rPr>
        <w:t xml:space="preserve"> </w:t>
      </w:r>
      <w:r w:rsidRPr="00DD0594">
        <w:rPr>
          <w:rFonts w:ascii="Arial" w:hAnsi="Arial" w:cs="Arial"/>
          <w:iCs/>
          <w:szCs w:val="20"/>
        </w:rPr>
        <w:t xml:space="preserve">and </w:t>
      </w:r>
      <w:proofErr w:type="spellStart"/>
      <w:r w:rsidRPr="00DD0594">
        <w:rPr>
          <w:rFonts w:ascii="Arial" w:hAnsi="Arial" w:cs="Arial"/>
          <w:iCs/>
          <w:szCs w:val="20"/>
        </w:rPr>
        <w:t>Ohashi</w:t>
      </w:r>
      <w:proofErr w:type="spellEnd"/>
      <w:r w:rsidRPr="00DD0594">
        <w:rPr>
          <w:rFonts w:ascii="Arial" w:hAnsi="Arial" w:cs="Arial"/>
          <w:iCs/>
          <w:szCs w:val="20"/>
        </w:rPr>
        <w:t xml:space="preserve"> et al.</w:t>
      </w:r>
      <w:r w:rsidR="00416115" w:rsidRPr="00DD0594">
        <w:rPr>
          <w:rFonts w:ascii="Arial" w:eastAsia="굴림" w:hAnsi="Arial" w:cs="Arial"/>
          <w:color w:val="141413"/>
          <w:kern w:val="0"/>
          <w:szCs w:val="20"/>
        </w:rPr>
        <w:t xml:space="preserve"> </w:t>
      </w:r>
      <w:r w:rsidR="00416115" w:rsidRPr="00DD0594">
        <w:rPr>
          <w:rFonts w:ascii="Arial" w:eastAsia="굴림" w:hAnsi="Arial" w:cs="Arial"/>
          <w:color w:val="141413"/>
          <w:kern w:val="0"/>
          <w:szCs w:val="20"/>
        </w:rPr>
        <w:fldChar w:fldCharType="begin"/>
      </w:r>
      <w:r w:rsidR="00416115" w:rsidRPr="00DD0594">
        <w:rPr>
          <w:rFonts w:ascii="Arial" w:eastAsia="굴림" w:hAnsi="Arial" w:cs="Arial"/>
          <w:color w:val="141413"/>
          <w:kern w:val="0"/>
          <w:szCs w:val="20"/>
        </w:rPr>
        <w:instrText xml:space="preserve"> ADDIN EN.CITE &lt;EndNote&gt;&lt;Cite&gt;&lt;Author&gt;Ohashi&lt;/Author&gt;&lt;Year&gt;2024&lt;/Year&gt;&lt;RecNum&gt;31&lt;/RecNum&gt;&lt;DisplayText&gt;[5]&lt;/DisplayText&gt;&lt;record&gt;&lt;rec-number&gt;31&lt;/rec-number&gt;&lt;foreign-keys&gt;&lt;key app="EN" db-id="twp09e2ws9tpwceepp0v922j2dwew0ed59rp" timestamp="1774218314"&gt;31&lt;/key&gt;&lt;/foreign-keys&gt;&lt;ref-type name="Journal Article"&gt;17&lt;/ref-type&gt;&lt;contributors&gt;&lt;authors&gt;&lt;author&gt;Ohashi, K.&lt;/author&gt;&lt;author&gt;Takahashi-Iwata, I.&lt;/author&gt;&lt;author&gt;Jieyu, Z.&lt;/author&gt;&lt;author&gt;Sakushima, K.&lt;/author&gt;&lt;author&gt;Yabe, I.&lt;/author&gt;&lt;author&gt;Ogasawara, K.&lt;/author&gt;&lt;/authors&gt;&lt;/contributors&gt;&lt;auth-address&gt;Faculty of Health Sciences, Hokkaido University, Sapporo, Japan.&amp;#xD;Department of Neurology, Faculty of Medicine and Graduate School of Medicine, Hokkaido University, Sapporo, Japan.&amp;#xD;Institute of Health Science Innovation for Medical Care, Hokkaido University Hospital, Sapporo, Japan.&amp;#xD;Faculty of Engineering, Muroran Institute of Technology, Muroran, Japan.&lt;/auth-address&gt;&lt;titles&gt;&lt;title&gt;Are There Shortages and Regional Disparities in Lecanemab Treatment Facilities? A Cross-Sectional Study&lt;/title&gt;&lt;secondary-title&gt;Health Serv Insights&lt;/secondary-title&gt;&lt;/titles&gt;&lt;periodical&gt;&lt;full-title&gt;Health Serv Insights&lt;/full-title&gt;&lt;/periodical&gt;&lt;pages&gt;11786329241299312&lt;/pages&gt;&lt;volume&gt;17&lt;/volume&gt;&lt;edition&gt;20241118&lt;/edition&gt;&lt;keywords&gt;&lt;keyword&gt;Alzheimer disease&lt;/keyword&gt;&lt;keyword&gt;accessibility&lt;/keyword&gt;&lt;keyword&gt;dementia&lt;/keyword&gt;&lt;keyword&gt;health services&lt;/keyword&gt;&lt;keyword&gt;lecanemab&lt;/keyword&gt;&lt;keyword&gt;two-step floating catchment area method&lt;/keyword&gt;&lt;/keywords&gt;&lt;dates&gt;&lt;year&gt;2024&lt;/year&gt;&lt;/dates&gt;&lt;isbn&gt;1178-6329 (Print)&amp;#xD;1178-6329&lt;/isbn&gt;&lt;accession-num&gt;39563977&lt;/accession-num&gt;&lt;urls&gt;&lt;/urls&gt;&lt;custom1&gt;The author(s) declared no potential conflicts of interest with respect to the research, authorship, and/or publication of this article.&lt;/custom1&gt;&lt;custom2&gt;PMC11574910&lt;/custom2&gt;&lt;electronic-resource-num&gt;10.1177/11786329241299312&lt;/electronic-resource-num&gt;&lt;remote-database-provider&gt;NLM&lt;/remote-database-provider&gt;&lt;language&gt;eng&lt;/language&gt;&lt;/record&gt;&lt;/Cite&gt;&lt;/EndNote&gt;</w:instrText>
      </w:r>
      <w:r w:rsidR="00416115" w:rsidRPr="00DD0594">
        <w:rPr>
          <w:rFonts w:ascii="Arial" w:eastAsia="굴림" w:hAnsi="Arial" w:cs="Arial"/>
          <w:color w:val="141413"/>
          <w:kern w:val="0"/>
          <w:szCs w:val="20"/>
        </w:rPr>
        <w:fldChar w:fldCharType="separate"/>
      </w:r>
      <w:r w:rsidR="00416115" w:rsidRPr="00DD0594">
        <w:rPr>
          <w:rFonts w:ascii="Arial" w:eastAsia="굴림" w:hAnsi="Arial" w:cs="Arial"/>
          <w:noProof/>
          <w:color w:val="141413"/>
          <w:kern w:val="0"/>
          <w:szCs w:val="20"/>
        </w:rPr>
        <w:t>[5]</w:t>
      </w:r>
      <w:r w:rsidR="00416115" w:rsidRPr="00DD0594">
        <w:rPr>
          <w:rFonts w:ascii="Arial" w:eastAsia="굴림" w:hAnsi="Arial" w:cs="Arial"/>
          <w:color w:val="141413"/>
          <w:kern w:val="0"/>
          <w:szCs w:val="20"/>
        </w:rPr>
        <w:fldChar w:fldCharType="end"/>
      </w:r>
      <w:r w:rsidRPr="00DD0594">
        <w:rPr>
          <w:rFonts w:ascii="Arial" w:hAnsi="Arial" w:cs="Arial"/>
          <w:iCs/>
          <w:szCs w:val="20"/>
        </w:rPr>
        <w:t>. Information for Korea was based on the national health insurance reimbursement guidelines and the authors' institutional experience.</w:t>
      </w:r>
    </w:p>
    <w:p w14:paraId="02EBBFA9" w14:textId="77777777" w:rsidR="0072478C" w:rsidRPr="00DD0594" w:rsidRDefault="0072478C" w:rsidP="00BE3CEF">
      <w:pPr>
        <w:spacing w:after="0" w:line="360" w:lineRule="auto"/>
        <w:jc w:val="left"/>
        <w:rPr>
          <w:rFonts w:ascii="Arial" w:hAnsi="Arial" w:cs="Arial"/>
          <w:b/>
          <w:bCs/>
          <w:iCs/>
          <w:szCs w:val="20"/>
        </w:rPr>
      </w:pPr>
    </w:p>
    <w:p w14:paraId="5F8956CB" w14:textId="77777777" w:rsidR="0072478C" w:rsidRPr="00DD0594" w:rsidRDefault="0072478C" w:rsidP="00BE3CEF">
      <w:pPr>
        <w:widowControl/>
        <w:wordWrap/>
        <w:autoSpaceDE/>
        <w:autoSpaceDN/>
        <w:spacing w:line="360" w:lineRule="auto"/>
        <w:rPr>
          <w:rFonts w:ascii="Arial" w:hAnsi="Arial" w:cs="Arial"/>
          <w:b/>
          <w:bCs/>
          <w:i/>
          <w:iCs/>
          <w:noProof/>
          <w:szCs w:val="20"/>
        </w:rPr>
      </w:pPr>
      <w:r w:rsidRPr="00DD0594">
        <w:rPr>
          <w:rFonts w:ascii="Arial" w:hAnsi="Arial" w:cs="Arial"/>
          <w:b/>
          <w:bCs/>
          <w:i/>
          <w:iCs/>
          <w:noProof/>
          <w:szCs w:val="20"/>
        </w:rPr>
        <w:br w:type="page"/>
      </w:r>
    </w:p>
    <w:p w14:paraId="5DA6F87F" w14:textId="78FBD681" w:rsidR="0011008C" w:rsidRPr="00DD0594" w:rsidRDefault="00763AA8" w:rsidP="00BE3CEF">
      <w:pPr>
        <w:spacing w:line="360" w:lineRule="auto"/>
        <w:rPr>
          <w:rFonts w:ascii="Arial" w:hAnsi="Arial" w:cs="Arial"/>
          <w:b/>
          <w:bCs/>
          <w:i/>
          <w:iCs/>
          <w:noProof/>
          <w:szCs w:val="20"/>
        </w:rPr>
      </w:pPr>
      <w:r w:rsidRPr="00DD0594">
        <w:rPr>
          <w:rFonts w:ascii="Arial" w:hAnsi="Arial" w:cs="Arial"/>
          <w:b/>
          <w:bCs/>
          <w:i/>
          <w:iCs/>
          <w:noProof/>
          <w:szCs w:val="20"/>
        </w:rPr>
        <w:lastRenderedPageBreak/>
        <w:t>References</w:t>
      </w:r>
    </w:p>
    <w:p w14:paraId="09A2C338" w14:textId="77777777" w:rsidR="00F144CF" w:rsidRPr="00DD0594" w:rsidRDefault="0011008C" w:rsidP="00F144CF">
      <w:pPr>
        <w:pStyle w:val="EndNoteBibliography"/>
        <w:spacing w:after="0"/>
        <w:ind w:left="560" w:hanging="560"/>
      </w:pPr>
      <w:r w:rsidRPr="00DD0594">
        <w:rPr>
          <w:rFonts w:ascii="Arial" w:hAnsi="Arial" w:cs="Arial"/>
          <w:b/>
          <w:bCs/>
          <w:i/>
          <w:iCs/>
          <w:sz w:val="20"/>
          <w:szCs w:val="20"/>
        </w:rPr>
        <w:fldChar w:fldCharType="begin"/>
      </w:r>
      <w:r w:rsidRPr="00DD0594">
        <w:rPr>
          <w:rFonts w:ascii="Arial" w:hAnsi="Arial" w:cs="Arial"/>
          <w:b/>
          <w:bCs/>
          <w:i/>
          <w:iCs/>
          <w:sz w:val="20"/>
          <w:szCs w:val="20"/>
        </w:rPr>
        <w:instrText xml:space="preserve"> ADDIN EN.REFLIST </w:instrText>
      </w:r>
      <w:r w:rsidRPr="00DD0594">
        <w:rPr>
          <w:rFonts w:ascii="Arial" w:hAnsi="Arial" w:cs="Arial"/>
          <w:b/>
          <w:bCs/>
          <w:i/>
          <w:iCs/>
          <w:sz w:val="20"/>
          <w:szCs w:val="20"/>
        </w:rPr>
        <w:fldChar w:fldCharType="separate"/>
      </w:r>
      <w:r w:rsidR="00F144CF" w:rsidRPr="00DD0594">
        <w:t>1.</w:t>
      </w:r>
      <w:r w:rsidR="00F144CF" w:rsidRPr="00DD0594">
        <w:tab/>
        <w:t>Barthel H, Gertz HJ, Dresel S, Peters O, Bartenstein P, Buerger K, et al. Cerebral amyloid-beta PET with florbetaben (18F) in patients with Alzheimer's disease and healthy controls: a multicentre phase 2 diagnostic study. The Lancet Neurology. 2011;10:424–35.</w:t>
      </w:r>
    </w:p>
    <w:p w14:paraId="4977F1AE" w14:textId="77777777" w:rsidR="00F144CF" w:rsidRPr="00DD0594" w:rsidRDefault="00F144CF" w:rsidP="00F144CF">
      <w:pPr>
        <w:pStyle w:val="EndNoteBibliography"/>
        <w:spacing w:after="0"/>
        <w:ind w:left="560" w:hanging="560"/>
      </w:pPr>
      <w:r w:rsidRPr="00DD0594">
        <w:t>2.</w:t>
      </w:r>
      <w:r w:rsidRPr="00DD0594">
        <w:tab/>
        <w:t>Kim SE, Woo S, Kim SW, Chin J, Kim HJ, Lee BI, et al. A Nomogram for Predicting Amyloid PET Positivity in Amnestic Mild Cognitive Impairment. J Alzheimers Dis. 2018;66:681–91.</w:t>
      </w:r>
    </w:p>
    <w:p w14:paraId="3D318497" w14:textId="77777777" w:rsidR="00F144CF" w:rsidRPr="00DD0594" w:rsidRDefault="00F144CF" w:rsidP="00F144CF">
      <w:pPr>
        <w:pStyle w:val="EndNoteBibliography"/>
        <w:spacing w:after="0"/>
        <w:ind w:left="560" w:hanging="560"/>
      </w:pPr>
      <w:r w:rsidRPr="00DD0594">
        <w:t>3.</w:t>
      </w:r>
      <w:r w:rsidRPr="00DD0594">
        <w:tab/>
        <w:t>Arbanas JC, Damberg CL, Leng M, Harawa N, Sarkisian CA, Landon BE, et al. Estimated Annual Spending on Lecanemab and Its Ancillary Costs in the US Medicare Program. JAMA Intern Med. 2023;183:885–9.</w:t>
      </w:r>
    </w:p>
    <w:p w14:paraId="2386082B" w14:textId="77777777" w:rsidR="00F144CF" w:rsidRPr="00DD0594" w:rsidRDefault="00F144CF" w:rsidP="00F144CF">
      <w:pPr>
        <w:pStyle w:val="EndNoteBibliography"/>
        <w:spacing w:after="0"/>
        <w:ind w:left="560" w:hanging="560"/>
      </w:pPr>
      <w:r w:rsidRPr="00DD0594">
        <w:t>4.</w:t>
      </w:r>
      <w:r w:rsidRPr="00DD0594">
        <w:tab/>
        <w:t>Sato K, Niimi Y, Ihara R, Iwata A, Nemoto K, Arai T, et al. Real-world lecanemab adoption in Japan 1 year after launch: Insights from 311 specialists on infrastructure and reimbursement barriers. Alzheimers Dement. 2025;21:e70652.</w:t>
      </w:r>
    </w:p>
    <w:p w14:paraId="28EAF321" w14:textId="77777777" w:rsidR="00F144CF" w:rsidRPr="00DD0594" w:rsidRDefault="00F144CF" w:rsidP="00F144CF">
      <w:pPr>
        <w:pStyle w:val="EndNoteBibliography"/>
        <w:ind w:left="560" w:hanging="560"/>
      </w:pPr>
      <w:r w:rsidRPr="00DD0594">
        <w:t>5.</w:t>
      </w:r>
      <w:r w:rsidRPr="00DD0594">
        <w:tab/>
        <w:t>Ohashi K, Takahashi-Iwata I, Jieyu Z, Sakushima K, Yabe I, Ogasawara K. Are There Shortages and Regional Disparities in Lecanemab Treatment Facilities? A Cross-Sectional Study. Health Serv Insights. 2024;17:11786329241299312.</w:t>
      </w:r>
    </w:p>
    <w:p w14:paraId="1B4EBB6E" w14:textId="1D503416" w:rsidR="001B4F8A" w:rsidRPr="00BE3CEF" w:rsidRDefault="0011008C" w:rsidP="00BE3CEF">
      <w:pPr>
        <w:pStyle w:val="EndNoteBibliography"/>
        <w:spacing w:line="360" w:lineRule="auto"/>
        <w:rPr>
          <w:rFonts w:ascii="Arial" w:hAnsi="Arial" w:cs="Arial"/>
          <w:b/>
          <w:bCs/>
          <w:i/>
          <w:iCs/>
          <w:sz w:val="20"/>
          <w:szCs w:val="20"/>
        </w:rPr>
      </w:pPr>
      <w:r w:rsidRPr="00DD0594">
        <w:rPr>
          <w:rFonts w:ascii="Arial" w:hAnsi="Arial" w:cs="Arial"/>
          <w:b/>
          <w:bCs/>
          <w:i/>
          <w:iCs/>
          <w:sz w:val="20"/>
          <w:szCs w:val="20"/>
        </w:rPr>
        <w:fldChar w:fldCharType="end"/>
      </w:r>
      <w:bookmarkStart w:id="13" w:name="_GoBack"/>
      <w:bookmarkEnd w:id="13"/>
    </w:p>
    <w:sectPr w:rsidR="001B4F8A" w:rsidRPr="00BE3CEF" w:rsidSect="00DB7A76">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777ED" w14:textId="77777777" w:rsidR="00D340F9" w:rsidRDefault="00D340F9" w:rsidP="00997F26">
      <w:pPr>
        <w:spacing w:after="0" w:line="240" w:lineRule="auto"/>
      </w:pPr>
      <w:r>
        <w:separator/>
      </w:r>
    </w:p>
  </w:endnote>
  <w:endnote w:type="continuationSeparator" w:id="0">
    <w:p w14:paraId="3337F675" w14:textId="77777777" w:rsidR="00D340F9" w:rsidRDefault="00D340F9" w:rsidP="0099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SIL">
    <w:charset w:val="00"/>
    <w:family w:val="roman"/>
    <w:pitch w:val="default"/>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59170"/>
      <w:docPartObj>
        <w:docPartGallery w:val="Page Numbers (Bottom of Page)"/>
        <w:docPartUnique/>
      </w:docPartObj>
    </w:sdtPr>
    <w:sdtContent>
      <w:p w14:paraId="10AB1DC9" w14:textId="4590EDB9" w:rsidR="00DF38DB" w:rsidRDefault="00DF38DB" w:rsidP="00004802">
        <w:pPr>
          <w:pStyle w:val="a4"/>
          <w:jc w:val="center"/>
        </w:pPr>
        <w:r>
          <w:fldChar w:fldCharType="begin"/>
        </w:r>
        <w:r>
          <w:instrText>PAGE   \* MERGEFORMAT</w:instrText>
        </w:r>
        <w:r>
          <w:fldChar w:fldCharType="separate"/>
        </w:r>
        <w:r w:rsidR="00DD0594" w:rsidRPr="00DD0594">
          <w:rPr>
            <w:noProof/>
            <w:lang w:val="ko-KR"/>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F3B12" w14:textId="77777777" w:rsidR="00D340F9" w:rsidRDefault="00D340F9" w:rsidP="00997F26">
      <w:pPr>
        <w:spacing w:after="0" w:line="240" w:lineRule="auto"/>
      </w:pPr>
      <w:r>
        <w:separator/>
      </w:r>
    </w:p>
  </w:footnote>
  <w:footnote w:type="continuationSeparator" w:id="0">
    <w:p w14:paraId="760E82AA" w14:textId="77777777" w:rsidR="00D340F9" w:rsidRDefault="00D340F9" w:rsidP="00997F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7652B"/>
    <w:multiLevelType w:val="hybridMultilevel"/>
    <w:tmpl w:val="AB4057CC"/>
    <w:lvl w:ilvl="0" w:tplc="4A169E20">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nsid w:val="12D82745"/>
    <w:multiLevelType w:val="hybridMultilevel"/>
    <w:tmpl w:val="7B7CDBE4"/>
    <w:lvl w:ilvl="0" w:tplc="6EDC75B0">
      <w:start w:val="1"/>
      <w:numFmt w:val="bullet"/>
      <w:lvlText w:val=""/>
      <w:lvlJc w:val="left"/>
      <w:pPr>
        <w:ind w:left="760" w:hanging="360"/>
      </w:pPr>
      <w:rPr>
        <w:rFonts w:ascii="Wingdings" w:eastAsiaTheme="minorEastAsia"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151168C7"/>
    <w:multiLevelType w:val="hybridMultilevel"/>
    <w:tmpl w:val="B14E8DFA"/>
    <w:lvl w:ilvl="0" w:tplc="24E4C53E">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15E65577"/>
    <w:multiLevelType w:val="hybridMultilevel"/>
    <w:tmpl w:val="839C68BC"/>
    <w:lvl w:ilvl="0" w:tplc="08A28EA2">
      <w:start w:val="1"/>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nsid w:val="1A931CCA"/>
    <w:multiLevelType w:val="hybridMultilevel"/>
    <w:tmpl w:val="0720D424"/>
    <w:lvl w:ilvl="0" w:tplc="997A7AC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365761CE"/>
    <w:multiLevelType w:val="hybridMultilevel"/>
    <w:tmpl w:val="08B2F116"/>
    <w:lvl w:ilvl="0" w:tplc="E3000D34">
      <w:start w:val="14"/>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nsid w:val="3984315A"/>
    <w:multiLevelType w:val="hybridMultilevel"/>
    <w:tmpl w:val="5C0CBDD2"/>
    <w:lvl w:ilvl="0" w:tplc="19C049B0">
      <w:start w:val="5"/>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nsid w:val="6EC714C7"/>
    <w:multiLevelType w:val="hybridMultilevel"/>
    <w:tmpl w:val="705013EC"/>
    <w:lvl w:ilvl="0" w:tplc="E2CC4DC2">
      <w:start w:val="5"/>
      <w:numFmt w:val="bullet"/>
      <w:lvlText w:val=""/>
      <w:lvlJc w:val="left"/>
      <w:pPr>
        <w:ind w:left="800" w:hanging="360"/>
      </w:pPr>
      <w:rPr>
        <w:rFonts w:ascii="Wingdings" w:eastAsiaTheme="minorEastAsia" w:hAnsi="Wingdings" w:cs="Arial" w:hint="default"/>
        <w:b w:val="0"/>
        <w:sz w:val="22"/>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nsid w:val="73E9079F"/>
    <w:multiLevelType w:val="hybridMultilevel"/>
    <w:tmpl w:val="3362A516"/>
    <w:lvl w:ilvl="0" w:tplc="E5E8835C">
      <w:start w:val="1"/>
      <w:numFmt w:val="decimal"/>
      <w:lvlText w:val="%1."/>
      <w:lvlJc w:val="left"/>
      <w:pPr>
        <w:ind w:left="1020" w:hanging="360"/>
      </w:pPr>
    </w:lvl>
    <w:lvl w:ilvl="1" w:tplc="EF3ECB34">
      <w:start w:val="1"/>
      <w:numFmt w:val="decimal"/>
      <w:lvlText w:val="%2."/>
      <w:lvlJc w:val="left"/>
      <w:pPr>
        <w:ind w:left="1020" w:hanging="360"/>
      </w:pPr>
    </w:lvl>
    <w:lvl w:ilvl="2" w:tplc="0E3EDB30">
      <w:start w:val="1"/>
      <w:numFmt w:val="decimal"/>
      <w:lvlText w:val="%3."/>
      <w:lvlJc w:val="left"/>
      <w:pPr>
        <w:ind w:left="1020" w:hanging="360"/>
      </w:pPr>
    </w:lvl>
    <w:lvl w:ilvl="3" w:tplc="69B605E0">
      <w:start w:val="1"/>
      <w:numFmt w:val="decimal"/>
      <w:lvlText w:val="%4."/>
      <w:lvlJc w:val="left"/>
      <w:pPr>
        <w:ind w:left="1020" w:hanging="360"/>
      </w:pPr>
    </w:lvl>
    <w:lvl w:ilvl="4" w:tplc="BCFA5E08">
      <w:start w:val="1"/>
      <w:numFmt w:val="decimal"/>
      <w:lvlText w:val="%5."/>
      <w:lvlJc w:val="left"/>
      <w:pPr>
        <w:ind w:left="1020" w:hanging="360"/>
      </w:pPr>
    </w:lvl>
    <w:lvl w:ilvl="5" w:tplc="F7949364">
      <w:start w:val="1"/>
      <w:numFmt w:val="decimal"/>
      <w:lvlText w:val="%6."/>
      <w:lvlJc w:val="left"/>
      <w:pPr>
        <w:ind w:left="1020" w:hanging="360"/>
      </w:pPr>
    </w:lvl>
    <w:lvl w:ilvl="6" w:tplc="D65C0258">
      <w:start w:val="1"/>
      <w:numFmt w:val="decimal"/>
      <w:lvlText w:val="%7."/>
      <w:lvlJc w:val="left"/>
      <w:pPr>
        <w:ind w:left="1020" w:hanging="360"/>
      </w:pPr>
    </w:lvl>
    <w:lvl w:ilvl="7" w:tplc="2228D392">
      <w:start w:val="1"/>
      <w:numFmt w:val="decimal"/>
      <w:lvlText w:val="%8."/>
      <w:lvlJc w:val="left"/>
      <w:pPr>
        <w:ind w:left="1020" w:hanging="360"/>
      </w:pPr>
    </w:lvl>
    <w:lvl w:ilvl="8" w:tplc="423091D6">
      <w:start w:val="1"/>
      <w:numFmt w:val="decimal"/>
      <w:lvlText w:val="%9."/>
      <w:lvlJc w:val="left"/>
      <w:pPr>
        <w:ind w:left="1020" w:hanging="360"/>
      </w:pPr>
    </w:lvl>
  </w:abstractNum>
  <w:abstractNum w:abstractNumId="9">
    <w:nsid w:val="772471BA"/>
    <w:multiLevelType w:val="hybridMultilevel"/>
    <w:tmpl w:val="DCC40C8A"/>
    <w:lvl w:ilvl="0" w:tplc="E32EEAEC">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abstractNumId w:val="8"/>
  </w:num>
  <w:num w:numId="2">
    <w:abstractNumId w:val="7"/>
  </w:num>
  <w:num w:numId="3">
    <w:abstractNumId w:val="3"/>
  </w:num>
  <w:num w:numId="4">
    <w:abstractNumId w:val="6"/>
  </w:num>
  <w:num w:numId="5">
    <w:abstractNumId w:val="0"/>
  </w:num>
  <w:num w:numId="6">
    <w:abstractNumId w:val="9"/>
  </w:num>
  <w:num w:numId="7">
    <w:abstractNumId w:val="5"/>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ko-KR" w:vendorID="64" w:dllVersion="5" w:nlCheck="1" w:checkStyle="1"/>
  <w:activeWritingStyle w:appName="MSWord" w:lang="ko-KR" w:vendorID="64" w:dllVersion="0" w:nlCheck="1" w:checkStyle="0"/>
  <w:activeWritingStyle w:appName="MSWord" w:lang="ko-KR" w:vendorID="64" w:dllVersion="131077" w:nlCheck="1" w:checkStyle="1"/>
  <w:activeWritingStyle w:appName="MSWord" w:lang="en-US" w:vendorID="64" w:dllVersion="131078" w:nlCheck="1" w:checkStyle="1"/>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lzheimers Res Ther(1758-9193)&lt;/Style&gt;&lt;LeftDelim&gt;{&lt;/LeftDelim&gt;&lt;RightDelim&gt;}&lt;/RightDelim&gt;&lt;FontName&gt;Times New Roman&lt;/FontName&gt;&lt;FontSize&gt;12&lt;/FontSize&gt;&lt;ReflistTitle&gt;&lt;/ReflistTitle&gt;&lt;StartingRefnum&gt;1&lt;/StartingRefnum&gt;&lt;FirstLineIndent&gt;0&lt;/FirstLineIndent&gt;&lt;HangingIndent&gt;566&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twp09e2ws9tpwceepp0v922j2dwew0ed59rp&quot;&gt;ART&lt;record-ids&gt;&lt;item&gt;28&lt;/item&gt;&lt;item&gt;29&lt;/item&gt;&lt;item&gt;31&lt;/item&gt;&lt;item&gt;35&lt;/item&gt;&lt;item&gt;36&lt;/item&gt;&lt;/record-ids&gt;&lt;/item&gt;&lt;/Libraries&gt;"/>
    <w:docVar w:name="EN.UseJSCitationFormat" w:val="False"/>
  </w:docVars>
  <w:rsids>
    <w:rsidRoot w:val="004E2C45"/>
    <w:rsid w:val="00002077"/>
    <w:rsid w:val="000041B6"/>
    <w:rsid w:val="00004802"/>
    <w:rsid w:val="00004D37"/>
    <w:rsid w:val="00013E33"/>
    <w:rsid w:val="00014EA9"/>
    <w:rsid w:val="00021081"/>
    <w:rsid w:val="00022B99"/>
    <w:rsid w:val="00026595"/>
    <w:rsid w:val="0003475E"/>
    <w:rsid w:val="0003648A"/>
    <w:rsid w:val="00041201"/>
    <w:rsid w:val="00045F9F"/>
    <w:rsid w:val="0004683B"/>
    <w:rsid w:val="0005075F"/>
    <w:rsid w:val="00051504"/>
    <w:rsid w:val="00055D4D"/>
    <w:rsid w:val="00057A54"/>
    <w:rsid w:val="0006042C"/>
    <w:rsid w:val="0006078E"/>
    <w:rsid w:val="00063661"/>
    <w:rsid w:val="00063DA9"/>
    <w:rsid w:val="00063FE1"/>
    <w:rsid w:val="00064444"/>
    <w:rsid w:val="00070CE9"/>
    <w:rsid w:val="000755D0"/>
    <w:rsid w:val="00082023"/>
    <w:rsid w:val="00085575"/>
    <w:rsid w:val="000857E8"/>
    <w:rsid w:val="00086509"/>
    <w:rsid w:val="00093B84"/>
    <w:rsid w:val="0009712C"/>
    <w:rsid w:val="000974A9"/>
    <w:rsid w:val="000A0C15"/>
    <w:rsid w:val="000A5121"/>
    <w:rsid w:val="000A74B7"/>
    <w:rsid w:val="000B5934"/>
    <w:rsid w:val="000B769F"/>
    <w:rsid w:val="000C5204"/>
    <w:rsid w:val="000C71D9"/>
    <w:rsid w:val="000D1BE5"/>
    <w:rsid w:val="000E03A4"/>
    <w:rsid w:val="000E101B"/>
    <w:rsid w:val="000E4E90"/>
    <w:rsid w:val="000F6BD9"/>
    <w:rsid w:val="00100236"/>
    <w:rsid w:val="00101E80"/>
    <w:rsid w:val="0011008C"/>
    <w:rsid w:val="001127ED"/>
    <w:rsid w:val="00114B87"/>
    <w:rsid w:val="0011792D"/>
    <w:rsid w:val="001209A8"/>
    <w:rsid w:val="00121105"/>
    <w:rsid w:val="001224A5"/>
    <w:rsid w:val="001230DA"/>
    <w:rsid w:val="0012430D"/>
    <w:rsid w:val="001331E0"/>
    <w:rsid w:val="001348F3"/>
    <w:rsid w:val="00136751"/>
    <w:rsid w:val="0014020B"/>
    <w:rsid w:val="00150DF5"/>
    <w:rsid w:val="00155D8D"/>
    <w:rsid w:val="001572AD"/>
    <w:rsid w:val="00161150"/>
    <w:rsid w:val="001647A8"/>
    <w:rsid w:val="00170F6F"/>
    <w:rsid w:val="00175E09"/>
    <w:rsid w:val="0018168A"/>
    <w:rsid w:val="00181B5E"/>
    <w:rsid w:val="001851EA"/>
    <w:rsid w:val="001A285D"/>
    <w:rsid w:val="001B4F8A"/>
    <w:rsid w:val="001C0134"/>
    <w:rsid w:val="001C5B5A"/>
    <w:rsid w:val="001C7DDE"/>
    <w:rsid w:val="001D27CF"/>
    <w:rsid w:val="001E04C0"/>
    <w:rsid w:val="001E11F9"/>
    <w:rsid w:val="001F6A4F"/>
    <w:rsid w:val="0020176B"/>
    <w:rsid w:val="002032BB"/>
    <w:rsid w:val="002040A2"/>
    <w:rsid w:val="002042F7"/>
    <w:rsid w:val="00205C3B"/>
    <w:rsid w:val="00206380"/>
    <w:rsid w:val="002078BE"/>
    <w:rsid w:val="0021105C"/>
    <w:rsid w:val="00212AE8"/>
    <w:rsid w:val="00213A1D"/>
    <w:rsid w:val="0021431F"/>
    <w:rsid w:val="00220DB5"/>
    <w:rsid w:val="00224554"/>
    <w:rsid w:val="00225410"/>
    <w:rsid w:val="00235DBC"/>
    <w:rsid w:val="00252D96"/>
    <w:rsid w:val="0025658F"/>
    <w:rsid w:val="00256912"/>
    <w:rsid w:val="00261C3E"/>
    <w:rsid w:val="00262069"/>
    <w:rsid w:val="002633F4"/>
    <w:rsid w:val="00267295"/>
    <w:rsid w:val="00272845"/>
    <w:rsid w:val="0027458F"/>
    <w:rsid w:val="002801CA"/>
    <w:rsid w:val="0028399A"/>
    <w:rsid w:val="00284CA9"/>
    <w:rsid w:val="002860FB"/>
    <w:rsid w:val="00287A1F"/>
    <w:rsid w:val="002945D6"/>
    <w:rsid w:val="002A0327"/>
    <w:rsid w:val="002B3629"/>
    <w:rsid w:val="002B5DC2"/>
    <w:rsid w:val="002C322C"/>
    <w:rsid w:val="002C5A22"/>
    <w:rsid w:val="002C63B6"/>
    <w:rsid w:val="002D1CDD"/>
    <w:rsid w:val="002D5C67"/>
    <w:rsid w:val="002E717C"/>
    <w:rsid w:val="002E79E2"/>
    <w:rsid w:val="002F488B"/>
    <w:rsid w:val="002F7460"/>
    <w:rsid w:val="00300F10"/>
    <w:rsid w:val="0032056D"/>
    <w:rsid w:val="003232E8"/>
    <w:rsid w:val="00326104"/>
    <w:rsid w:val="00336751"/>
    <w:rsid w:val="00345241"/>
    <w:rsid w:val="00347925"/>
    <w:rsid w:val="003541B4"/>
    <w:rsid w:val="00355C5C"/>
    <w:rsid w:val="00360D37"/>
    <w:rsid w:val="00362037"/>
    <w:rsid w:val="003655FF"/>
    <w:rsid w:val="003716AD"/>
    <w:rsid w:val="0037631B"/>
    <w:rsid w:val="0038585F"/>
    <w:rsid w:val="00386303"/>
    <w:rsid w:val="00392AA8"/>
    <w:rsid w:val="00393770"/>
    <w:rsid w:val="003A21C9"/>
    <w:rsid w:val="003A46C1"/>
    <w:rsid w:val="003A66F5"/>
    <w:rsid w:val="003B3C9E"/>
    <w:rsid w:val="003B463E"/>
    <w:rsid w:val="003B6EC9"/>
    <w:rsid w:val="003C284F"/>
    <w:rsid w:val="003C643A"/>
    <w:rsid w:val="003C7231"/>
    <w:rsid w:val="003D537F"/>
    <w:rsid w:val="003D655E"/>
    <w:rsid w:val="003F68D8"/>
    <w:rsid w:val="003F74B5"/>
    <w:rsid w:val="0040477F"/>
    <w:rsid w:val="004057EF"/>
    <w:rsid w:val="004107C9"/>
    <w:rsid w:val="00416115"/>
    <w:rsid w:val="00416809"/>
    <w:rsid w:val="00417A2B"/>
    <w:rsid w:val="00425DFB"/>
    <w:rsid w:val="00427530"/>
    <w:rsid w:val="00427870"/>
    <w:rsid w:val="004315C2"/>
    <w:rsid w:val="004339AF"/>
    <w:rsid w:val="0043477A"/>
    <w:rsid w:val="00434CC2"/>
    <w:rsid w:val="004414B1"/>
    <w:rsid w:val="00442836"/>
    <w:rsid w:val="00451437"/>
    <w:rsid w:val="00451614"/>
    <w:rsid w:val="0045239B"/>
    <w:rsid w:val="00453F8D"/>
    <w:rsid w:val="00454C7D"/>
    <w:rsid w:val="004552AE"/>
    <w:rsid w:val="004674AD"/>
    <w:rsid w:val="0046767D"/>
    <w:rsid w:val="00474911"/>
    <w:rsid w:val="00480151"/>
    <w:rsid w:val="00490256"/>
    <w:rsid w:val="00491102"/>
    <w:rsid w:val="00491180"/>
    <w:rsid w:val="004916FD"/>
    <w:rsid w:val="004978C8"/>
    <w:rsid w:val="004A1130"/>
    <w:rsid w:val="004A4338"/>
    <w:rsid w:val="004C0F0C"/>
    <w:rsid w:val="004C1DE2"/>
    <w:rsid w:val="004C3FE4"/>
    <w:rsid w:val="004E0513"/>
    <w:rsid w:val="004E2C45"/>
    <w:rsid w:val="004E3972"/>
    <w:rsid w:val="004F41DF"/>
    <w:rsid w:val="00500885"/>
    <w:rsid w:val="00501C83"/>
    <w:rsid w:val="00507B4E"/>
    <w:rsid w:val="00512738"/>
    <w:rsid w:val="00517F7D"/>
    <w:rsid w:val="0052099F"/>
    <w:rsid w:val="00532CC7"/>
    <w:rsid w:val="0053731D"/>
    <w:rsid w:val="00541220"/>
    <w:rsid w:val="00544613"/>
    <w:rsid w:val="0054617B"/>
    <w:rsid w:val="00546E4F"/>
    <w:rsid w:val="00552EA5"/>
    <w:rsid w:val="00557247"/>
    <w:rsid w:val="00557998"/>
    <w:rsid w:val="00572531"/>
    <w:rsid w:val="005734B6"/>
    <w:rsid w:val="00580CC2"/>
    <w:rsid w:val="00581333"/>
    <w:rsid w:val="00593B01"/>
    <w:rsid w:val="00593FB8"/>
    <w:rsid w:val="0059464E"/>
    <w:rsid w:val="005964E4"/>
    <w:rsid w:val="005A21BB"/>
    <w:rsid w:val="005A2609"/>
    <w:rsid w:val="005A4813"/>
    <w:rsid w:val="005A580C"/>
    <w:rsid w:val="005A66C1"/>
    <w:rsid w:val="005C004C"/>
    <w:rsid w:val="005C1DC2"/>
    <w:rsid w:val="005C20FE"/>
    <w:rsid w:val="005C2833"/>
    <w:rsid w:val="005C398A"/>
    <w:rsid w:val="005D2941"/>
    <w:rsid w:val="005D662A"/>
    <w:rsid w:val="005D6B26"/>
    <w:rsid w:val="005E26E9"/>
    <w:rsid w:val="005E6570"/>
    <w:rsid w:val="005F13C5"/>
    <w:rsid w:val="005F249F"/>
    <w:rsid w:val="005F5C9C"/>
    <w:rsid w:val="006002AC"/>
    <w:rsid w:val="006025B5"/>
    <w:rsid w:val="00604FDB"/>
    <w:rsid w:val="006112ED"/>
    <w:rsid w:val="0061330F"/>
    <w:rsid w:val="00616032"/>
    <w:rsid w:val="00622C46"/>
    <w:rsid w:val="00626A41"/>
    <w:rsid w:val="00631EE3"/>
    <w:rsid w:val="0063388C"/>
    <w:rsid w:val="006360B6"/>
    <w:rsid w:val="00641570"/>
    <w:rsid w:val="00647129"/>
    <w:rsid w:val="006476FE"/>
    <w:rsid w:val="00647A28"/>
    <w:rsid w:val="00656C2E"/>
    <w:rsid w:val="006635CE"/>
    <w:rsid w:val="00665436"/>
    <w:rsid w:val="006721A3"/>
    <w:rsid w:val="00672267"/>
    <w:rsid w:val="0067416D"/>
    <w:rsid w:val="006825E2"/>
    <w:rsid w:val="006837AB"/>
    <w:rsid w:val="00684013"/>
    <w:rsid w:val="006913D6"/>
    <w:rsid w:val="006A4015"/>
    <w:rsid w:val="006B10B6"/>
    <w:rsid w:val="006B190C"/>
    <w:rsid w:val="006B358C"/>
    <w:rsid w:val="006B4F5E"/>
    <w:rsid w:val="006C3D1C"/>
    <w:rsid w:val="006C5C98"/>
    <w:rsid w:val="006D6810"/>
    <w:rsid w:val="006E2E7C"/>
    <w:rsid w:val="006E6FB7"/>
    <w:rsid w:val="006F38E0"/>
    <w:rsid w:val="00702C74"/>
    <w:rsid w:val="007074BC"/>
    <w:rsid w:val="0071184A"/>
    <w:rsid w:val="00715D0D"/>
    <w:rsid w:val="00717B66"/>
    <w:rsid w:val="0072478C"/>
    <w:rsid w:val="007357C9"/>
    <w:rsid w:val="00736E8D"/>
    <w:rsid w:val="00742FC4"/>
    <w:rsid w:val="007504A5"/>
    <w:rsid w:val="007506FB"/>
    <w:rsid w:val="00755C5D"/>
    <w:rsid w:val="00761826"/>
    <w:rsid w:val="00761865"/>
    <w:rsid w:val="0076223D"/>
    <w:rsid w:val="00762D93"/>
    <w:rsid w:val="007633FB"/>
    <w:rsid w:val="00763AA8"/>
    <w:rsid w:val="007650A9"/>
    <w:rsid w:val="00767129"/>
    <w:rsid w:val="00780506"/>
    <w:rsid w:val="00781A5C"/>
    <w:rsid w:val="00782F24"/>
    <w:rsid w:val="0079002A"/>
    <w:rsid w:val="00791F3A"/>
    <w:rsid w:val="00792DB0"/>
    <w:rsid w:val="00793B72"/>
    <w:rsid w:val="0079560F"/>
    <w:rsid w:val="007A1696"/>
    <w:rsid w:val="007A4DDF"/>
    <w:rsid w:val="007B203D"/>
    <w:rsid w:val="007B2FA4"/>
    <w:rsid w:val="007B459C"/>
    <w:rsid w:val="007B4C62"/>
    <w:rsid w:val="007C6138"/>
    <w:rsid w:val="007D27AF"/>
    <w:rsid w:val="007D2BB5"/>
    <w:rsid w:val="007D4223"/>
    <w:rsid w:val="007D7722"/>
    <w:rsid w:val="007E0A56"/>
    <w:rsid w:val="007F2BD1"/>
    <w:rsid w:val="007F6DE4"/>
    <w:rsid w:val="00801D66"/>
    <w:rsid w:val="008023ED"/>
    <w:rsid w:val="00802755"/>
    <w:rsid w:val="0080582A"/>
    <w:rsid w:val="00813175"/>
    <w:rsid w:val="0081331D"/>
    <w:rsid w:val="008206CD"/>
    <w:rsid w:val="00840A23"/>
    <w:rsid w:val="0084242B"/>
    <w:rsid w:val="00844313"/>
    <w:rsid w:val="008606A5"/>
    <w:rsid w:val="00860E9E"/>
    <w:rsid w:val="008610AC"/>
    <w:rsid w:val="0087044A"/>
    <w:rsid w:val="00880FF6"/>
    <w:rsid w:val="00882847"/>
    <w:rsid w:val="00886E67"/>
    <w:rsid w:val="0089185B"/>
    <w:rsid w:val="008925EF"/>
    <w:rsid w:val="0089539E"/>
    <w:rsid w:val="008A1BE9"/>
    <w:rsid w:val="008B1134"/>
    <w:rsid w:val="008B4458"/>
    <w:rsid w:val="008B6A19"/>
    <w:rsid w:val="008C044D"/>
    <w:rsid w:val="008C1EB1"/>
    <w:rsid w:val="008D6B7C"/>
    <w:rsid w:val="008E1C06"/>
    <w:rsid w:val="008F3BBC"/>
    <w:rsid w:val="00900615"/>
    <w:rsid w:val="00902AB4"/>
    <w:rsid w:val="0090649D"/>
    <w:rsid w:val="009147E6"/>
    <w:rsid w:val="00916823"/>
    <w:rsid w:val="00916938"/>
    <w:rsid w:val="00916EA8"/>
    <w:rsid w:val="009213DC"/>
    <w:rsid w:val="0092190E"/>
    <w:rsid w:val="00926666"/>
    <w:rsid w:val="00930E6D"/>
    <w:rsid w:val="00936E5A"/>
    <w:rsid w:val="00937AAC"/>
    <w:rsid w:val="00937FC7"/>
    <w:rsid w:val="009517B2"/>
    <w:rsid w:val="00953CC1"/>
    <w:rsid w:val="0095570E"/>
    <w:rsid w:val="00960D51"/>
    <w:rsid w:val="0097102D"/>
    <w:rsid w:val="009762AE"/>
    <w:rsid w:val="00976E2A"/>
    <w:rsid w:val="009812AF"/>
    <w:rsid w:val="00986F88"/>
    <w:rsid w:val="00997B62"/>
    <w:rsid w:val="00997F26"/>
    <w:rsid w:val="009A4C46"/>
    <w:rsid w:val="009A5B71"/>
    <w:rsid w:val="009B1030"/>
    <w:rsid w:val="009B5BBB"/>
    <w:rsid w:val="009B6441"/>
    <w:rsid w:val="009B676B"/>
    <w:rsid w:val="009C31E2"/>
    <w:rsid w:val="009D03BB"/>
    <w:rsid w:val="009D0991"/>
    <w:rsid w:val="009E3F6F"/>
    <w:rsid w:val="009E7E0D"/>
    <w:rsid w:val="009F5791"/>
    <w:rsid w:val="009F6F68"/>
    <w:rsid w:val="009F79EB"/>
    <w:rsid w:val="00A055CF"/>
    <w:rsid w:val="00A05DF4"/>
    <w:rsid w:val="00A0757C"/>
    <w:rsid w:val="00A13A4E"/>
    <w:rsid w:val="00A14809"/>
    <w:rsid w:val="00A22543"/>
    <w:rsid w:val="00A23692"/>
    <w:rsid w:val="00A30AC4"/>
    <w:rsid w:val="00A37FAE"/>
    <w:rsid w:val="00A40EDB"/>
    <w:rsid w:val="00A447CC"/>
    <w:rsid w:val="00A46C82"/>
    <w:rsid w:val="00A47F08"/>
    <w:rsid w:val="00A556B2"/>
    <w:rsid w:val="00A5589B"/>
    <w:rsid w:val="00A60089"/>
    <w:rsid w:val="00A604CF"/>
    <w:rsid w:val="00A619AC"/>
    <w:rsid w:val="00A65C81"/>
    <w:rsid w:val="00A674A6"/>
    <w:rsid w:val="00A8612B"/>
    <w:rsid w:val="00A867E8"/>
    <w:rsid w:val="00A867F0"/>
    <w:rsid w:val="00A90C2C"/>
    <w:rsid w:val="00A9116F"/>
    <w:rsid w:val="00AA3866"/>
    <w:rsid w:val="00AB2A08"/>
    <w:rsid w:val="00AB7FCB"/>
    <w:rsid w:val="00AC2A12"/>
    <w:rsid w:val="00AD0C19"/>
    <w:rsid w:val="00AD72CA"/>
    <w:rsid w:val="00AE2C27"/>
    <w:rsid w:val="00AE77FE"/>
    <w:rsid w:val="00AF4B2A"/>
    <w:rsid w:val="00B0111C"/>
    <w:rsid w:val="00B01EAC"/>
    <w:rsid w:val="00B02227"/>
    <w:rsid w:val="00B05921"/>
    <w:rsid w:val="00B06EA2"/>
    <w:rsid w:val="00B06F8D"/>
    <w:rsid w:val="00B1183E"/>
    <w:rsid w:val="00B17034"/>
    <w:rsid w:val="00B20E33"/>
    <w:rsid w:val="00B231E8"/>
    <w:rsid w:val="00B36EF3"/>
    <w:rsid w:val="00B41026"/>
    <w:rsid w:val="00B41097"/>
    <w:rsid w:val="00B445FA"/>
    <w:rsid w:val="00B45B46"/>
    <w:rsid w:val="00B51065"/>
    <w:rsid w:val="00B537A6"/>
    <w:rsid w:val="00B553B8"/>
    <w:rsid w:val="00B66A3E"/>
    <w:rsid w:val="00B67625"/>
    <w:rsid w:val="00B7064B"/>
    <w:rsid w:val="00B72DAF"/>
    <w:rsid w:val="00B74D57"/>
    <w:rsid w:val="00B76E90"/>
    <w:rsid w:val="00B8023E"/>
    <w:rsid w:val="00B8068B"/>
    <w:rsid w:val="00B8310F"/>
    <w:rsid w:val="00B8445F"/>
    <w:rsid w:val="00B85E04"/>
    <w:rsid w:val="00B8766B"/>
    <w:rsid w:val="00B97216"/>
    <w:rsid w:val="00BB0AF4"/>
    <w:rsid w:val="00BB691E"/>
    <w:rsid w:val="00BD26C2"/>
    <w:rsid w:val="00BD37F1"/>
    <w:rsid w:val="00BD47EA"/>
    <w:rsid w:val="00BD5EAF"/>
    <w:rsid w:val="00BD6589"/>
    <w:rsid w:val="00BE1575"/>
    <w:rsid w:val="00BE25DE"/>
    <w:rsid w:val="00BE3CEF"/>
    <w:rsid w:val="00BE57FD"/>
    <w:rsid w:val="00BF0631"/>
    <w:rsid w:val="00BF11CC"/>
    <w:rsid w:val="00BF2886"/>
    <w:rsid w:val="00BF2F0A"/>
    <w:rsid w:val="00BF3B0A"/>
    <w:rsid w:val="00BF5989"/>
    <w:rsid w:val="00C03EAD"/>
    <w:rsid w:val="00C06727"/>
    <w:rsid w:val="00C14A22"/>
    <w:rsid w:val="00C15B20"/>
    <w:rsid w:val="00C20891"/>
    <w:rsid w:val="00C225F4"/>
    <w:rsid w:val="00C259D7"/>
    <w:rsid w:val="00C30387"/>
    <w:rsid w:val="00C33D65"/>
    <w:rsid w:val="00C45428"/>
    <w:rsid w:val="00C54B80"/>
    <w:rsid w:val="00C56BA5"/>
    <w:rsid w:val="00C57996"/>
    <w:rsid w:val="00C62925"/>
    <w:rsid w:val="00C7092A"/>
    <w:rsid w:val="00C7162F"/>
    <w:rsid w:val="00C72037"/>
    <w:rsid w:val="00C720B2"/>
    <w:rsid w:val="00C72685"/>
    <w:rsid w:val="00C72EA3"/>
    <w:rsid w:val="00C7325C"/>
    <w:rsid w:val="00C76D0B"/>
    <w:rsid w:val="00C77F62"/>
    <w:rsid w:val="00C8232E"/>
    <w:rsid w:val="00C83511"/>
    <w:rsid w:val="00C83D26"/>
    <w:rsid w:val="00C8532A"/>
    <w:rsid w:val="00C86E6B"/>
    <w:rsid w:val="00C93A62"/>
    <w:rsid w:val="00CA1B4D"/>
    <w:rsid w:val="00CB0611"/>
    <w:rsid w:val="00CB5A40"/>
    <w:rsid w:val="00CB6FA5"/>
    <w:rsid w:val="00CC0AEA"/>
    <w:rsid w:val="00CC0E7F"/>
    <w:rsid w:val="00CC1727"/>
    <w:rsid w:val="00CC5FFB"/>
    <w:rsid w:val="00CC7B71"/>
    <w:rsid w:val="00CD2A2F"/>
    <w:rsid w:val="00CD66F8"/>
    <w:rsid w:val="00CE1265"/>
    <w:rsid w:val="00CE375E"/>
    <w:rsid w:val="00CE64CE"/>
    <w:rsid w:val="00CE670B"/>
    <w:rsid w:val="00D00071"/>
    <w:rsid w:val="00D03AFB"/>
    <w:rsid w:val="00D11878"/>
    <w:rsid w:val="00D1368B"/>
    <w:rsid w:val="00D2025C"/>
    <w:rsid w:val="00D26741"/>
    <w:rsid w:val="00D26786"/>
    <w:rsid w:val="00D340F9"/>
    <w:rsid w:val="00D35EE3"/>
    <w:rsid w:val="00D46D95"/>
    <w:rsid w:val="00D47AEA"/>
    <w:rsid w:val="00D52389"/>
    <w:rsid w:val="00D53B74"/>
    <w:rsid w:val="00D54E50"/>
    <w:rsid w:val="00D604B1"/>
    <w:rsid w:val="00D62D6E"/>
    <w:rsid w:val="00D65629"/>
    <w:rsid w:val="00D66CD4"/>
    <w:rsid w:val="00D711CB"/>
    <w:rsid w:val="00D82201"/>
    <w:rsid w:val="00D828C0"/>
    <w:rsid w:val="00D87AFA"/>
    <w:rsid w:val="00D905C0"/>
    <w:rsid w:val="00D95FBC"/>
    <w:rsid w:val="00DA08EF"/>
    <w:rsid w:val="00DA5F50"/>
    <w:rsid w:val="00DB0621"/>
    <w:rsid w:val="00DB2FB0"/>
    <w:rsid w:val="00DB6197"/>
    <w:rsid w:val="00DB7A76"/>
    <w:rsid w:val="00DC01ED"/>
    <w:rsid w:val="00DD0594"/>
    <w:rsid w:val="00DD4C74"/>
    <w:rsid w:val="00DE2702"/>
    <w:rsid w:val="00DF09CC"/>
    <w:rsid w:val="00DF38DB"/>
    <w:rsid w:val="00DF6642"/>
    <w:rsid w:val="00E10337"/>
    <w:rsid w:val="00E1212C"/>
    <w:rsid w:val="00E24BBE"/>
    <w:rsid w:val="00E26947"/>
    <w:rsid w:val="00E27B14"/>
    <w:rsid w:val="00E348AB"/>
    <w:rsid w:val="00E411A2"/>
    <w:rsid w:val="00E419F9"/>
    <w:rsid w:val="00E45633"/>
    <w:rsid w:val="00E470F5"/>
    <w:rsid w:val="00E524B5"/>
    <w:rsid w:val="00E57277"/>
    <w:rsid w:val="00E661AE"/>
    <w:rsid w:val="00E6638D"/>
    <w:rsid w:val="00E665BE"/>
    <w:rsid w:val="00E7000C"/>
    <w:rsid w:val="00E70368"/>
    <w:rsid w:val="00E70E79"/>
    <w:rsid w:val="00E76AD0"/>
    <w:rsid w:val="00E76F3D"/>
    <w:rsid w:val="00E80464"/>
    <w:rsid w:val="00E80781"/>
    <w:rsid w:val="00E87880"/>
    <w:rsid w:val="00E91E3B"/>
    <w:rsid w:val="00E942DF"/>
    <w:rsid w:val="00E97DD6"/>
    <w:rsid w:val="00EA5F97"/>
    <w:rsid w:val="00EA6D76"/>
    <w:rsid w:val="00EC0980"/>
    <w:rsid w:val="00EC6A98"/>
    <w:rsid w:val="00EC7DF1"/>
    <w:rsid w:val="00ED6893"/>
    <w:rsid w:val="00EE04E3"/>
    <w:rsid w:val="00EE2BFD"/>
    <w:rsid w:val="00EE3CC0"/>
    <w:rsid w:val="00EE7554"/>
    <w:rsid w:val="00EF0807"/>
    <w:rsid w:val="00EF2344"/>
    <w:rsid w:val="00EF3010"/>
    <w:rsid w:val="00EF6AFA"/>
    <w:rsid w:val="00F045E1"/>
    <w:rsid w:val="00F079EF"/>
    <w:rsid w:val="00F10E7F"/>
    <w:rsid w:val="00F12C27"/>
    <w:rsid w:val="00F13F5F"/>
    <w:rsid w:val="00F144CF"/>
    <w:rsid w:val="00F20992"/>
    <w:rsid w:val="00F23F3F"/>
    <w:rsid w:val="00F26425"/>
    <w:rsid w:val="00F279A5"/>
    <w:rsid w:val="00F32AC5"/>
    <w:rsid w:val="00F358D1"/>
    <w:rsid w:val="00F35C43"/>
    <w:rsid w:val="00F414D7"/>
    <w:rsid w:val="00F52E3B"/>
    <w:rsid w:val="00F53221"/>
    <w:rsid w:val="00F57A0B"/>
    <w:rsid w:val="00F601EE"/>
    <w:rsid w:val="00F611C4"/>
    <w:rsid w:val="00F61C5E"/>
    <w:rsid w:val="00F6429D"/>
    <w:rsid w:val="00F6487E"/>
    <w:rsid w:val="00F64C80"/>
    <w:rsid w:val="00F65711"/>
    <w:rsid w:val="00F66B21"/>
    <w:rsid w:val="00F6747E"/>
    <w:rsid w:val="00F71BBC"/>
    <w:rsid w:val="00F75F4F"/>
    <w:rsid w:val="00F801AE"/>
    <w:rsid w:val="00F90065"/>
    <w:rsid w:val="00F946BD"/>
    <w:rsid w:val="00FA5825"/>
    <w:rsid w:val="00FA7736"/>
    <w:rsid w:val="00FA7C90"/>
    <w:rsid w:val="00FB021E"/>
    <w:rsid w:val="00FC3530"/>
    <w:rsid w:val="00FC3909"/>
    <w:rsid w:val="00FC438C"/>
    <w:rsid w:val="00FD11F5"/>
    <w:rsid w:val="00FD4DAB"/>
    <w:rsid w:val="00FE25FC"/>
    <w:rsid w:val="00FE2E32"/>
    <w:rsid w:val="00FF4F1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0B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609"/>
    <w:pPr>
      <w:widowControl w:val="0"/>
      <w:wordWrap w:val="0"/>
      <w:autoSpaceDE w:val="0"/>
      <w:autoSpaceDN w:val="0"/>
    </w:pPr>
  </w:style>
  <w:style w:type="paragraph" w:styleId="1">
    <w:name w:val="heading 1"/>
    <w:basedOn w:val="a"/>
    <w:next w:val="a"/>
    <w:link w:val="1Char"/>
    <w:uiPriority w:val="9"/>
    <w:qFormat/>
    <w:rsid w:val="00902AB4"/>
    <w:pPr>
      <w:keepNext/>
      <w:keepLines/>
      <w:widowControl/>
      <w:wordWrap/>
      <w:autoSpaceDE/>
      <w:autoSpaceDN/>
      <w:spacing w:before="480" w:after="120" w:line="240" w:lineRule="auto"/>
      <w:outlineLvl w:val="0"/>
    </w:pPr>
    <w:rPr>
      <w:rFonts w:ascii="Times New Roman" w:hAnsi="Times New Roman" w:cs="Times New Roman"/>
      <w:b/>
      <w:kern w:val="0"/>
      <w:szCs w:val="20"/>
      <w:lang w:eastAsia="en-US"/>
    </w:rPr>
  </w:style>
  <w:style w:type="paragraph" w:styleId="2">
    <w:name w:val="heading 2"/>
    <w:basedOn w:val="a"/>
    <w:next w:val="a"/>
    <w:link w:val="2Char"/>
    <w:uiPriority w:val="9"/>
    <w:unhideWhenUsed/>
    <w:qFormat/>
    <w:rsid w:val="00D118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9517B2"/>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7F26"/>
    <w:pPr>
      <w:tabs>
        <w:tab w:val="center" w:pos="4513"/>
        <w:tab w:val="right" w:pos="9026"/>
      </w:tabs>
      <w:snapToGrid w:val="0"/>
    </w:pPr>
  </w:style>
  <w:style w:type="character" w:customStyle="1" w:styleId="Char">
    <w:name w:val="머리글 Char"/>
    <w:basedOn w:val="a0"/>
    <w:link w:val="a3"/>
    <w:uiPriority w:val="99"/>
    <w:rsid w:val="00997F26"/>
  </w:style>
  <w:style w:type="paragraph" w:styleId="a4">
    <w:name w:val="footer"/>
    <w:basedOn w:val="a"/>
    <w:link w:val="Char0"/>
    <w:uiPriority w:val="99"/>
    <w:unhideWhenUsed/>
    <w:rsid w:val="00997F26"/>
    <w:pPr>
      <w:tabs>
        <w:tab w:val="center" w:pos="4513"/>
        <w:tab w:val="right" w:pos="9026"/>
      </w:tabs>
      <w:snapToGrid w:val="0"/>
    </w:pPr>
  </w:style>
  <w:style w:type="character" w:customStyle="1" w:styleId="Char0">
    <w:name w:val="바닥글 Char"/>
    <w:basedOn w:val="a0"/>
    <w:link w:val="a4"/>
    <w:uiPriority w:val="99"/>
    <w:rsid w:val="00997F26"/>
  </w:style>
  <w:style w:type="paragraph" w:customStyle="1" w:styleId="EndNoteBibliographyTitle">
    <w:name w:val="EndNote Bibliography Title"/>
    <w:basedOn w:val="a"/>
    <w:link w:val="EndNoteBibliographyTitleChar"/>
    <w:rsid w:val="0020176B"/>
    <w:pPr>
      <w:spacing w:after="0"/>
      <w:jc w:val="center"/>
    </w:pPr>
    <w:rPr>
      <w:rFonts w:ascii="Times New Roman" w:eastAsia="맑은 고딕" w:hAnsi="Times New Roman" w:cs="Times New Roman"/>
      <w:noProof/>
      <w:sz w:val="24"/>
    </w:rPr>
  </w:style>
  <w:style w:type="character" w:customStyle="1" w:styleId="EndNoteBibliographyTitleChar">
    <w:name w:val="EndNote Bibliography Title Char"/>
    <w:basedOn w:val="a0"/>
    <w:link w:val="EndNoteBibliographyTitle"/>
    <w:rsid w:val="0020176B"/>
    <w:rPr>
      <w:rFonts w:ascii="Times New Roman" w:eastAsia="맑은 고딕" w:hAnsi="Times New Roman" w:cs="Times New Roman"/>
      <w:noProof/>
      <w:sz w:val="24"/>
    </w:rPr>
  </w:style>
  <w:style w:type="paragraph" w:customStyle="1" w:styleId="EndNoteBibliography">
    <w:name w:val="EndNote Bibliography"/>
    <w:basedOn w:val="a"/>
    <w:link w:val="EndNoteBibliographyChar"/>
    <w:rsid w:val="0020176B"/>
    <w:pPr>
      <w:spacing w:line="48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20176B"/>
    <w:rPr>
      <w:rFonts w:ascii="Times New Roman" w:eastAsia="맑은 고딕" w:hAnsi="Times New Roman" w:cs="Times New Roman"/>
      <w:noProof/>
      <w:sz w:val="24"/>
    </w:rPr>
  </w:style>
  <w:style w:type="paragraph" w:styleId="a5">
    <w:name w:val="Balloon Text"/>
    <w:basedOn w:val="a"/>
    <w:link w:val="Char1"/>
    <w:uiPriority w:val="99"/>
    <w:semiHidden/>
    <w:unhideWhenUsed/>
    <w:rsid w:val="00EF6AFA"/>
    <w:pPr>
      <w:spacing w:after="0" w:line="240" w:lineRule="auto"/>
    </w:pPr>
    <w:rPr>
      <w:rFonts w:ascii="맑은 고딕" w:eastAsia="맑은 고딕"/>
      <w:sz w:val="18"/>
      <w:szCs w:val="18"/>
    </w:rPr>
  </w:style>
  <w:style w:type="character" w:customStyle="1" w:styleId="Char1">
    <w:name w:val="풍선 도움말 텍스트 Char"/>
    <w:basedOn w:val="a0"/>
    <w:link w:val="a5"/>
    <w:uiPriority w:val="99"/>
    <w:semiHidden/>
    <w:rsid w:val="00EF6AFA"/>
    <w:rPr>
      <w:rFonts w:ascii="맑은 고딕" w:eastAsia="맑은 고딕"/>
      <w:sz w:val="18"/>
      <w:szCs w:val="18"/>
    </w:rPr>
  </w:style>
  <w:style w:type="character" w:customStyle="1" w:styleId="1Char">
    <w:name w:val="제목 1 Char"/>
    <w:basedOn w:val="a0"/>
    <w:link w:val="1"/>
    <w:uiPriority w:val="9"/>
    <w:rsid w:val="00902AB4"/>
    <w:rPr>
      <w:rFonts w:ascii="Times New Roman" w:hAnsi="Times New Roman" w:cs="Times New Roman"/>
      <w:b/>
      <w:kern w:val="0"/>
      <w:szCs w:val="20"/>
      <w:lang w:eastAsia="en-US"/>
    </w:rPr>
  </w:style>
  <w:style w:type="paragraph" w:styleId="a6">
    <w:name w:val="List Paragraph"/>
    <w:basedOn w:val="a"/>
    <w:uiPriority w:val="34"/>
    <w:qFormat/>
    <w:rsid w:val="00D711CB"/>
    <w:pPr>
      <w:ind w:leftChars="400" w:left="800"/>
    </w:pPr>
  </w:style>
  <w:style w:type="character" w:styleId="a7">
    <w:name w:val="annotation reference"/>
    <w:basedOn w:val="a0"/>
    <w:uiPriority w:val="99"/>
    <w:unhideWhenUsed/>
    <w:rsid w:val="005A580C"/>
    <w:rPr>
      <w:sz w:val="18"/>
      <w:szCs w:val="18"/>
    </w:rPr>
  </w:style>
  <w:style w:type="paragraph" w:styleId="a8">
    <w:name w:val="annotation text"/>
    <w:aliases w:val="Char11"/>
    <w:basedOn w:val="a"/>
    <w:link w:val="Char2"/>
    <w:unhideWhenUsed/>
    <w:qFormat/>
    <w:rsid w:val="005A580C"/>
    <w:pPr>
      <w:jc w:val="left"/>
    </w:pPr>
  </w:style>
  <w:style w:type="character" w:customStyle="1" w:styleId="Char2">
    <w:name w:val="메모 텍스트 Char"/>
    <w:aliases w:val="Char11 Char"/>
    <w:basedOn w:val="a0"/>
    <w:link w:val="a8"/>
    <w:qFormat/>
    <w:rsid w:val="005A580C"/>
  </w:style>
  <w:style w:type="paragraph" w:styleId="a9">
    <w:name w:val="annotation subject"/>
    <w:basedOn w:val="a8"/>
    <w:next w:val="a8"/>
    <w:link w:val="Char3"/>
    <w:uiPriority w:val="99"/>
    <w:semiHidden/>
    <w:unhideWhenUsed/>
    <w:rsid w:val="005A580C"/>
    <w:rPr>
      <w:b/>
      <w:bCs/>
    </w:rPr>
  </w:style>
  <w:style w:type="character" w:customStyle="1" w:styleId="Char3">
    <w:name w:val="메모 주제 Char"/>
    <w:basedOn w:val="Char2"/>
    <w:link w:val="a9"/>
    <w:uiPriority w:val="99"/>
    <w:semiHidden/>
    <w:rsid w:val="005A580C"/>
    <w:rPr>
      <w:b/>
      <w:bCs/>
    </w:rPr>
  </w:style>
  <w:style w:type="character" w:styleId="aa">
    <w:name w:val="line number"/>
    <w:basedOn w:val="a0"/>
    <w:uiPriority w:val="99"/>
    <w:semiHidden/>
    <w:unhideWhenUsed/>
    <w:rsid w:val="005A580C"/>
  </w:style>
  <w:style w:type="paragraph" w:styleId="ab">
    <w:name w:val="Revision"/>
    <w:hidden/>
    <w:uiPriority w:val="99"/>
    <w:semiHidden/>
    <w:rsid w:val="000755D0"/>
    <w:pPr>
      <w:spacing w:after="0" w:line="240" w:lineRule="auto"/>
      <w:jc w:val="left"/>
    </w:pPr>
  </w:style>
  <w:style w:type="paragraph" w:styleId="TOC">
    <w:name w:val="TOC Heading"/>
    <w:basedOn w:val="1"/>
    <w:next w:val="a"/>
    <w:uiPriority w:val="39"/>
    <w:unhideWhenUsed/>
    <w:qFormat/>
    <w:rsid w:val="00D11878"/>
    <w:p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eastAsia="ko-KR"/>
    </w:rPr>
  </w:style>
  <w:style w:type="paragraph" w:styleId="20">
    <w:name w:val="toc 2"/>
    <w:basedOn w:val="a"/>
    <w:next w:val="a"/>
    <w:autoRedefine/>
    <w:uiPriority w:val="39"/>
    <w:unhideWhenUsed/>
    <w:rsid w:val="00EF3010"/>
    <w:pPr>
      <w:widowControl/>
      <w:tabs>
        <w:tab w:val="right" w:leader="dot" w:pos="9016"/>
      </w:tabs>
      <w:wordWrap/>
      <w:autoSpaceDE/>
      <w:autoSpaceDN/>
      <w:spacing w:after="100"/>
      <w:ind w:left="220"/>
      <w:jc w:val="left"/>
    </w:pPr>
    <w:rPr>
      <w:rFonts w:ascii="Arial" w:hAnsi="Arial" w:cs="Arial"/>
      <w:noProof/>
      <w:kern w:val="0"/>
      <w:sz w:val="22"/>
    </w:rPr>
  </w:style>
  <w:style w:type="paragraph" w:styleId="10">
    <w:name w:val="toc 1"/>
    <w:basedOn w:val="a"/>
    <w:next w:val="a"/>
    <w:autoRedefine/>
    <w:uiPriority w:val="39"/>
    <w:unhideWhenUsed/>
    <w:rsid w:val="00D11878"/>
    <w:pPr>
      <w:widowControl/>
      <w:wordWrap/>
      <w:autoSpaceDE/>
      <w:autoSpaceDN/>
      <w:spacing w:after="100"/>
      <w:jc w:val="left"/>
    </w:pPr>
    <w:rPr>
      <w:rFonts w:cs="Times New Roman"/>
      <w:kern w:val="0"/>
      <w:sz w:val="22"/>
    </w:rPr>
  </w:style>
  <w:style w:type="paragraph" w:styleId="30">
    <w:name w:val="toc 3"/>
    <w:basedOn w:val="a"/>
    <w:next w:val="a"/>
    <w:autoRedefine/>
    <w:uiPriority w:val="39"/>
    <w:unhideWhenUsed/>
    <w:rsid w:val="00D11878"/>
    <w:pPr>
      <w:widowControl/>
      <w:wordWrap/>
      <w:autoSpaceDE/>
      <w:autoSpaceDN/>
      <w:spacing w:after="100"/>
      <w:ind w:left="440"/>
      <w:jc w:val="left"/>
    </w:pPr>
    <w:rPr>
      <w:rFonts w:cs="Times New Roman"/>
      <w:kern w:val="0"/>
      <w:sz w:val="22"/>
    </w:rPr>
  </w:style>
  <w:style w:type="character" w:customStyle="1" w:styleId="2Char">
    <w:name w:val="제목 2 Char"/>
    <w:basedOn w:val="a0"/>
    <w:link w:val="2"/>
    <w:uiPriority w:val="9"/>
    <w:rsid w:val="00D11878"/>
    <w:rPr>
      <w:rFonts w:asciiTheme="majorHAnsi" w:eastAsiaTheme="majorEastAsia" w:hAnsiTheme="majorHAnsi" w:cstheme="majorBidi"/>
      <w:color w:val="2E74B5" w:themeColor="accent1" w:themeShade="BF"/>
      <w:sz w:val="26"/>
      <w:szCs w:val="26"/>
    </w:rPr>
  </w:style>
  <w:style w:type="character" w:customStyle="1" w:styleId="fontstyle01">
    <w:name w:val="fontstyle01"/>
    <w:basedOn w:val="a0"/>
    <w:rsid w:val="0012430D"/>
    <w:rPr>
      <w:rFonts w:ascii="CharisSIL" w:hAnsi="CharisSIL" w:hint="default"/>
      <w:b w:val="0"/>
      <w:bCs w:val="0"/>
      <w:i w:val="0"/>
      <w:iCs w:val="0"/>
      <w:color w:val="000000"/>
      <w:sz w:val="16"/>
      <w:szCs w:val="16"/>
    </w:rPr>
  </w:style>
  <w:style w:type="paragraph" w:customStyle="1" w:styleId="pf0">
    <w:name w:val="pf0"/>
    <w:basedOn w:val="a"/>
    <w:rsid w:val="00F611C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cf01">
    <w:name w:val="cf01"/>
    <w:basedOn w:val="a0"/>
    <w:rsid w:val="00F611C4"/>
    <w:rPr>
      <w:rFonts w:ascii="맑은 고딕" w:eastAsia="맑은 고딕" w:hAnsi="맑은 고딕" w:hint="eastAsia"/>
    </w:rPr>
  </w:style>
  <w:style w:type="character" w:customStyle="1" w:styleId="3Char">
    <w:name w:val="제목 3 Char"/>
    <w:basedOn w:val="a0"/>
    <w:link w:val="3"/>
    <w:uiPriority w:val="9"/>
    <w:semiHidden/>
    <w:rsid w:val="009517B2"/>
    <w:rPr>
      <w:rFonts w:asciiTheme="majorHAnsi" w:eastAsiaTheme="majorEastAsia" w:hAnsiTheme="majorHAnsi" w:cstheme="majorBidi"/>
    </w:rPr>
  </w:style>
  <w:style w:type="character" w:styleId="ac">
    <w:name w:val="Hyperlink"/>
    <w:basedOn w:val="a0"/>
    <w:uiPriority w:val="99"/>
    <w:unhideWhenUsed/>
    <w:rsid w:val="009517B2"/>
    <w:rPr>
      <w:color w:val="0563C1" w:themeColor="hyperlink"/>
      <w:u w:val="single"/>
    </w:rPr>
  </w:style>
  <w:style w:type="character" w:customStyle="1" w:styleId="11">
    <w:name w:val="확인되지 않은 멘션1"/>
    <w:basedOn w:val="a0"/>
    <w:uiPriority w:val="99"/>
    <w:semiHidden/>
    <w:unhideWhenUsed/>
    <w:rsid w:val="009517B2"/>
    <w:rPr>
      <w:color w:val="605E5C"/>
      <w:shd w:val="clear" w:color="auto" w:fill="E1DFDD"/>
    </w:rPr>
  </w:style>
  <w:style w:type="character" w:styleId="ad">
    <w:name w:val="Strong"/>
    <w:basedOn w:val="a0"/>
    <w:uiPriority w:val="22"/>
    <w:qFormat/>
    <w:rsid w:val="00224554"/>
    <w:rPr>
      <w:b/>
      <w:bCs/>
    </w:rPr>
  </w:style>
  <w:style w:type="table" w:styleId="ae">
    <w:name w:val="Table Grid"/>
    <w:basedOn w:val="a1"/>
    <w:uiPriority w:val="39"/>
    <w:rsid w:val="00A90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a"/>
    <w:rsid w:val="00781A5C"/>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609"/>
    <w:pPr>
      <w:widowControl w:val="0"/>
      <w:wordWrap w:val="0"/>
      <w:autoSpaceDE w:val="0"/>
      <w:autoSpaceDN w:val="0"/>
    </w:pPr>
  </w:style>
  <w:style w:type="paragraph" w:styleId="1">
    <w:name w:val="heading 1"/>
    <w:basedOn w:val="a"/>
    <w:next w:val="a"/>
    <w:link w:val="1Char"/>
    <w:uiPriority w:val="9"/>
    <w:qFormat/>
    <w:rsid w:val="00902AB4"/>
    <w:pPr>
      <w:keepNext/>
      <w:keepLines/>
      <w:widowControl/>
      <w:wordWrap/>
      <w:autoSpaceDE/>
      <w:autoSpaceDN/>
      <w:spacing w:before="480" w:after="120" w:line="240" w:lineRule="auto"/>
      <w:outlineLvl w:val="0"/>
    </w:pPr>
    <w:rPr>
      <w:rFonts w:ascii="Times New Roman" w:hAnsi="Times New Roman" w:cs="Times New Roman"/>
      <w:b/>
      <w:kern w:val="0"/>
      <w:szCs w:val="20"/>
      <w:lang w:eastAsia="en-US"/>
    </w:rPr>
  </w:style>
  <w:style w:type="paragraph" w:styleId="2">
    <w:name w:val="heading 2"/>
    <w:basedOn w:val="a"/>
    <w:next w:val="a"/>
    <w:link w:val="2Char"/>
    <w:uiPriority w:val="9"/>
    <w:unhideWhenUsed/>
    <w:qFormat/>
    <w:rsid w:val="00D118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9517B2"/>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7F26"/>
    <w:pPr>
      <w:tabs>
        <w:tab w:val="center" w:pos="4513"/>
        <w:tab w:val="right" w:pos="9026"/>
      </w:tabs>
      <w:snapToGrid w:val="0"/>
    </w:pPr>
  </w:style>
  <w:style w:type="character" w:customStyle="1" w:styleId="Char">
    <w:name w:val="머리글 Char"/>
    <w:basedOn w:val="a0"/>
    <w:link w:val="a3"/>
    <w:uiPriority w:val="99"/>
    <w:rsid w:val="00997F26"/>
  </w:style>
  <w:style w:type="paragraph" w:styleId="a4">
    <w:name w:val="footer"/>
    <w:basedOn w:val="a"/>
    <w:link w:val="Char0"/>
    <w:uiPriority w:val="99"/>
    <w:unhideWhenUsed/>
    <w:rsid w:val="00997F26"/>
    <w:pPr>
      <w:tabs>
        <w:tab w:val="center" w:pos="4513"/>
        <w:tab w:val="right" w:pos="9026"/>
      </w:tabs>
      <w:snapToGrid w:val="0"/>
    </w:pPr>
  </w:style>
  <w:style w:type="character" w:customStyle="1" w:styleId="Char0">
    <w:name w:val="바닥글 Char"/>
    <w:basedOn w:val="a0"/>
    <w:link w:val="a4"/>
    <w:uiPriority w:val="99"/>
    <w:rsid w:val="00997F26"/>
  </w:style>
  <w:style w:type="paragraph" w:customStyle="1" w:styleId="EndNoteBibliographyTitle">
    <w:name w:val="EndNote Bibliography Title"/>
    <w:basedOn w:val="a"/>
    <w:link w:val="EndNoteBibliographyTitleChar"/>
    <w:rsid w:val="0020176B"/>
    <w:pPr>
      <w:spacing w:after="0"/>
      <w:jc w:val="center"/>
    </w:pPr>
    <w:rPr>
      <w:rFonts w:ascii="Times New Roman" w:eastAsia="맑은 고딕" w:hAnsi="Times New Roman" w:cs="Times New Roman"/>
      <w:noProof/>
      <w:sz w:val="24"/>
    </w:rPr>
  </w:style>
  <w:style w:type="character" w:customStyle="1" w:styleId="EndNoteBibliographyTitleChar">
    <w:name w:val="EndNote Bibliography Title Char"/>
    <w:basedOn w:val="a0"/>
    <w:link w:val="EndNoteBibliographyTitle"/>
    <w:rsid w:val="0020176B"/>
    <w:rPr>
      <w:rFonts w:ascii="Times New Roman" w:eastAsia="맑은 고딕" w:hAnsi="Times New Roman" w:cs="Times New Roman"/>
      <w:noProof/>
      <w:sz w:val="24"/>
    </w:rPr>
  </w:style>
  <w:style w:type="paragraph" w:customStyle="1" w:styleId="EndNoteBibliography">
    <w:name w:val="EndNote Bibliography"/>
    <w:basedOn w:val="a"/>
    <w:link w:val="EndNoteBibliographyChar"/>
    <w:rsid w:val="0020176B"/>
    <w:pPr>
      <w:spacing w:line="48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20176B"/>
    <w:rPr>
      <w:rFonts w:ascii="Times New Roman" w:eastAsia="맑은 고딕" w:hAnsi="Times New Roman" w:cs="Times New Roman"/>
      <w:noProof/>
      <w:sz w:val="24"/>
    </w:rPr>
  </w:style>
  <w:style w:type="paragraph" w:styleId="a5">
    <w:name w:val="Balloon Text"/>
    <w:basedOn w:val="a"/>
    <w:link w:val="Char1"/>
    <w:uiPriority w:val="99"/>
    <w:semiHidden/>
    <w:unhideWhenUsed/>
    <w:rsid w:val="00EF6AFA"/>
    <w:pPr>
      <w:spacing w:after="0" w:line="240" w:lineRule="auto"/>
    </w:pPr>
    <w:rPr>
      <w:rFonts w:ascii="맑은 고딕" w:eastAsia="맑은 고딕"/>
      <w:sz w:val="18"/>
      <w:szCs w:val="18"/>
    </w:rPr>
  </w:style>
  <w:style w:type="character" w:customStyle="1" w:styleId="Char1">
    <w:name w:val="풍선 도움말 텍스트 Char"/>
    <w:basedOn w:val="a0"/>
    <w:link w:val="a5"/>
    <w:uiPriority w:val="99"/>
    <w:semiHidden/>
    <w:rsid w:val="00EF6AFA"/>
    <w:rPr>
      <w:rFonts w:ascii="맑은 고딕" w:eastAsia="맑은 고딕"/>
      <w:sz w:val="18"/>
      <w:szCs w:val="18"/>
    </w:rPr>
  </w:style>
  <w:style w:type="character" w:customStyle="1" w:styleId="1Char">
    <w:name w:val="제목 1 Char"/>
    <w:basedOn w:val="a0"/>
    <w:link w:val="1"/>
    <w:uiPriority w:val="9"/>
    <w:rsid w:val="00902AB4"/>
    <w:rPr>
      <w:rFonts w:ascii="Times New Roman" w:hAnsi="Times New Roman" w:cs="Times New Roman"/>
      <w:b/>
      <w:kern w:val="0"/>
      <w:szCs w:val="20"/>
      <w:lang w:eastAsia="en-US"/>
    </w:rPr>
  </w:style>
  <w:style w:type="paragraph" w:styleId="a6">
    <w:name w:val="List Paragraph"/>
    <w:basedOn w:val="a"/>
    <w:uiPriority w:val="34"/>
    <w:qFormat/>
    <w:rsid w:val="00D711CB"/>
    <w:pPr>
      <w:ind w:leftChars="400" w:left="800"/>
    </w:pPr>
  </w:style>
  <w:style w:type="character" w:styleId="a7">
    <w:name w:val="annotation reference"/>
    <w:basedOn w:val="a0"/>
    <w:uiPriority w:val="99"/>
    <w:unhideWhenUsed/>
    <w:rsid w:val="005A580C"/>
    <w:rPr>
      <w:sz w:val="18"/>
      <w:szCs w:val="18"/>
    </w:rPr>
  </w:style>
  <w:style w:type="paragraph" w:styleId="a8">
    <w:name w:val="annotation text"/>
    <w:aliases w:val="Char11"/>
    <w:basedOn w:val="a"/>
    <w:link w:val="Char2"/>
    <w:unhideWhenUsed/>
    <w:qFormat/>
    <w:rsid w:val="005A580C"/>
    <w:pPr>
      <w:jc w:val="left"/>
    </w:pPr>
  </w:style>
  <w:style w:type="character" w:customStyle="1" w:styleId="Char2">
    <w:name w:val="메모 텍스트 Char"/>
    <w:aliases w:val="Char11 Char"/>
    <w:basedOn w:val="a0"/>
    <w:link w:val="a8"/>
    <w:qFormat/>
    <w:rsid w:val="005A580C"/>
  </w:style>
  <w:style w:type="paragraph" w:styleId="a9">
    <w:name w:val="annotation subject"/>
    <w:basedOn w:val="a8"/>
    <w:next w:val="a8"/>
    <w:link w:val="Char3"/>
    <w:uiPriority w:val="99"/>
    <w:semiHidden/>
    <w:unhideWhenUsed/>
    <w:rsid w:val="005A580C"/>
    <w:rPr>
      <w:b/>
      <w:bCs/>
    </w:rPr>
  </w:style>
  <w:style w:type="character" w:customStyle="1" w:styleId="Char3">
    <w:name w:val="메모 주제 Char"/>
    <w:basedOn w:val="Char2"/>
    <w:link w:val="a9"/>
    <w:uiPriority w:val="99"/>
    <w:semiHidden/>
    <w:rsid w:val="005A580C"/>
    <w:rPr>
      <w:b/>
      <w:bCs/>
    </w:rPr>
  </w:style>
  <w:style w:type="character" w:styleId="aa">
    <w:name w:val="line number"/>
    <w:basedOn w:val="a0"/>
    <w:uiPriority w:val="99"/>
    <w:semiHidden/>
    <w:unhideWhenUsed/>
    <w:rsid w:val="005A580C"/>
  </w:style>
  <w:style w:type="paragraph" w:styleId="ab">
    <w:name w:val="Revision"/>
    <w:hidden/>
    <w:uiPriority w:val="99"/>
    <w:semiHidden/>
    <w:rsid w:val="000755D0"/>
    <w:pPr>
      <w:spacing w:after="0" w:line="240" w:lineRule="auto"/>
      <w:jc w:val="left"/>
    </w:pPr>
  </w:style>
  <w:style w:type="paragraph" w:styleId="TOC">
    <w:name w:val="TOC Heading"/>
    <w:basedOn w:val="1"/>
    <w:next w:val="a"/>
    <w:uiPriority w:val="39"/>
    <w:unhideWhenUsed/>
    <w:qFormat/>
    <w:rsid w:val="00D11878"/>
    <w:pPr>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eastAsia="ko-KR"/>
    </w:rPr>
  </w:style>
  <w:style w:type="paragraph" w:styleId="20">
    <w:name w:val="toc 2"/>
    <w:basedOn w:val="a"/>
    <w:next w:val="a"/>
    <w:autoRedefine/>
    <w:uiPriority w:val="39"/>
    <w:unhideWhenUsed/>
    <w:rsid w:val="00EF3010"/>
    <w:pPr>
      <w:widowControl/>
      <w:tabs>
        <w:tab w:val="right" w:leader="dot" w:pos="9016"/>
      </w:tabs>
      <w:wordWrap/>
      <w:autoSpaceDE/>
      <w:autoSpaceDN/>
      <w:spacing w:after="100"/>
      <w:ind w:left="220"/>
      <w:jc w:val="left"/>
    </w:pPr>
    <w:rPr>
      <w:rFonts w:ascii="Arial" w:hAnsi="Arial" w:cs="Arial"/>
      <w:noProof/>
      <w:kern w:val="0"/>
      <w:sz w:val="22"/>
    </w:rPr>
  </w:style>
  <w:style w:type="paragraph" w:styleId="10">
    <w:name w:val="toc 1"/>
    <w:basedOn w:val="a"/>
    <w:next w:val="a"/>
    <w:autoRedefine/>
    <w:uiPriority w:val="39"/>
    <w:unhideWhenUsed/>
    <w:rsid w:val="00D11878"/>
    <w:pPr>
      <w:widowControl/>
      <w:wordWrap/>
      <w:autoSpaceDE/>
      <w:autoSpaceDN/>
      <w:spacing w:after="100"/>
      <w:jc w:val="left"/>
    </w:pPr>
    <w:rPr>
      <w:rFonts w:cs="Times New Roman"/>
      <w:kern w:val="0"/>
      <w:sz w:val="22"/>
    </w:rPr>
  </w:style>
  <w:style w:type="paragraph" w:styleId="30">
    <w:name w:val="toc 3"/>
    <w:basedOn w:val="a"/>
    <w:next w:val="a"/>
    <w:autoRedefine/>
    <w:uiPriority w:val="39"/>
    <w:unhideWhenUsed/>
    <w:rsid w:val="00D11878"/>
    <w:pPr>
      <w:widowControl/>
      <w:wordWrap/>
      <w:autoSpaceDE/>
      <w:autoSpaceDN/>
      <w:spacing w:after="100"/>
      <w:ind w:left="440"/>
      <w:jc w:val="left"/>
    </w:pPr>
    <w:rPr>
      <w:rFonts w:cs="Times New Roman"/>
      <w:kern w:val="0"/>
      <w:sz w:val="22"/>
    </w:rPr>
  </w:style>
  <w:style w:type="character" w:customStyle="1" w:styleId="2Char">
    <w:name w:val="제목 2 Char"/>
    <w:basedOn w:val="a0"/>
    <w:link w:val="2"/>
    <w:uiPriority w:val="9"/>
    <w:rsid w:val="00D11878"/>
    <w:rPr>
      <w:rFonts w:asciiTheme="majorHAnsi" w:eastAsiaTheme="majorEastAsia" w:hAnsiTheme="majorHAnsi" w:cstheme="majorBidi"/>
      <w:color w:val="2E74B5" w:themeColor="accent1" w:themeShade="BF"/>
      <w:sz w:val="26"/>
      <w:szCs w:val="26"/>
    </w:rPr>
  </w:style>
  <w:style w:type="character" w:customStyle="1" w:styleId="fontstyle01">
    <w:name w:val="fontstyle01"/>
    <w:basedOn w:val="a0"/>
    <w:rsid w:val="0012430D"/>
    <w:rPr>
      <w:rFonts w:ascii="CharisSIL" w:hAnsi="CharisSIL" w:hint="default"/>
      <w:b w:val="0"/>
      <w:bCs w:val="0"/>
      <w:i w:val="0"/>
      <w:iCs w:val="0"/>
      <w:color w:val="000000"/>
      <w:sz w:val="16"/>
      <w:szCs w:val="16"/>
    </w:rPr>
  </w:style>
  <w:style w:type="paragraph" w:customStyle="1" w:styleId="pf0">
    <w:name w:val="pf0"/>
    <w:basedOn w:val="a"/>
    <w:rsid w:val="00F611C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cf01">
    <w:name w:val="cf01"/>
    <w:basedOn w:val="a0"/>
    <w:rsid w:val="00F611C4"/>
    <w:rPr>
      <w:rFonts w:ascii="맑은 고딕" w:eastAsia="맑은 고딕" w:hAnsi="맑은 고딕" w:hint="eastAsia"/>
    </w:rPr>
  </w:style>
  <w:style w:type="character" w:customStyle="1" w:styleId="3Char">
    <w:name w:val="제목 3 Char"/>
    <w:basedOn w:val="a0"/>
    <w:link w:val="3"/>
    <w:uiPriority w:val="9"/>
    <w:semiHidden/>
    <w:rsid w:val="009517B2"/>
    <w:rPr>
      <w:rFonts w:asciiTheme="majorHAnsi" w:eastAsiaTheme="majorEastAsia" w:hAnsiTheme="majorHAnsi" w:cstheme="majorBidi"/>
    </w:rPr>
  </w:style>
  <w:style w:type="character" w:styleId="ac">
    <w:name w:val="Hyperlink"/>
    <w:basedOn w:val="a0"/>
    <w:uiPriority w:val="99"/>
    <w:unhideWhenUsed/>
    <w:rsid w:val="009517B2"/>
    <w:rPr>
      <w:color w:val="0563C1" w:themeColor="hyperlink"/>
      <w:u w:val="single"/>
    </w:rPr>
  </w:style>
  <w:style w:type="character" w:customStyle="1" w:styleId="11">
    <w:name w:val="확인되지 않은 멘션1"/>
    <w:basedOn w:val="a0"/>
    <w:uiPriority w:val="99"/>
    <w:semiHidden/>
    <w:unhideWhenUsed/>
    <w:rsid w:val="009517B2"/>
    <w:rPr>
      <w:color w:val="605E5C"/>
      <w:shd w:val="clear" w:color="auto" w:fill="E1DFDD"/>
    </w:rPr>
  </w:style>
  <w:style w:type="character" w:styleId="ad">
    <w:name w:val="Strong"/>
    <w:basedOn w:val="a0"/>
    <w:uiPriority w:val="22"/>
    <w:qFormat/>
    <w:rsid w:val="00224554"/>
    <w:rPr>
      <w:b/>
      <w:bCs/>
    </w:rPr>
  </w:style>
  <w:style w:type="table" w:styleId="ae">
    <w:name w:val="Table Grid"/>
    <w:basedOn w:val="a1"/>
    <w:uiPriority w:val="39"/>
    <w:rsid w:val="00A90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a"/>
    <w:rsid w:val="00781A5C"/>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7947">
      <w:bodyDiv w:val="1"/>
      <w:marLeft w:val="0"/>
      <w:marRight w:val="0"/>
      <w:marTop w:val="0"/>
      <w:marBottom w:val="0"/>
      <w:divBdr>
        <w:top w:val="none" w:sz="0" w:space="0" w:color="auto"/>
        <w:left w:val="none" w:sz="0" w:space="0" w:color="auto"/>
        <w:bottom w:val="none" w:sz="0" w:space="0" w:color="auto"/>
        <w:right w:val="none" w:sz="0" w:space="0" w:color="auto"/>
      </w:divBdr>
    </w:div>
    <w:div w:id="164900809">
      <w:bodyDiv w:val="1"/>
      <w:marLeft w:val="0"/>
      <w:marRight w:val="0"/>
      <w:marTop w:val="0"/>
      <w:marBottom w:val="0"/>
      <w:divBdr>
        <w:top w:val="none" w:sz="0" w:space="0" w:color="auto"/>
        <w:left w:val="none" w:sz="0" w:space="0" w:color="auto"/>
        <w:bottom w:val="none" w:sz="0" w:space="0" w:color="auto"/>
        <w:right w:val="none" w:sz="0" w:space="0" w:color="auto"/>
      </w:divBdr>
    </w:div>
    <w:div w:id="190146780">
      <w:bodyDiv w:val="1"/>
      <w:marLeft w:val="0"/>
      <w:marRight w:val="0"/>
      <w:marTop w:val="0"/>
      <w:marBottom w:val="0"/>
      <w:divBdr>
        <w:top w:val="none" w:sz="0" w:space="0" w:color="auto"/>
        <w:left w:val="none" w:sz="0" w:space="0" w:color="auto"/>
        <w:bottom w:val="none" w:sz="0" w:space="0" w:color="auto"/>
        <w:right w:val="none" w:sz="0" w:space="0" w:color="auto"/>
      </w:divBdr>
      <w:divsChild>
        <w:div w:id="630676929">
          <w:marLeft w:val="0"/>
          <w:marRight w:val="0"/>
          <w:marTop w:val="0"/>
          <w:marBottom w:val="0"/>
          <w:divBdr>
            <w:top w:val="none" w:sz="0" w:space="0" w:color="auto"/>
            <w:left w:val="none" w:sz="0" w:space="0" w:color="auto"/>
            <w:bottom w:val="none" w:sz="0" w:space="0" w:color="auto"/>
            <w:right w:val="none" w:sz="0" w:space="0" w:color="auto"/>
          </w:divBdr>
        </w:div>
      </w:divsChild>
    </w:div>
    <w:div w:id="222955658">
      <w:bodyDiv w:val="1"/>
      <w:marLeft w:val="0"/>
      <w:marRight w:val="0"/>
      <w:marTop w:val="0"/>
      <w:marBottom w:val="0"/>
      <w:divBdr>
        <w:top w:val="none" w:sz="0" w:space="0" w:color="auto"/>
        <w:left w:val="none" w:sz="0" w:space="0" w:color="auto"/>
        <w:bottom w:val="none" w:sz="0" w:space="0" w:color="auto"/>
        <w:right w:val="none" w:sz="0" w:space="0" w:color="auto"/>
      </w:divBdr>
    </w:div>
    <w:div w:id="271060567">
      <w:bodyDiv w:val="1"/>
      <w:marLeft w:val="0"/>
      <w:marRight w:val="0"/>
      <w:marTop w:val="0"/>
      <w:marBottom w:val="0"/>
      <w:divBdr>
        <w:top w:val="none" w:sz="0" w:space="0" w:color="auto"/>
        <w:left w:val="none" w:sz="0" w:space="0" w:color="auto"/>
        <w:bottom w:val="none" w:sz="0" w:space="0" w:color="auto"/>
        <w:right w:val="none" w:sz="0" w:space="0" w:color="auto"/>
      </w:divBdr>
      <w:divsChild>
        <w:div w:id="466044426">
          <w:marLeft w:val="0"/>
          <w:marRight w:val="0"/>
          <w:marTop w:val="0"/>
          <w:marBottom w:val="0"/>
          <w:divBdr>
            <w:top w:val="none" w:sz="0" w:space="0" w:color="auto"/>
            <w:left w:val="none" w:sz="0" w:space="0" w:color="auto"/>
            <w:bottom w:val="none" w:sz="0" w:space="0" w:color="auto"/>
            <w:right w:val="none" w:sz="0" w:space="0" w:color="auto"/>
          </w:divBdr>
          <w:divsChild>
            <w:div w:id="18749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00452">
      <w:bodyDiv w:val="1"/>
      <w:marLeft w:val="0"/>
      <w:marRight w:val="0"/>
      <w:marTop w:val="0"/>
      <w:marBottom w:val="0"/>
      <w:divBdr>
        <w:top w:val="none" w:sz="0" w:space="0" w:color="auto"/>
        <w:left w:val="none" w:sz="0" w:space="0" w:color="auto"/>
        <w:bottom w:val="none" w:sz="0" w:space="0" w:color="auto"/>
        <w:right w:val="none" w:sz="0" w:space="0" w:color="auto"/>
      </w:divBdr>
    </w:div>
    <w:div w:id="285820055">
      <w:bodyDiv w:val="1"/>
      <w:marLeft w:val="0"/>
      <w:marRight w:val="0"/>
      <w:marTop w:val="0"/>
      <w:marBottom w:val="0"/>
      <w:divBdr>
        <w:top w:val="none" w:sz="0" w:space="0" w:color="auto"/>
        <w:left w:val="none" w:sz="0" w:space="0" w:color="auto"/>
        <w:bottom w:val="none" w:sz="0" w:space="0" w:color="auto"/>
        <w:right w:val="none" w:sz="0" w:space="0" w:color="auto"/>
      </w:divBdr>
    </w:div>
    <w:div w:id="331836222">
      <w:bodyDiv w:val="1"/>
      <w:marLeft w:val="0"/>
      <w:marRight w:val="0"/>
      <w:marTop w:val="0"/>
      <w:marBottom w:val="0"/>
      <w:divBdr>
        <w:top w:val="none" w:sz="0" w:space="0" w:color="auto"/>
        <w:left w:val="none" w:sz="0" w:space="0" w:color="auto"/>
        <w:bottom w:val="none" w:sz="0" w:space="0" w:color="auto"/>
        <w:right w:val="none" w:sz="0" w:space="0" w:color="auto"/>
      </w:divBdr>
    </w:div>
    <w:div w:id="369762247">
      <w:bodyDiv w:val="1"/>
      <w:marLeft w:val="0"/>
      <w:marRight w:val="0"/>
      <w:marTop w:val="0"/>
      <w:marBottom w:val="0"/>
      <w:divBdr>
        <w:top w:val="none" w:sz="0" w:space="0" w:color="auto"/>
        <w:left w:val="none" w:sz="0" w:space="0" w:color="auto"/>
        <w:bottom w:val="none" w:sz="0" w:space="0" w:color="auto"/>
        <w:right w:val="none" w:sz="0" w:space="0" w:color="auto"/>
      </w:divBdr>
    </w:div>
    <w:div w:id="422839278">
      <w:bodyDiv w:val="1"/>
      <w:marLeft w:val="0"/>
      <w:marRight w:val="0"/>
      <w:marTop w:val="0"/>
      <w:marBottom w:val="0"/>
      <w:divBdr>
        <w:top w:val="none" w:sz="0" w:space="0" w:color="auto"/>
        <w:left w:val="none" w:sz="0" w:space="0" w:color="auto"/>
        <w:bottom w:val="none" w:sz="0" w:space="0" w:color="auto"/>
        <w:right w:val="none" w:sz="0" w:space="0" w:color="auto"/>
      </w:divBdr>
    </w:div>
    <w:div w:id="431512582">
      <w:bodyDiv w:val="1"/>
      <w:marLeft w:val="0"/>
      <w:marRight w:val="0"/>
      <w:marTop w:val="0"/>
      <w:marBottom w:val="0"/>
      <w:divBdr>
        <w:top w:val="none" w:sz="0" w:space="0" w:color="auto"/>
        <w:left w:val="none" w:sz="0" w:space="0" w:color="auto"/>
        <w:bottom w:val="none" w:sz="0" w:space="0" w:color="auto"/>
        <w:right w:val="none" w:sz="0" w:space="0" w:color="auto"/>
      </w:divBdr>
    </w:div>
    <w:div w:id="548079285">
      <w:bodyDiv w:val="1"/>
      <w:marLeft w:val="0"/>
      <w:marRight w:val="0"/>
      <w:marTop w:val="0"/>
      <w:marBottom w:val="0"/>
      <w:divBdr>
        <w:top w:val="none" w:sz="0" w:space="0" w:color="auto"/>
        <w:left w:val="none" w:sz="0" w:space="0" w:color="auto"/>
        <w:bottom w:val="none" w:sz="0" w:space="0" w:color="auto"/>
        <w:right w:val="none" w:sz="0" w:space="0" w:color="auto"/>
      </w:divBdr>
    </w:div>
    <w:div w:id="578055314">
      <w:bodyDiv w:val="1"/>
      <w:marLeft w:val="0"/>
      <w:marRight w:val="0"/>
      <w:marTop w:val="0"/>
      <w:marBottom w:val="0"/>
      <w:divBdr>
        <w:top w:val="none" w:sz="0" w:space="0" w:color="auto"/>
        <w:left w:val="none" w:sz="0" w:space="0" w:color="auto"/>
        <w:bottom w:val="none" w:sz="0" w:space="0" w:color="auto"/>
        <w:right w:val="none" w:sz="0" w:space="0" w:color="auto"/>
      </w:divBdr>
    </w:div>
    <w:div w:id="741873292">
      <w:bodyDiv w:val="1"/>
      <w:marLeft w:val="0"/>
      <w:marRight w:val="0"/>
      <w:marTop w:val="0"/>
      <w:marBottom w:val="0"/>
      <w:divBdr>
        <w:top w:val="none" w:sz="0" w:space="0" w:color="auto"/>
        <w:left w:val="none" w:sz="0" w:space="0" w:color="auto"/>
        <w:bottom w:val="none" w:sz="0" w:space="0" w:color="auto"/>
        <w:right w:val="none" w:sz="0" w:space="0" w:color="auto"/>
      </w:divBdr>
    </w:div>
    <w:div w:id="886530363">
      <w:bodyDiv w:val="1"/>
      <w:marLeft w:val="0"/>
      <w:marRight w:val="0"/>
      <w:marTop w:val="0"/>
      <w:marBottom w:val="0"/>
      <w:divBdr>
        <w:top w:val="none" w:sz="0" w:space="0" w:color="auto"/>
        <w:left w:val="none" w:sz="0" w:space="0" w:color="auto"/>
        <w:bottom w:val="none" w:sz="0" w:space="0" w:color="auto"/>
        <w:right w:val="none" w:sz="0" w:space="0" w:color="auto"/>
      </w:divBdr>
      <w:divsChild>
        <w:div w:id="1832259227">
          <w:marLeft w:val="0"/>
          <w:marRight w:val="0"/>
          <w:marTop w:val="0"/>
          <w:marBottom w:val="0"/>
          <w:divBdr>
            <w:top w:val="none" w:sz="0" w:space="0" w:color="auto"/>
            <w:left w:val="none" w:sz="0" w:space="0" w:color="auto"/>
            <w:bottom w:val="none" w:sz="0" w:space="0" w:color="auto"/>
            <w:right w:val="none" w:sz="0" w:space="0" w:color="auto"/>
          </w:divBdr>
          <w:divsChild>
            <w:div w:id="211867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647744">
      <w:bodyDiv w:val="1"/>
      <w:marLeft w:val="0"/>
      <w:marRight w:val="0"/>
      <w:marTop w:val="0"/>
      <w:marBottom w:val="0"/>
      <w:divBdr>
        <w:top w:val="none" w:sz="0" w:space="0" w:color="auto"/>
        <w:left w:val="none" w:sz="0" w:space="0" w:color="auto"/>
        <w:bottom w:val="none" w:sz="0" w:space="0" w:color="auto"/>
        <w:right w:val="none" w:sz="0" w:space="0" w:color="auto"/>
      </w:divBdr>
    </w:div>
    <w:div w:id="993024800">
      <w:bodyDiv w:val="1"/>
      <w:marLeft w:val="0"/>
      <w:marRight w:val="0"/>
      <w:marTop w:val="0"/>
      <w:marBottom w:val="0"/>
      <w:divBdr>
        <w:top w:val="none" w:sz="0" w:space="0" w:color="auto"/>
        <w:left w:val="none" w:sz="0" w:space="0" w:color="auto"/>
        <w:bottom w:val="none" w:sz="0" w:space="0" w:color="auto"/>
        <w:right w:val="none" w:sz="0" w:space="0" w:color="auto"/>
      </w:divBdr>
    </w:div>
    <w:div w:id="1053581492">
      <w:bodyDiv w:val="1"/>
      <w:marLeft w:val="0"/>
      <w:marRight w:val="0"/>
      <w:marTop w:val="0"/>
      <w:marBottom w:val="0"/>
      <w:divBdr>
        <w:top w:val="none" w:sz="0" w:space="0" w:color="auto"/>
        <w:left w:val="none" w:sz="0" w:space="0" w:color="auto"/>
        <w:bottom w:val="none" w:sz="0" w:space="0" w:color="auto"/>
        <w:right w:val="none" w:sz="0" w:space="0" w:color="auto"/>
      </w:divBdr>
    </w:div>
    <w:div w:id="1060053257">
      <w:bodyDiv w:val="1"/>
      <w:marLeft w:val="0"/>
      <w:marRight w:val="0"/>
      <w:marTop w:val="0"/>
      <w:marBottom w:val="0"/>
      <w:divBdr>
        <w:top w:val="none" w:sz="0" w:space="0" w:color="auto"/>
        <w:left w:val="none" w:sz="0" w:space="0" w:color="auto"/>
        <w:bottom w:val="none" w:sz="0" w:space="0" w:color="auto"/>
        <w:right w:val="none" w:sz="0" w:space="0" w:color="auto"/>
      </w:divBdr>
    </w:div>
    <w:div w:id="1134715299">
      <w:bodyDiv w:val="1"/>
      <w:marLeft w:val="0"/>
      <w:marRight w:val="0"/>
      <w:marTop w:val="0"/>
      <w:marBottom w:val="0"/>
      <w:divBdr>
        <w:top w:val="none" w:sz="0" w:space="0" w:color="auto"/>
        <w:left w:val="none" w:sz="0" w:space="0" w:color="auto"/>
        <w:bottom w:val="none" w:sz="0" w:space="0" w:color="auto"/>
        <w:right w:val="none" w:sz="0" w:space="0" w:color="auto"/>
      </w:divBdr>
      <w:divsChild>
        <w:div w:id="2089500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7645241">
      <w:bodyDiv w:val="1"/>
      <w:marLeft w:val="0"/>
      <w:marRight w:val="0"/>
      <w:marTop w:val="0"/>
      <w:marBottom w:val="0"/>
      <w:divBdr>
        <w:top w:val="none" w:sz="0" w:space="0" w:color="auto"/>
        <w:left w:val="none" w:sz="0" w:space="0" w:color="auto"/>
        <w:bottom w:val="none" w:sz="0" w:space="0" w:color="auto"/>
        <w:right w:val="none" w:sz="0" w:space="0" w:color="auto"/>
      </w:divBdr>
    </w:div>
    <w:div w:id="1260870043">
      <w:bodyDiv w:val="1"/>
      <w:marLeft w:val="0"/>
      <w:marRight w:val="0"/>
      <w:marTop w:val="0"/>
      <w:marBottom w:val="0"/>
      <w:divBdr>
        <w:top w:val="none" w:sz="0" w:space="0" w:color="auto"/>
        <w:left w:val="none" w:sz="0" w:space="0" w:color="auto"/>
        <w:bottom w:val="none" w:sz="0" w:space="0" w:color="auto"/>
        <w:right w:val="none" w:sz="0" w:space="0" w:color="auto"/>
      </w:divBdr>
    </w:div>
    <w:div w:id="1363020965">
      <w:bodyDiv w:val="1"/>
      <w:marLeft w:val="0"/>
      <w:marRight w:val="0"/>
      <w:marTop w:val="0"/>
      <w:marBottom w:val="0"/>
      <w:divBdr>
        <w:top w:val="none" w:sz="0" w:space="0" w:color="auto"/>
        <w:left w:val="none" w:sz="0" w:space="0" w:color="auto"/>
        <w:bottom w:val="none" w:sz="0" w:space="0" w:color="auto"/>
        <w:right w:val="none" w:sz="0" w:space="0" w:color="auto"/>
      </w:divBdr>
    </w:div>
    <w:div w:id="1406757817">
      <w:bodyDiv w:val="1"/>
      <w:marLeft w:val="0"/>
      <w:marRight w:val="0"/>
      <w:marTop w:val="0"/>
      <w:marBottom w:val="0"/>
      <w:divBdr>
        <w:top w:val="none" w:sz="0" w:space="0" w:color="auto"/>
        <w:left w:val="none" w:sz="0" w:space="0" w:color="auto"/>
        <w:bottom w:val="none" w:sz="0" w:space="0" w:color="auto"/>
        <w:right w:val="none" w:sz="0" w:space="0" w:color="auto"/>
      </w:divBdr>
    </w:div>
    <w:div w:id="1456216675">
      <w:bodyDiv w:val="1"/>
      <w:marLeft w:val="0"/>
      <w:marRight w:val="0"/>
      <w:marTop w:val="0"/>
      <w:marBottom w:val="0"/>
      <w:divBdr>
        <w:top w:val="none" w:sz="0" w:space="0" w:color="auto"/>
        <w:left w:val="none" w:sz="0" w:space="0" w:color="auto"/>
        <w:bottom w:val="none" w:sz="0" w:space="0" w:color="auto"/>
        <w:right w:val="none" w:sz="0" w:space="0" w:color="auto"/>
      </w:divBdr>
    </w:div>
    <w:div w:id="1496267443">
      <w:bodyDiv w:val="1"/>
      <w:marLeft w:val="0"/>
      <w:marRight w:val="0"/>
      <w:marTop w:val="0"/>
      <w:marBottom w:val="0"/>
      <w:divBdr>
        <w:top w:val="none" w:sz="0" w:space="0" w:color="auto"/>
        <w:left w:val="none" w:sz="0" w:space="0" w:color="auto"/>
        <w:bottom w:val="none" w:sz="0" w:space="0" w:color="auto"/>
        <w:right w:val="none" w:sz="0" w:space="0" w:color="auto"/>
      </w:divBdr>
      <w:divsChild>
        <w:div w:id="1026521747">
          <w:marLeft w:val="0"/>
          <w:marRight w:val="0"/>
          <w:marTop w:val="0"/>
          <w:marBottom w:val="0"/>
          <w:divBdr>
            <w:top w:val="none" w:sz="0" w:space="0" w:color="auto"/>
            <w:left w:val="none" w:sz="0" w:space="0" w:color="auto"/>
            <w:bottom w:val="none" w:sz="0" w:space="0" w:color="auto"/>
            <w:right w:val="none" w:sz="0" w:space="0" w:color="auto"/>
          </w:divBdr>
          <w:divsChild>
            <w:div w:id="58283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967098">
      <w:bodyDiv w:val="1"/>
      <w:marLeft w:val="0"/>
      <w:marRight w:val="0"/>
      <w:marTop w:val="0"/>
      <w:marBottom w:val="0"/>
      <w:divBdr>
        <w:top w:val="none" w:sz="0" w:space="0" w:color="auto"/>
        <w:left w:val="none" w:sz="0" w:space="0" w:color="auto"/>
        <w:bottom w:val="none" w:sz="0" w:space="0" w:color="auto"/>
        <w:right w:val="none" w:sz="0" w:space="0" w:color="auto"/>
      </w:divBdr>
      <w:divsChild>
        <w:div w:id="912589837">
          <w:marLeft w:val="0"/>
          <w:marRight w:val="0"/>
          <w:marTop w:val="0"/>
          <w:marBottom w:val="0"/>
          <w:divBdr>
            <w:top w:val="none" w:sz="0" w:space="0" w:color="auto"/>
            <w:left w:val="none" w:sz="0" w:space="0" w:color="auto"/>
            <w:bottom w:val="none" w:sz="0" w:space="0" w:color="auto"/>
            <w:right w:val="none" w:sz="0" w:space="0" w:color="auto"/>
          </w:divBdr>
          <w:divsChild>
            <w:div w:id="336035834">
              <w:marLeft w:val="0"/>
              <w:marRight w:val="0"/>
              <w:marTop w:val="0"/>
              <w:marBottom w:val="0"/>
              <w:divBdr>
                <w:top w:val="none" w:sz="0" w:space="0" w:color="auto"/>
                <w:left w:val="none" w:sz="0" w:space="0" w:color="auto"/>
                <w:bottom w:val="none" w:sz="0" w:space="0" w:color="auto"/>
                <w:right w:val="none" w:sz="0" w:space="0" w:color="auto"/>
              </w:divBdr>
              <w:divsChild>
                <w:div w:id="5403336">
                  <w:marLeft w:val="0"/>
                  <w:marRight w:val="0"/>
                  <w:marTop w:val="0"/>
                  <w:marBottom w:val="0"/>
                  <w:divBdr>
                    <w:top w:val="none" w:sz="0" w:space="0" w:color="auto"/>
                    <w:left w:val="none" w:sz="0" w:space="0" w:color="auto"/>
                    <w:bottom w:val="none" w:sz="0" w:space="0" w:color="auto"/>
                    <w:right w:val="none" w:sz="0" w:space="0" w:color="auto"/>
                  </w:divBdr>
                  <w:divsChild>
                    <w:div w:id="431586980">
                      <w:marLeft w:val="0"/>
                      <w:marRight w:val="0"/>
                      <w:marTop w:val="0"/>
                      <w:marBottom w:val="0"/>
                      <w:divBdr>
                        <w:top w:val="none" w:sz="0" w:space="0" w:color="auto"/>
                        <w:left w:val="none" w:sz="0" w:space="0" w:color="auto"/>
                        <w:bottom w:val="none" w:sz="0" w:space="0" w:color="auto"/>
                        <w:right w:val="none" w:sz="0" w:space="0" w:color="auto"/>
                      </w:divBdr>
                      <w:divsChild>
                        <w:div w:id="1603341580">
                          <w:marLeft w:val="0"/>
                          <w:marRight w:val="0"/>
                          <w:marTop w:val="0"/>
                          <w:marBottom w:val="0"/>
                          <w:divBdr>
                            <w:top w:val="none" w:sz="0" w:space="0" w:color="auto"/>
                            <w:left w:val="none" w:sz="0" w:space="0" w:color="auto"/>
                            <w:bottom w:val="none" w:sz="0" w:space="0" w:color="auto"/>
                            <w:right w:val="none" w:sz="0" w:space="0" w:color="auto"/>
                          </w:divBdr>
                          <w:divsChild>
                            <w:div w:id="1914659536">
                              <w:marLeft w:val="0"/>
                              <w:marRight w:val="0"/>
                              <w:marTop w:val="0"/>
                              <w:marBottom w:val="0"/>
                              <w:divBdr>
                                <w:top w:val="none" w:sz="0" w:space="0" w:color="auto"/>
                                <w:left w:val="none" w:sz="0" w:space="0" w:color="auto"/>
                                <w:bottom w:val="none" w:sz="0" w:space="0" w:color="auto"/>
                                <w:right w:val="none" w:sz="0" w:space="0" w:color="auto"/>
                              </w:divBdr>
                              <w:divsChild>
                                <w:div w:id="684793120">
                                  <w:marLeft w:val="0"/>
                                  <w:marRight w:val="0"/>
                                  <w:marTop w:val="0"/>
                                  <w:marBottom w:val="0"/>
                                  <w:divBdr>
                                    <w:top w:val="none" w:sz="0" w:space="0" w:color="auto"/>
                                    <w:left w:val="none" w:sz="0" w:space="0" w:color="auto"/>
                                    <w:bottom w:val="none" w:sz="0" w:space="0" w:color="auto"/>
                                    <w:right w:val="none" w:sz="0" w:space="0" w:color="auto"/>
                                  </w:divBdr>
                                  <w:divsChild>
                                    <w:div w:id="1411000504">
                                      <w:marLeft w:val="0"/>
                                      <w:marRight w:val="0"/>
                                      <w:marTop w:val="0"/>
                                      <w:marBottom w:val="0"/>
                                      <w:divBdr>
                                        <w:top w:val="none" w:sz="0" w:space="0" w:color="auto"/>
                                        <w:left w:val="none" w:sz="0" w:space="0" w:color="auto"/>
                                        <w:bottom w:val="none" w:sz="0" w:space="0" w:color="auto"/>
                                        <w:right w:val="none" w:sz="0" w:space="0" w:color="auto"/>
                                      </w:divBdr>
                                      <w:divsChild>
                                        <w:div w:id="443962566">
                                          <w:marLeft w:val="0"/>
                                          <w:marRight w:val="0"/>
                                          <w:marTop w:val="0"/>
                                          <w:marBottom w:val="0"/>
                                          <w:divBdr>
                                            <w:top w:val="none" w:sz="0" w:space="0" w:color="auto"/>
                                            <w:left w:val="none" w:sz="0" w:space="0" w:color="auto"/>
                                            <w:bottom w:val="none" w:sz="0" w:space="0" w:color="auto"/>
                                            <w:right w:val="none" w:sz="0" w:space="0" w:color="auto"/>
                                          </w:divBdr>
                                          <w:divsChild>
                                            <w:div w:id="1124036483">
                                              <w:marLeft w:val="0"/>
                                              <w:marRight w:val="0"/>
                                              <w:marTop w:val="0"/>
                                              <w:marBottom w:val="0"/>
                                              <w:divBdr>
                                                <w:top w:val="none" w:sz="0" w:space="0" w:color="auto"/>
                                                <w:left w:val="none" w:sz="0" w:space="0" w:color="auto"/>
                                                <w:bottom w:val="none" w:sz="0" w:space="0" w:color="auto"/>
                                                <w:right w:val="none" w:sz="0" w:space="0" w:color="auto"/>
                                              </w:divBdr>
                                              <w:divsChild>
                                                <w:div w:id="112770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9962239">
      <w:bodyDiv w:val="1"/>
      <w:marLeft w:val="0"/>
      <w:marRight w:val="0"/>
      <w:marTop w:val="0"/>
      <w:marBottom w:val="0"/>
      <w:divBdr>
        <w:top w:val="none" w:sz="0" w:space="0" w:color="auto"/>
        <w:left w:val="none" w:sz="0" w:space="0" w:color="auto"/>
        <w:bottom w:val="none" w:sz="0" w:space="0" w:color="auto"/>
        <w:right w:val="none" w:sz="0" w:space="0" w:color="auto"/>
      </w:divBdr>
    </w:div>
    <w:div w:id="1740713345">
      <w:bodyDiv w:val="1"/>
      <w:marLeft w:val="0"/>
      <w:marRight w:val="0"/>
      <w:marTop w:val="0"/>
      <w:marBottom w:val="0"/>
      <w:divBdr>
        <w:top w:val="none" w:sz="0" w:space="0" w:color="auto"/>
        <w:left w:val="none" w:sz="0" w:space="0" w:color="auto"/>
        <w:bottom w:val="none" w:sz="0" w:space="0" w:color="auto"/>
        <w:right w:val="none" w:sz="0" w:space="0" w:color="auto"/>
      </w:divBdr>
    </w:div>
    <w:div w:id="1789856567">
      <w:bodyDiv w:val="1"/>
      <w:marLeft w:val="0"/>
      <w:marRight w:val="0"/>
      <w:marTop w:val="0"/>
      <w:marBottom w:val="0"/>
      <w:divBdr>
        <w:top w:val="none" w:sz="0" w:space="0" w:color="auto"/>
        <w:left w:val="none" w:sz="0" w:space="0" w:color="auto"/>
        <w:bottom w:val="none" w:sz="0" w:space="0" w:color="auto"/>
        <w:right w:val="none" w:sz="0" w:space="0" w:color="auto"/>
      </w:divBdr>
      <w:divsChild>
        <w:div w:id="1515847725">
          <w:marLeft w:val="0"/>
          <w:marRight w:val="0"/>
          <w:marTop w:val="0"/>
          <w:marBottom w:val="0"/>
          <w:divBdr>
            <w:top w:val="none" w:sz="0" w:space="0" w:color="auto"/>
            <w:left w:val="none" w:sz="0" w:space="0" w:color="auto"/>
            <w:bottom w:val="none" w:sz="0" w:space="0" w:color="auto"/>
            <w:right w:val="none" w:sz="0" w:space="0" w:color="auto"/>
          </w:divBdr>
          <w:divsChild>
            <w:div w:id="199455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8359">
      <w:bodyDiv w:val="1"/>
      <w:marLeft w:val="0"/>
      <w:marRight w:val="0"/>
      <w:marTop w:val="0"/>
      <w:marBottom w:val="0"/>
      <w:divBdr>
        <w:top w:val="none" w:sz="0" w:space="0" w:color="auto"/>
        <w:left w:val="none" w:sz="0" w:space="0" w:color="auto"/>
        <w:bottom w:val="none" w:sz="0" w:space="0" w:color="auto"/>
        <w:right w:val="none" w:sz="0" w:space="0" w:color="auto"/>
      </w:divBdr>
    </w:div>
    <w:div w:id="1925799483">
      <w:bodyDiv w:val="1"/>
      <w:marLeft w:val="0"/>
      <w:marRight w:val="0"/>
      <w:marTop w:val="0"/>
      <w:marBottom w:val="0"/>
      <w:divBdr>
        <w:top w:val="none" w:sz="0" w:space="0" w:color="auto"/>
        <w:left w:val="none" w:sz="0" w:space="0" w:color="auto"/>
        <w:bottom w:val="none" w:sz="0" w:space="0" w:color="auto"/>
        <w:right w:val="none" w:sz="0" w:space="0" w:color="auto"/>
      </w:divBdr>
      <w:divsChild>
        <w:div w:id="309753984">
          <w:marLeft w:val="0"/>
          <w:marRight w:val="0"/>
          <w:marTop w:val="0"/>
          <w:marBottom w:val="0"/>
          <w:divBdr>
            <w:top w:val="none" w:sz="0" w:space="0" w:color="auto"/>
            <w:left w:val="none" w:sz="0" w:space="0" w:color="auto"/>
            <w:bottom w:val="none" w:sz="0" w:space="0" w:color="auto"/>
            <w:right w:val="none" w:sz="0" w:space="0" w:color="auto"/>
          </w:divBdr>
          <w:divsChild>
            <w:div w:id="1082874670">
              <w:marLeft w:val="0"/>
              <w:marRight w:val="0"/>
              <w:marTop w:val="0"/>
              <w:marBottom w:val="0"/>
              <w:divBdr>
                <w:top w:val="none" w:sz="0" w:space="0" w:color="auto"/>
                <w:left w:val="none" w:sz="0" w:space="0" w:color="auto"/>
                <w:bottom w:val="none" w:sz="0" w:space="0" w:color="auto"/>
                <w:right w:val="none" w:sz="0" w:space="0" w:color="auto"/>
              </w:divBdr>
              <w:divsChild>
                <w:div w:id="1337342071">
                  <w:marLeft w:val="0"/>
                  <w:marRight w:val="0"/>
                  <w:marTop w:val="0"/>
                  <w:marBottom w:val="0"/>
                  <w:divBdr>
                    <w:top w:val="none" w:sz="0" w:space="0" w:color="auto"/>
                    <w:left w:val="none" w:sz="0" w:space="0" w:color="auto"/>
                    <w:bottom w:val="none" w:sz="0" w:space="0" w:color="auto"/>
                    <w:right w:val="none" w:sz="0" w:space="0" w:color="auto"/>
                  </w:divBdr>
                  <w:divsChild>
                    <w:div w:id="12996399">
                      <w:marLeft w:val="0"/>
                      <w:marRight w:val="0"/>
                      <w:marTop w:val="0"/>
                      <w:marBottom w:val="0"/>
                      <w:divBdr>
                        <w:top w:val="none" w:sz="0" w:space="0" w:color="auto"/>
                        <w:left w:val="none" w:sz="0" w:space="0" w:color="auto"/>
                        <w:bottom w:val="none" w:sz="0" w:space="0" w:color="auto"/>
                        <w:right w:val="none" w:sz="0" w:space="0" w:color="auto"/>
                      </w:divBdr>
                      <w:divsChild>
                        <w:div w:id="340789322">
                          <w:marLeft w:val="0"/>
                          <w:marRight w:val="0"/>
                          <w:marTop w:val="0"/>
                          <w:marBottom w:val="0"/>
                          <w:divBdr>
                            <w:top w:val="none" w:sz="0" w:space="0" w:color="auto"/>
                            <w:left w:val="none" w:sz="0" w:space="0" w:color="auto"/>
                            <w:bottom w:val="none" w:sz="0" w:space="0" w:color="auto"/>
                            <w:right w:val="none" w:sz="0" w:space="0" w:color="auto"/>
                          </w:divBdr>
                          <w:divsChild>
                            <w:div w:id="76639497">
                              <w:marLeft w:val="0"/>
                              <w:marRight w:val="0"/>
                              <w:marTop w:val="0"/>
                              <w:marBottom w:val="0"/>
                              <w:divBdr>
                                <w:top w:val="none" w:sz="0" w:space="0" w:color="auto"/>
                                <w:left w:val="none" w:sz="0" w:space="0" w:color="auto"/>
                                <w:bottom w:val="none" w:sz="0" w:space="0" w:color="auto"/>
                                <w:right w:val="none" w:sz="0" w:space="0" w:color="auto"/>
                              </w:divBdr>
                              <w:divsChild>
                                <w:div w:id="161836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113329">
      <w:bodyDiv w:val="1"/>
      <w:marLeft w:val="0"/>
      <w:marRight w:val="0"/>
      <w:marTop w:val="0"/>
      <w:marBottom w:val="0"/>
      <w:divBdr>
        <w:top w:val="none" w:sz="0" w:space="0" w:color="auto"/>
        <w:left w:val="none" w:sz="0" w:space="0" w:color="auto"/>
        <w:bottom w:val="none" w:sz="0" w:space="0" w:color="auto"/>
        <w:right w:val="none" w:sz="0" w:space="0" w:color="auto"/>
      </w:divBdr>
    </w:div>
    <w:div w:id="214670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data.go.kr/data/15073342/fileData.do?utm_source"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F407D-05D4-4E35-945D-05A4AE6EB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2932</Words>
  <Characters>16716</Characters>
  <Application>Microsoft Office Word</Application>
  <DocSecurity>0</DocSecurity>
  <Lines>139</Lines>
  <Paragraphs>39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전민영</dc:creator>
  <cp:lastModifiedBy>Hyemin Jang</cp:lastModifiedBy>
  <cp:revision>3</cp:revision>
  <cp:lastPrinted>2024-10-30T02:01:00Z</cp:lastPrinted>
  <dcterms:created xsi:type="dcterms:W3CDTF">2026-05-31T10:23:00Z</dcterms:created>
  <dcterms:modified xsi:type="dcterms:W3CDTF">2026-05-31T10:23:00Z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GrammarlyDocumentId">
    <vt:lpwstr>1f7ff889607ab42cb99cd8f6dc3203bca91ae638b5ac5032c58e36e23208d842</vt:lpwstr>
  </property>
</Properties>
</file>