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D54D4" w14:textId="2180E9D2" w:rsidR="0003240F" w:rsidRPr="0003240F" w:rsidRDefault="0003240F">
      <w:pPr>
        <w:rPr>
          <w:b/>
          <w:bCs/>
        </w:rPr>
      </w:pPr>
      <w:r w:rsidRPr="0003240F">
        <w:rPr>
          <w:b/>
          <w:bCs/>
        </w:rPr>
        <w:t>SUPPLEMENTARY MATERIALS</w:t>
      </w:r>
    </w:p>
    <w:p w14:paraId="0641A9A7" w14:textId="1FB970BC" w:rsidR="00DE44B8" w:rsidRDefault="00DE44B8">
      <w:r>
        <w:rPr>
          <w:noProof/>
        </w:rPr>
        <w:drawing>
          <wp:inline distT="0" distB="0" distL="0" distR="0" wp14:anchorId="2826B025" wp14:editId="5EC3E9BA">
            <wp:extent cx="5340350" cy="5973502"/>
            <wp:effectExtent l="0" t="0" r="0" b="8255"/>
            <wp:docPr id="756303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636" cy="59838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427B95" w14:textId="77777777" w:rsidR="00DE44B8" w:rsidRDefault="00DE44B8" w:rsidP="00DE44B8">
      <w:pPr>
        <w:pStyle w:val="NormalWeb"/>
        <w:spacing w:beforeAutospacing="0" w:after="120" w:afterAutospacing="0" w:line="480" w:lineRule="auto"/>
        <w:jc w:val="both"/>
        <w:rPr>
          <w:b/>
          <w:bCs/>
          <w:color w:val="000000"/>
        </w:rPr>
      </w:pPr>
    </w:p>
    <w:p w14:paraId="56A0F86B" w14:textId="40B3FB78" w:rsidR="00DE44B8" w:rsidRPr="007D44F6" w:rsidRDefault="008521A4" w:rsidP="00DE44B8">
      <w:pPr>
        <w:pStyle w:val="NormalWeb"/>
        <w:spacing w:beforeAutospacing="0" w:after="120" w:afterAutospacing="0" w:line="480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Supplementary </w:t>
      </w:r>
      <w:r w:rsidR="00DE44B8" w:rsidRPr="007D44F6">
        <w:rPr>
          <w:b/>
          <w:bCs/>
          <w:color w:val="000000"/>
        </w:rPr>
        <w:t xml:space="preserve">Figure 1. Histological analysis of astrogliosis by GFAP staining and amyloid burden by Thioflavin-S </w:t>
      </w:r>
      <w:r w:rsidR="007614AF">
        <w:rPr>
          <w:b/>
          <w:bCs/>
          <w:color w:val="000000"/>
        </w:rPr>
        <w:t xml:space="preserve">and 4G8 </w:t>
      </w:r>
      <w:r w:rsidR="00DE44B8" w:rsidRPr="007D44F6">
        <w:rPr>
          <w:b/>
          <w:bCs/>
          <w:color w:val="000000"/>
        </w:rPr>
        <w:t>staining.</w:t>
      </w:r>
    </w:p>
    <w:p w14:paraId="78670C17" w14:textId="17506969" w:rsidR="00DE44B8" w:rsidRDefault="00DE44B8" w:rsidP="00DE44B8">
      <w:pPr>
        <w:pStyle w:val="NormalWeb"/>
        <w:numPr>
          <w:ilvl w:val="0"/>
          <w:numId w:val="1"/>
        </w:numPr>
        <w:spacing w:beforeAutospacing="0" w:after="120" w:afterAutospacing="0" w:line="480" w:lineRule="auto"/>
        <w:jc w:val="both"/>
        <w:rPr>
          <w:color w:val="000000"/>
        </w:rPr>
      </w:pPr>
      <w:r w:rsidRPr="007D44F6">
        <w:rPr>
          <w:color w:val="000000"/>
        </w:rPr>
        <w:t>Representative Thioflavin-S–stained sections of Sham-</w:t>
      </w:r>
      <w:proofErr w:type="spellStart"/>
      <w:r w:rsidRPr="007D44F6">
        <w:rPr>
          <w:color w:val="000000"/>
        </w:rPr>
        <w:t>Tg</w:t>
      </w:r>
      <w:proofErr w:type="spellEnd"/>
      <w:r w:rsidRPr="007D44F6">
        <w:rPr>
          <w:color w:val="000000"/>
        </w:rPr>
        <w:t xml:space="preserve"> and PE-</w:t>
      </w:r>
      <w:proofErr w:type="spellStart"/>
      <w:r w:rsidRPr="007D44F6">
        <w:rPr>
          <w:color w:val="000000"/>
        </w:rPr>
        <w:t>Tg</w:t>
      </w:r>
      <w:proofErr w:type="spellEnd"/>
      <w:r w:rsidRPr="007D44F6">
        <w:rPr>
          <w:color w:val="000000"/>
        </w:rPr>
        <w:t xml:space="preserve"> mice, showing the cortex and hippocampus. Because Thioflavin-S binds the </w:t>
      </w:r>
      <w:proofErr w:type="gramStart"/>
      <w:r w:rsidRPr="007D44F6">
        <w:rPr>
          <w:color w:val="000000"/>
        </w:rPr>
        <w:t>cross-β-sheet</w:t>
      </w:r>
      <w:proofErr w:type="gramEnd"/>
      <w:r w:rsidRPr="007D44F6">
        <w:rPr>
          <w:color w:val="000000"/>
        </w:rPr>
        <w:t xml:space="preserve"> conformation of </w:t>
      </w:r>
      <w:r w:rsidRPr="007D44F6">
        <w:rPr>
          <w:color w:val="000000"/>
        </w:rPr>
        <w:lastRenderedPageBreak/>
        <w:t xml:space="preserve">fibrillar amyloid directly, its signal requires no antigen retrieval and is independent of epitope accessibility, providing an antibody-independent validation of the 4G8 immunostaining in Fig. 2. Scale bar, 200 µm. </w:t>
      </w:r>
      <w:r w:rsidRPr="007D44F6">
        <w:rPr>
          <w:b/>
          <w:bCs/>
          <w:color w:val="000000"/>
        </w:rPr>
        <w:t>(B)</w:t>
      </w:r>
      <w:r w:rsidRPr="007D44F6">
        <w:rPr>
          <w:color w:val="000000"/>
        </w:rPr>
        <w:t xml:space="preserve"> Quantification of Thioflavin-S burden, expressed as the threshold of </w:t>
      </w:r>
      <w:proofErr w:type="spellStart"/>
      <w:r w:rsidRPr="007D44F6">
        <w:rPr>
          <w:color w:val="000000"/>
        </w:rPr>
        <w:t>ThS</w:t>
      </w:r>
      <w:proofErr w:type="spellEnd"/>
      <w:r w:rsidRPr="007D44F6">
        <w:rPr>
          <w:color w:val="000000"/>
        </w:rPr>
        <w:t xml:space="preserve">-positive area as a percentage of the region of interest and calculated as the </w:t>
      </w:r>
      <w:proofErr w:type="gramStart"/>
      <w:r w:rsidRPr="007D44F6">
        <w:rPr>
          <w:color w:val="000000"/>
        </w:rPr>
        <w:t>mean</w:t>
      </w:r>
      <w:proofErr w:type="gramEnd"/>
      <w:r w:rsidRPr="007D44F6">
        <w:rPr>
          <w:color w:val="000000"/>
        </w:rPr>
        <w:t xml:space="preserve"> of the cortical and hippocampal values per animal. </w:t>
      </w:r>
      <w:proofErr w:type="spellStart"/>
      <w:r w:rsidRPr="007D44F6">
        <w:rPr>
          <w:color w:val="000000"/>
        </w:rPr>
        <w:t>ThS</w:t>
      </w:r>
      <w:proofErr w:type="spellEnd"/>
      <w:r w:rsidRPr="007D44F6">
        <w:rPr>
          <w:color w:val="000000"/>
        </w:rPr>
        <w:t xml:space="preserve"> burden was reduced in PE-</w:t>
      </w:r>
      <w:proofErr w:type="spellStart"/>
      <w:r w:rsidRPr="007D44F6">
        <w:rPr>
          <w:color w:val="000000"/>
        </w:rPr>
        <w:t>Tg</w:t>
      </w:r>
      <w:proofErr w:type="spellEnd"/>
      <w:r w:rsidRPr="007D44F6">
        <w:rPr>
          <w:color w:val="000000"/>
        </w:rPr>
        <w:t xml:space="preserve"> mice (Sham-</w:t>
      </w:r>
      <w:proofErr w:type="spellStart"/>
      <w:r w:rsidRPr="007D44F6">
        <w:rPr>
          <w:color w:val="000000"/>
        </w:rPr>
        <w:t>Tg</w:t>
      </w:r>
      <w:proofErr w:type="spellEnd"/>
      <w:r w:rsidRPr="007D44F6">
        <w:rPr>
          <w:color w:val="000000"/>
        </w:rPr>
        <w:t xml:space="preserve"> 0.457 ± 0.023 % vs PE-</w:t>
      </w:r>
      <w:proofErr w:type="spellStart"/>
      <w:r w:rsidRPr="007D44F6">
        <w:rPr>
          <w:color w:val="000000"/>
        </w:rPr>
        <w:t>Tg</w:t>
      </w:r>
      <w:proofErr w:type="spellEnd"/>
      <w:r w:rsidRPr="007D44F6">
        <w:rPr>
          <w:color w:val="000000"/>
        </w:rPr>
        <w:t xml:space="preserve"> 0.254 ± 0.021 %; p = 0.0002; Sham-</w:t>
      </w:r>
      <w:proofErr w:type="spellStart"/>
      <w:r w:rsidRPr="007D44F6">
        <w:rPr>
          <w:color w:val="000000"/>
        </w:rPr>
        <w:t>Tg</w:t>
      </w:r>
      <w:proofErr w:type="spellEnd"/>
      <w:r w:rsidRPr="007D44F6">
        <w:rPr>
          <w:color w:val="000000"/>
        </w:rPr>
        <w:t xml:space="preserve"> n = 5, PE-</w:t>
      </w:r>
      <w:proofErr w:type="spellStart"/>
      <w:r w:rsidRPr="007D44F6">
        <w:rPr>
          <w:color w:val="000000"/>
        </w:rPr>
        <w:t>Tg</w:t>
      </w:r>
      <w:proofErr w:type="spellEnd"/>
      <w:r w:rsidRPr="007D44F6">
        <w:rPr>
          <w:color w:val="000000"/>
        </w:rPr>
        <w:t xml:space="preserve"> n = 5), confirming the reduction in amyloid burden seen with 4G8 by a conformation-dependent, antibody-independent method. Data are presented as mean ± SEM; each point represents one animal. Groups were compared by unpaired two-tailed t-test (***p &lt; 0.001). </w:t>
      </w:r>
      <w:r w:rsidRPr="007D44F6">
        <w:rPr>
          <w:b/>
          <w:bCs/>
          <w:color w:val="000000"/>
        </w:rPr>
        <w:t>(C)</w:t>
      </w:r>
      <w:r w:rsidRPr="007D44F6">
        <w:rPr>
          <w:color w:val="000000"/>
        </w:rPr>
        <w:t xml:space="preserve"> Representative photomicrographs of brain sections co-stained for GFAP (green) and 4G8 (red) in Sham-</w:t>
      </w:r>
      <w:proofErr w:type="spellStart"/>
      <w:r w:rsidRPr="007D44F6">
        <w:rPr>
          <w:color w:val="000000"/>
        </w:rPr>
        <w:t>Tg</w:t>
      </w:r>
      <w:proofErr w:type="spellEnd"/>
      <w:r w:rsidRPr="007D44F6">
        <w:rPr>
          <w:color w:val="000000"/>
        </w:rPr>
        <w:t xml:space="preserve"> and PE-</w:t>
      </w:r>
      <w:proofErr w:type="spellStart"/>
      <w:r w:rsidRPr="007D44F6">
        <w:rPr>
          <w:color w:val="000000"/>
        </w:rPr>
        <w:t>Tg</w:t>
      </w:r>
      <w:proofErr w:type="spellEnd"/>
      <w:r w:rsidRPr="007D44F6">
        <w:rPr>
          <w:color w:val="000000"/>
        </w:rPr>
        <w:t xml:space="preserve"> mice, showing the cortex and hippocampus. Scale bar, 100 µm. </w:t>
      </w:r>
      <w:r w:rsidRPr="007D44F6">
        <w:rPr>
          <w:b/>
          <w:bCs/>
          <w:color w:val="000000"/>
        </w:rPr>
        <w:t>(D)</w:t>
      </w:r>
      <w:r w:rsidRPr="007D44F6">
        <w:rPr>
          <w:color w:val="000000"/>
        </w:rPr>
        <w:t xml:space="preserve"> Quantification of brain GFAP immunoreactive burden, expressed as the </w:t>
      </w:r>
      <w:proofErr w:type="spellStart"/>
      <w:r w:rsidRPr="007D44F6">
        <w:rPr>
          <w:color w:val="000000"/>
        </w:rPr>
        <w:t>thresholded</w:t>
      </w:r>
      <w:proofErr w:type="spellEnd"/>
      <w:r w:rsidRPr="007D44F6">
        <w:rPr>
          <w:color w:val="000000"/>
        </w:rPr>
        <w:t xml:space="preserve"> GFAP-positive area as a percentage of the region of interest and calculated as the </w:t>
      </w:r>
      <w:proofErr w:type="gramStart"/>
      <w:r w:rsidRPr="007D44F6">
        <w:rPr>
          <w:color w:val="000000"/>
        </w:rPr>
        <w:t>mean</w:t>
      </w:r>
      <w:proofErr w:type="gramEnd"/>
      <w:r w:rsidRPr="007D44F6">
        <w:rPr>
          <w:color w:val="000000"/>
        </w:rPr>
        <w:t xml:space="preserve"> of the cortical and hippocampal values per animal. GFAP burden did not differ between groups (Sham-</w:t>
      </w:r>
      <w:proofErr w:type="spellStart"/>
      <w:r w:rsidRPr="007D44F6">
        <w:rPr>
          <w:color w:val="000000"/>
        </w:rPr>
        <w:t>Tg</w:t>
      </w:r>
      <w:proofErr w:type="spellEnd"/>
      <w:r w:rsidRPr="007D44F6">
        <w:rPr>
          <w:color w:val="000000"/>
        </w:rPr>
        <w:t xml:space="preserve"> 1.28 ± 0.2 % vs PE-</w:t>
      </w:r>
      <w:proofErr w:type="spellStart"/>
      <w:r w:rsidRPr="007D44F6">
        <w:rPr>
          <w:color w:val="000000"/>
        </w:rPr>
        <w:t>Tg</w:t>
      </w:r>
      <w:proofErr w:type="spellEnd"/>
      <w:r w:rsidRPr="007D44F6">
        <w:rPr>
          <w:color w:val="000000"/>
        </w:rPr>
        <w:t xml:space="preserve"> 1.12 ± 0.15 %; p = 0.54; n = 5 per group), indicating that reactive astrogliosis is not altered by PE at the tissue level and independently confirming the GFAP ELISA shown in Fig. 4B. WT, wild-type littermates; Sham-</w:t>
      </w:r>
      <w:proofErr w:type="spellStart"/>
      <w:r w:rsidRPr="007D44F6">
        <w:rPr>
          <w:color w:val="000000"/>
        </w:rPr>
        <w:t>Tg</w:t>
      </w:r>
      <w:proofErr w:type="spellEnd"/>
      <w:r w:rsidRPr="007D44F6">
        <w:rPr>
          <w:color w:val="000000"/>
        </w:rPr>
        <w:t>, sham-operated APP/PS1 mice; PE-</w:t>
      </w:r>
      <w:proofErr w:type="spellStart"/>
      <w:r w:rsidRPr="007D44F6">
        <w:rPr>
          <w:color w:val="000000"/>
        </w:rPr>
        <w:t>Tg</w:t>
      </w:r>
      <w:proofErr w:type="spellEnd"/>
      <w:r w:rsidRPr="007D44F6">
        <w:rPr>
          <w:color w:val="000000"/>
        </w:rPr>
        <w:t xml:space="preserve">, plasma exchange–treated APP/PS1 mice; GFAP, glial fibrillary acidic protein; </w:t>
      </w:r>
      <w:proofErr w:type="spellStart"/>
      <w:r w:rsidRPr="007D44F6">
        <w:rPr>
          <w:color w:val="000000"/>
        </w:rPr>
        <w:t>ThS</w:t>
      </w:r>
      <w:proofErr w:type="spellEnd"/>
      <w:r w:rsidRPr="007D44F6">
        <w:rPr>
          <w:color w:val="000000"/>
        </w:rPr>
        <w:t>, Thioflavin-S.</w:t>
      </w:r>
    </w:p>
    <w:p w14:paraId="5BE2652D" w14:textId="77777777" w:rsidR="00DE44B8" w:rsidRDefault="00DE44B8" w:rsidP="00DE44B8">
      <w:pPr>
        <w:pStyle w:val="NormalWeb"/>
        <w:spacing w:beforeAutospacing="0" w:after="120" w:afterAutospacing="0" w:line="480" w:lineRule="auto"/>
        <w:jc w:val="both"/>
        <w:rPr>
          <w:color w:val="000000"/>
        </w:rPr>
      </w:pPr>
    </w:p>
    <w:p w14:paraId="0D2BB7C8" w14:textId="77777777" w:rsidR="00DE44B8" w:rsidRDefault="00DE44B8" w:rsidP="00DE44B8">
      <w:pPr>
        <w:pStyle w:val="NormalWeb"/>
        <w:spacing w:beforeAutospacing="0" w:after="120" w:afterAutospacing="0" w:line="480" w:lineRule="auto"/>
        <w:jc w:val="both"/>
        <w:rPr>
          <w:color w:val="000000"/>
        </w:rPr>
      </w:pPr>
    </w:p>
    <w:p w14:paraId="522A939B" w14:textId="77777777" w:rsidR="00DE44B8" w:rsidRDefault="00DE44B8" w:rsidP="00DE44B8">
      <w:pPr>
        <w:pStyle w:val="NormalWeb"/>
        <w:spacing w:beforeAutospacing="0" w:after="120" w:afterAutospacing="0" w:line="480" w:lineRule="auto"/>
        <w:jc w:val="both"/>
        <w:rPr>
          <w:color w:val="000000"/>
        </w:rPr>
      </w:pPr>
    </w:p>
    <w:p w14:paraId="7028BD56" w14:textId="77777777" w:rsidR="00DE44B8" w:rsidRDefault="00DE44B8" w:rsidP="00DE44B8">
      <w:pPr>
        <w:pStyle w:val="NormalWeb"/>
        <w:spacing w:beforeAutospacing="0" w:after="120" w:afterAutospacing="0" w:line="480" w:lineRule="auto"/>
        <w:jc w:val="both"/>
        <w:rPr>
          <w:color w:val="000000"/>
        </w:rPr>
      </w:pPr>
    </w:p>
    <w:p w14:paraId="1EDC65EA" w14:textId="77777777" w:rsidR="00DE44B8" w:rsidRDefault="00DE44B8" w:rsidP="00DE44B8">
      <w:pPr>
        <w:pStyle w:val="NormalWeb"/>
        <w:spacing w:beforeAutospacing="0" w:after="120" w:afterAutospacing="0" w:line="480" w:lineRule="auto"/>
        <w:jc w:val="both"/>
        <w:rPr>
          <w:color w:val="000000"/>
        </w:rPr>
      </w:pPr>
    </w:p>
    <w:p w14:paraId="71CE0262" w14:textId="4F9193B5" w:rsidR="00DE44B8" w:rsidRDefault="00DE44B8" w:rsidP="00DE44B8">
      <w:pPr>
        <w:pStyle w:val="NormalWeb"/>
        <w:spacing w:beforeAutospacing="0" w:after="120" w:afterAutospacing="0" w:line="480" w:lineRule="auto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EAE6C04" wp14:editId="4B936BA6">
            <wp:extent cx="4779645" cy="3103245"/>
            <wp:effectExtent l="0" t="0" r="0" b="0"/>
            <wp:docPr id="20931353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645" cy="310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354EE" w14:textId="77777777" w:rsidR="00DE44B8" w:rsidRDefault="00DE44B8" w:rsidP="00DE44B8">
      <w:pPr>
        <w:pStyle w:val="NormalWeb"/>
        <w:spacing w:beforeAutospacing="0" w:after="120" w:afterAutospacing="0" w:line="480" w:lineRule="auto"/>
        <w:jc w:val="both"/>
        <w:rPr>
          <w:color w:val="000000"/>
        </w:rPr>
      </w:pPr>
    </w:p>
    <w:p w14:paraId="43641CF7" w14:textId="7E182BDF" w:rsidR="00DE44B8" w:rsidRPr="007D44F6" w:rsidRDefault="008521A4" w:rsidP="00DE44B8">
      <w:pPr>
        <w:spacing w:after="120" w:line="480" w:lineRule="auto"/>
        <w:jc w:val="both"/>
        <w:rPr>
          <w:rFonts w:ascii="Times New Roman" w:hAnsi="Times New Roman" w:cs="Times New Roman"/>
        </w:rPr>
      </w:pPr>
      <w:r w:rsidRPr="008521A4">
        <w:rPr>
          <w:rFonts w:ascii="Times New Roman" w:hAnsi="Times New Roman" w:cs="Times New Roman"/>
          <w:b/>
          <w:bCs/>
          <w:color w:val="000000"/>
        </w:rPr>
        <w:t>Supplementary</w:t>
      </w:r>
      <w:r w:rsidRPr="008521A4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DE44B8" w:rsidRPr="008521A4">
        <w:rPr>
          <w:rFonts w:ascii="Times New Roman" w:hAnsi="Times New Roman" w:cs="Times New Roman"/>
          <w:b/>
          <w:bCs/>
        </w:rPr>
        <w:t>Figure</w:t>
      </w:r>
      <w:r w:rsidR="00DE44B8" w:rsidRPr="007D44F6">
        <w:rPr>
          <w:rFonts w:ascii="Times New Roman" w:hAnsi="Times New Roman" w:cs="Times New Roman"/>
          <w:b/>
          <w:bCs/>
        </w:rPr>
        <w:t xml:space="preserve"> 2. The PBS-soluble brain Aβ pool is unchanged by PE. </w:t>
      </w:r>
      <w:r w:rsidR="00DE44B8" w:rsidRPr="007D44F6">
        <w:rPr>
          <w:rFonts w:ascii="Times New Roman" w:hAnsi="Times New Roman" w:cs="Times New Roman"/>
        </w:rPr>
        <w:t>(</w:t>
      </w:r>
      <w:r w:rsidR="00DE44B8" w:rsidRPr="007D44F6">
        <w:rPr>
          <w:rFonts w:ascii="Times New Roman" w:hAnsi="Times New Roman" w:cs="Times New Roman"/>
          <w:b/>
          <w:bCs/>
        </w:rPr>
        <w:t>A</w:t>
      </w:r>
      <w:r w:rsidR="00DE44B8" w:rsidRPr="007D44F6">
        <w:rPr>
          <w:rFonts w:ascii="Times New Roman" w:hAnsi="Times New Roman" w:cs="Times New Roman"/>
        </w:rPr>
        <w:t>)</w:t>
      </w:r>
      <w:r w:rsidR="00DE44B8" w:rsidRPr="007D44F6">
        <w:rPr>
          <w:rFonts w:ascii="Times New Roman" w:hAnsi="Times New Roman" w:cs="Times New Roman"/>
          <w:b/>
          <w:bCs/>
        </w:rPr>
        <w:t xml:space="preserve"> </w:t>
      </w:r>
      <w:r w:rsidR="00DE44B8" w:rsidRPr="007D44F6">
        <w:rPr>
          <w:rFonts w:ascii="Times New Roman" w:hAnsi="Times New Roman" w:cs="Times New Roman"/>
        </w:rPr>
        <w:t>PBS-soluble brain Aβ</w:t>
      </w:r>
      <w:r w:rsidR="00DE44B8" w:rsidRPr="007D44F6">
        <w:rPr>
          <w:rFonts w:ascii="Times New Roman" w:hAnsi="Times New Roman" w:cs="Times New Roman"/>
          <w:vertAlign w:val="subscript"/>
        </w:rPr>
        <w:t>42</w:t>
      </w:r>
      <w:r w:rsidR="00DE44B8" w:rsidRPr="007D44F6">
        <w:rPr>
          <w:rFonts w:ascii="Times New Roman" w:hAnsi="Times New Roman" w:cs="Times New Roman"/>
        </w:rPr>
        <w:t xml:space="preserve"> and (</w:t>
      </w:r>
      <w:r w:rsidR="00DE44B8" w:rsidRPr="007D44F6">
        <w:rPr>
          <w:rFonts w:ascii="Times New Roman" w:hAnsi="Times New Roman" w:cs="Times New Roman"/>
          <w:b/>
          <w:bCs/>
        </w:rPr>
        <w:t>B</w:t>
      </w:r>
      <w:r w:rsidR="00DE44B8" w:rsidRPr="007D44F6">
        <w:rPr>
          <w:rFonts w:ascii="Times New Roman" w:hAnsi="Times New Roman" w:cs="Times New Roman"/>
        </w:rPr>
        <w:t>) PBS-soluble brain Aβ</w:t>
      </w:r>
      <w:r w:rsidR="00DE44B8" w:rsidRPr="007D44F6">
        <w:rPr>
          <w:rFonts w:ascii="Times New Roman" w:hAnsi="Times New Roman" w:cs="Times New Roman"/>
          <w:vertAlign w:val="subscript"/>
        </w:rPr>
        <w:t>40</w:t>
      </w:r>
      <w:r w:rsidR="00DE44B8" w:rsidRPr="007D44F6">
        <w:rPr>
          <w:rFonts w:ascii="Times New Roman" w:hAnsi="Times New Roman" w:cs="Times New Roman"/>
        </w:rPr>
        <w:t>, measured by ELISA in the same brain homogenates from which the insoluble fractions shown in Fig. 2E–F were obtained. Neither soluble species differed between groups (Aβ</w:t>
      </w:r>
      <w:r w:rsidR="00DE44B8" w:rsidRPr="007D44F6">
        <w:rPr>
          <w:rFonts w:ascii="Times New Roman" w:hAnsi="Times New Roman" w:cs="Times New Roman"/>
          <w:vertAlign w:val="subscript"/>
        </w:rPr>
        <w:t>42</w:t>
      </w:r>
      <w:r w:rsidR="00DE44B8" w:rsidRPr="007D44F6">
        <w:rPr>
          <w:rFonts w:ascii="Times New Roman" w:hAnsi="Times New Roman" w:cs="Times New Roman"/>
        </w:rPr>
        <w:t>: Sham-</w:t>
      </w:r>
      <w:proofErr w:type="spellStart"/>
      <w:r w:rsidR="00DE44B8" w:rsidRPr="007D44F6">
        <w:rPr>
          <w:rFonts w:ascii="Times New Roman" w:hAnsi="Times New Roman" w:cs="Times New Roman"/>
        </w:rPr>
        <w:t>Tg</w:t>
      </w:r>
      <w:proofErr w:type="spellEnd"/>
      <w:r w:rsidR="00DE44B8" w:rsidRPr="007D44F6">
        <w:rPr>
          <w:rFonts w:ascii="Times New Roman" w:hAnsi="Times New Roman" w:cs="Times New Roman"/>
        </w:rPr>
        <w:t xml:space="preserve"> 176.1 ± 6.7 vs PE-</w:t>
      </w:r>
      <w:proofErr w:type="spellStart"/>
      <w:r w:rsidR="00DE44B8" w:rsidRPr="007D44F6">
        <w:rPr>
          <w:rFonts w:ascii="Times New Roman" w:hAnsi="Times New Roman" w:cs="Times New Roman"/>
        </w:rPr>
        <w:t>Tg</w:t>
      </w:r>
      <w:proofErr w:type="spellEnd"/>
      <w:r w:rsidR="00DE44B8" w:rsidRPr="007D44F6">
        <w:rPr>
          <w:rFonts w:ascii="Times New Roman" w:hAnsi="Times New Roman" w:cs="Times New Roman"/>
        </w:rPr>
        <w:t xml:space="preserve"> 185.4 ± 4.6 </w:t>
      </w:r>
      <w:proofErr w:type="spellStart"/>
      <w:r w:rsidR="00DE44B8" w:rsidRPr="007D44F6">
        <w:rPr>
          <w:rFonts w:ascii="Times New Roman" w:hAnsi="Times New Roman" w:cs="Times New Roman"/>
        </w:rPr>
        <w:t>pg</w:t>
      </w:r>
      <w:proofErr w:type="spellEnd"/>
      <w:r w:rsidR="00DE44B8" w:rsidRPr="007D44F6">
        <w:rPr>
          <w:rFonts w:ascii="Times New Roman" w:hAnsi="Times New Roman" w:cs="Times New Roman"/>
        </w:rPr>
        <w:t>/mL, p = 0.28; Aβ40: Sham-</w:t>
      </w:r>
      <w:proofErr w:type="spellStart"/>
      <w:r w:rsidR="00DE44B8" w:rsidRPr="007D44F6">
        <w:rPr>
          <w:rFonts w:ascii="Times New Roman" w:hAnsi="Times New Roman" w:cs="Times New Roman"/>
        </w:rPr>
        <w:t>Tg</w:t>
      </w:r>
      <w:proofErr w:type="spellEnd"/>
      <w:r w:rsidR="00DE44B8" w:rsidRPr="007D44F6">
        <w:rPr>
          <w:rFonts w:ascii="Times New Roman" w:hAnsi="Times New Roman" w:cs="Times New Roman"/>
        </w:rPr>
        <w:t xml:space="preserve"> 159.0 ± 2.2 vs PE-</w:t>
      </w:r>
      <w:proofErr w:type="spellStart"/>
      <w:r w:rsidR="00DE44B8" w:rsidRPr="007D44F6">
        <w:rPr>
          <w:rFonts w:ascii="Times New Roman" w:hAnsi="Times New Roman" w:cs="Times New Roman"/>
        </w:rPr>
        <w:t>Tg</w:t>
      </w:r>
      <w:proofErr w:type="spellEnd"/>
      <w:r w:rsidR="00DE44B8" w:rsidRPr="007D44F6">
        <w:rPr>
          <w:rFonts w:ascii="Times New Roman" w:hAnsi="Times New Roman" w:cs="Times New Roman"/>
        </w:rPr>
        <w:t xml:space="preserve"> 164.2 ± 2.2 </w:t>
      </w:r>
      <w:proofErr w:type="spellStart"/>
      <w:r w:rsidR="00DE44B8" w:rsidRPr="007D44F6">
        <w:rPr>
          <w:rFonts w:ascii="Times New Roman" w:hAnsi="Times New Roman" w:cs="Times New Roman"/>
        </w:rPr>
        <w:t>pg</w:t>
      </w:r>
      <w:proofErr w:type="spellEnd"/>
      <w:r w:rsidR="00DE44B8" w:rsidRPr="007D44F6">
        <w:rPr>
          <w:rFonts w:ascii="Times New Roman" w:hAnsi="Times New Roman" w:cs="Times New Roman"/>
        </w:rPr>
        <w:t xml:space="preserve">/mL, p = 0.12; n = 7 per group), indicating that the marked reduction in deposited Aβ after PE is not accompanied by a depletion of the soluble pool. Groups were compared by unpaired two-tailed t-test. </w:t>
      </w:r>
      <w:proofErr w:type="gramStart"/>
      <w:r w:rsidR="00DE44B8" w:rsidRPr="007D44F6">
        <w:rPr>
          <w:rFonts w:ascii="Times New Roman" w:hAnsi="Times New Roman" w:cs="Times New Roman"/>
        </w:rPr>
        <w:t>Data are mean ±</w:t>
      </w:r>
      <w:proofErr w:type="gramEnd"/>
      <w:r w:rsidR="00DE44B8" w:rsidRPr="007D44F6">
        <w:rPr>
          <w:rFonts w:ascii="Times New Roman" w:hAnsi="Times New Roman" w:cs="Times New Roman"/>
        </w:rPr>
        <w:t xml:space="preserve"> SEM; each point represents one animal. Sham-</w:t>
      </w:r>
      <w:proofErr w:type="spellStart"/>
      <w:r w:rsidR="00DE44B8" w:rsidRPr="007D44F6">
        <w:rPr>
          <w:rFonts w:ascii="Times New Roman" w:hAnsi="Times New Roman" w:cs="Times New Roman"/>
        </w:rPr>
        <w:t>Tg</w:t>
      </w:r>
      <w:proofErr w:type="spellEnd"/>
      <w:r w:rsidR="00DE44B8" w:rsidRPr="007D44F6">
        <w:rPr>
          <w:rFonts w:ascii="Times New Roman" w:hAnsi="Times New Roman" w:cs="Times New Roman"/>
        </w:rPr>
        <w:t>, sham-operated APP/PS1 mice; PE-</w:t>
      </w:r>
      <w:proofErr w:type="spellStart"/>
      <w:r w:rsidR="00DE44B8" w:rsidRPr="007D44F6">
        <w:rPr>
          <w:rFonts w:ascii="Times New Roman" w:hAnsi="Times New Roman" w:cs="Times New Roman"/>
        </w:rPr>
        <w:t>Tg</w:t>
      </w:r>
      <w:proofErr w:type="spellEnd"/>
      <w:r w:rsidR="00DE44B8" w:rsidRPr="007D44F6">
        <w:rPr>
          <w:rFonts w:ascii="Times New Roman" w:hAnsi="Times New Roman" w:cs="Times New Roman"/>
        </w:rPr>
        <w:t>, plasma exchange–treated APP/PS1 mice.</w:t>
      </w:r>
    </w:p>
    <w:p w14:paraId="631BFA74" w14:textId="77777777" w:rsidR="00DE44B8" w:rsidRDefault="00DE44B8" w:rsidP="00DE44B8">
      <w:pPr>
        <w:pStyle w:val="NormalWeb"/>
        <w:spacing w:beforeAutospacing="0" w:after="120" w:afterAutospacing="0" w:line="480" w:lineRule="auto"/>
        <w:jc w:val="both"/>
        <w:rPr>
          <w:color w:val="000000"/>
        </w:rPr>
      </w:pPr>
    </w:p>
    <w:p w14:paraId="320E92D4" w14:textId="77777777" w:rsidR="00DE44B8" w:rsidRDefault="00DE44B8" w:rsidP="00DE44B8">
      <w:pPr>
        <w:pStyle w:val="NormalWeb"/>
        <w:spacing w:beforeAutospacing="0" w:after="120" w:afterAutospacing="0" w:line="480" w:lineRule="auto"/>
        <w:jc w:val="both"/>
        <w:rPr>
          <w:color w:val="000000"/>
        </w:rPr>
      </w:pPr>
    </w:p>
    <w:p w14:paraId="176AC739" w14:textId="77777777" w:rsidR="00DE44B8" w:rsidRPr="007D44F6" w:rsidRDefault="00DE44B8" w:rsidP="00DE44B8">
      <w:pPr>
        <w:pStyle w:val="NormalWeb"/>
        <w:spacing w:beforeAutospacing="0" w:after="120" w:afterAutospacing="0" w:line="480" w:lineRule="auto"/>
        <w:jc w:val="both"/>
        <w:rPr>
          <w:color w:val="000000"/>
        </w:rPr>
      </w:pPr>
    </w:p>
    <w:p w14:paraId="0A1D727B" w14:textId="1D626D68" w:rsidR="00DE44B8" w:rsidRDefault="00DE44B8">
      <w:r>
        <w:rPr>
          <w:noProof/>
        </w:rPr>
        <w:drawing>
          <wp:inline distT="0" distB="0" distL="0" distR="0" wp14:anchorId="25E13285" wp14:editId="64C2E1AC">
            <wp:extent cx="4070350" cy="5811413"/>
            <wp:effectExtent l="0" t="0" r="0" b="0"/>
            <wp:docPr id="18641322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037" cy="5816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C86EBC" w14:textId="006CF127" w:rsidR="00DE44B8" w:rsidRPr="007D44F6" w:rsidRDefault="008521A4" w:rsidP="00DE44B8">
      <w:pPr>
        <w:pStyle w:val="NormalWeb"/>
        <w:spacing w:beforeAutospacing="0" w:after="120" w:afterAutospacing="0" w:line="480" w:lineRule="auto"/>
        <w:jc w:val="both"/>
        <w:rPr>
          <w:color w:val="000000"/>
        </w:rPr>
      </w:pPr>
      <w:r>
        <w:rPr>
          <w:b/>
          <w:bCs/>
          <w:color w:val="000000"/>
        </w:rPr>
        <w:t>Supplementary</w:t>
      </w:r>
      <w:r>
        <w:rPr>
          <w:b/>
          <w:bCs/>
          <w:color w:val="000000"/>
        </w:rPr>
        <w:t xml:space="preserve"> </w:t>
      </w:r>
      <w:r w:rsidR="00DE44B8" w:rsidRPr="008521A4">
        <w:rPr>
          <w:b/>
          <w:bCs/>
          <w:color w:val="000000"/>
        </w:rPr>
        <w:t>Figure 3</w:t>
      </w:r>
      <w:r w:rsidR="00DE44B8" w:rsidRPr="007D44F6">
        <w:rPr>
          <w:b/>
          <w:bCs/>
          <w:color w:val="000000"/>
        </w:rPr>
        <w:t>. Plasma levels of Aβ and cytokines after PE</w:t>
      </w:r>
      <w:r w:rsidR="00DE44B8" w:rsidRPr="007D44F6">
        <w:rPr>
          <w:color w:val="000000"/>
        </w:rPr>
        <w:t xml:space="preserve">. </w:t>
      </w:r>
      <w:r w:rsidR="00DE44B8" w:rsidRPr="007D44F6">
        <w:rPr>
          <w:b/>
          <w:bCs/>
          <w:color w:val="000000"/>
        </w:rPr>
        <w:t>(A, B)</w:t>
      </w:r>
      <w:r w:rsidR="00DE44B8" w:rsidRPr="007D44F6">
        <w:rPr>
          <w:color w:val="000000"/>
        </w:rPr>
        <w:t xml:space="preserve"> Plasma Aβ</w:t>
      </w:r>
      <w:r w:rsidR="00DE44B8" w:rsidRPr="007D44F6">
        <w:rPr>
          <w:vertAlign w:val="subscript"/>
        </w:rPr>
        <w:t>42</w:t>
      </w:r>
      <w:r w:rsidR="00DE44B8" w:rsidRPr="007D44F6">
        <w:rPr>
          <w:color w:val="000000"/>
        </w:rPr>
        <w:t xml:space="preserve"> </w:t>
      </w:r>
      <w:r w:rsidR="00DE44B8" w:rsidRPr="007D44F6">
        <w:rPr>
          <w:b/>
          <w:bCs/>
          <w:color w:val="000000"/>
        </w:rPr>
        <w:t>(A)</w:t>
      </w:r>
      <w:r w:rsidR="00DE44B8" w:rsidRPr="007D44F6">
        <w:rPr>
          <w:color w:val="000000"/>
        </w:rPr>
        <w:t xml:space="preserve"> and Aβ</w:t>
      </w:r>
      <w:r w:rsidR="00DE44B8" w:rsidRPr="007D44F6">
        <w:rPr>
          <w:vertAlign w:val="subscript"/>
        </w:rPr>
        <w:t>40</w:t>
      </w:r>
      <w:r w:rsidR="00DE44B8" w:rsidRPr="007D44F6">
        <w:rPr>
          <w:color w:val="000000"/>
        </w:rPr>
        <w:t xml:space="preserve"> </w:t>
      </w:r>
      <w:r w:rsidR="00DE44B8" w:rsidRPr="007D44F6">
        <w:rPr>
          <w:b/>
          <w:bCs/>
          <w:color w:val="000000"/>
        </w:rPr>
        <w:t>(B)</w:t>
      </w:r>
      <w:r w:rsidR="00DE44B8" w:rsidRPr="007D44F6">
        <w:rPr>
          <w:color w:val="000000"/>
        </w:rPr>
        <w:t xml:space="preserve"> measured by ELISA in the first plasma sample collected at the onset of treatment, before any exchange had taken effect. Neither analyte differed between groups at baseline (Aβ</w:t>
      </w:r>
      <w:r w:rsidR="00DE44B8" w:rsidRPr="007D44F6">
        <w:rPr>
          <w:vertAlign w:val="subscript"/>
        </w:rPr>
        <w:t>42</w:t>
      </w:r>
      <w:r w:rsidR="00DE44B8" w:rsidRPr="007D44F6">
        <w:rPr>
          <w:color w:val="000000"/>
        </w:rPr>
        <w:t>: Sham-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597.9 ± 53.9 vs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469.6 ± 68.3 </w:t>
      </w:r>
      <w:proofErr w:type="spellStart"/>
      <w:r w:rsidR="00DE44B8" w:rsidRPr="007D44F6">
        <w:rPr>
          <w:color w:val="000000"/>
        </w:rPr>
        <w:t>pg</w:t>
      </w:r>
      <w:proofErr w:type="spellEnd"/>
      <w:r w:rsidR="00DE44B8" w:rsidRPr="007D44F6">
        <w:rPr>
          <w:color w:val="000000"/>
        </w:rPr>
        <w:t>/mL, p = 0.18; Aβ</w:t>
      </w:r>
      <w:r w:rsidR="00DE44B8" w:rsidRPr="007D44F6">
        <w:rPr>
          <w:vertAlign w:val="subscript"/>
        </w:rPr>
        <w:t>40</w:t>
      </w:r>
      <w:r w:rsidR="00DE44B8" w:rsidRPr="007D44F6">
        <w:rPr>
          <w:color w:val="000000"/>
        </w:rPr>
        <w:t>: Sham-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1197.3 ± 315.3 vs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1196.2 ± 357.4 </w:t>
      </w:r>
      <w:proofErr w:type="spellStart"/>
      <w:r w:rsidR="00DE44B8" w:rsidRPr="007D44F6">
        <w:rPr>
          <w:color w:val="000000"/>
        </w:rPr>
        <w:t>pg</w:t>
      </w:r>
      <w:proofErr w:type="spellEnd"/>
      <w:r w:rsidR="00DE44B8" w:rsidRPr="007D44F6">
        <w:rPr>
          <w:color w:val="000000"/>
        </w:rPr>
        <w:t>/mL, p = 0.998; Sham-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n = 5,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n = 4), confirming that the two </w:t>
      </w:r>
      <w:r w:rsidR="00DE44B8" w:rsidRPr="007D44F6">
        <w:rPr>
          <w:color w:val="000000"/>
        </w:rPr>
        <w:lastRenderedPageBreak/>
        <w:t>transgenic groups were comparable for circulating Aβ prior to treatment and that the elevated terminal plasma Aβ in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mice arose over the course of the intervention.</w:t>
      </w:r>
      <w:r w:rsidR="00DE44B8" w:rsidRPr="007D44F6">
        <w:rPr>
          <w:b/>
          <w:bCs/>
          <w:color w:val="000000"/>
        </w:rPr>
        <w:t xml:space="preserve"> (C)</w:t>
      </w:r>
      <w:r w:rsidR="00DE44B8" w:rsidRPr="007D44F6">
        <w:rPr>
          <w:color w:val="000000"/>
        </w:rPr>
        <w:t xml:space="preserve"> Plasma IL-10 was significantly elevated in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mice relative to both WT and Sham-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(one-way ANOVA F (2,15) = 12.59, p &lt; 0.001; WT vs Sham-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p = 0.993; WT vs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p = 0.0018; Sham-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vs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p = 0.0014; n = 6 per group). WT 2.393 ± 0.309; Sham-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2.310 ± 0.272;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5.660 ± 0.837 </w:t>
      </w:r>
      <w:proofErr w:type="spellStart"/>
      <w:r w:rsidR="00DE44B8" w:rsidRPr="007D44F6">
        <w:rPr>
          <w:color w:val="000000"/>
        </w:rPr>
        <w:t>pg</w:t>
      </w:r>
      <w:proofErr w:type="spellEnd"/>
      <w:r w:rsidR="00DE44B8" w:rsidRPr="007D44F6">
        <w:rPr>
          <w:color w:val="000000"/>
        </w:rPr>
        <w:t>/</w:t>
      </w:r>
      <w:proofErr w:type="spellStart"/>
      <w:r w:rsidR="00DE44B8" w:rsidRPr="007D44F6">
        <w:rPr>
          <w:color w:val="000000"/>
        </w:rPr>
        <w:t>mL.</w:t>
      </w:r>
      <w:proofErr w:type="spellEnd"/>
      <w:r w:rsidR="00DE44B8" w:rsidRPr="007D44F6">
        <w:rPr>
          <w:color w:val="000000"/>
        </w:rPr>
        <w:t xml:space="preserve"> </w:t>
      </w:r>
      <w:r w:rsidR="00DE44B8" w:rsidRPr="007D44F6">
        <w:rPr>
          <w:b/>
          <w:bCs/>
          <w:color w:val="000000"/>
        </w:rPr>
        <w:t>(D)</w:t>
      </w:r>
      <w:r w:rsidR="00DE44B8" w:rsidRPr="007D44F6">
        <w:rPr>
          <w:color w:val="000000"/>
        </w:rPr>
        <w:t xml:space="preserve"> Plasma TNF-α was significantly reduced in Sham-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mice relative to WT, with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levels restored to WT values (F (2,14) = 10.17, p = 0.002; WT vs Sham-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p = 0.0036; WT vs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p = 0.905; Sham-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vs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p = 0.0058; WT n = 5, Sham-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and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n = 6). WT 2.048 ± 0.157; Sham-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1.052 ± 0.169;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 xml:space="preserve"> 1.942 ± 0.185 </w:t>
      </w:r>
      <w:proofErr w:type="spellStart"/>
      <w:r w:rsidR="00DE44B8" w:rsidRPr="007D44F6">
        <w:rPr>
          <w:color w:val="000000"/>
        </w:rPr>
        <w:t>pg</w:t>
      </w:r>
      <w:proofErr w:type="spellEnd"/>
      <w:r w:rsidR="00DE44B8" w:rsidRPr="007D44F6">
        <w:rPr>
          <w:color w:val="000000"/>
        </w:rPr>
        <w:t>/</w:t>
      </w:r>
      <w:proofErr w:type="spellStart"/>
      <w:r w:rsidR="00DE44B8" w:rsidRPr="007D44F6">
        <w:rPr>
          <w:color w:val="000000"/>
        </w:rPr>
        <w:t>mL.</w:t>
      </w:r>
      <w:proofErr w:type="spellEnd"/>
      <w:r w:rsidR="00DE44B8" w:rsidRPr="007D44F6">
        <w:rPr>
          <w:color w:val="000000"/>
        </w:rPr>
        <w:t xml:space="preserve"> Panels A and B were analyzed by unpaired two-tailed t-test. Panels C and D were compared by one-way ANOVA with Tukey's multiple comparisons test. </w:t>
      </w:r>
      <w:proofErr w:type="gramStart"/>
      <w:r w:rsidR="00DE44B8" w:rsidRPr="007D44F6">
        <w:rPr>
          <w:color w:val="000000"/>
        </w:rPr>
        <w:t>Data are mean ±</w:t>
      </w:r>
      <w:proofErr w:type="gramEnd"/>
      <w:r w:rsidR="00DE44B8" w:rsidRPr="007D44F6">
        <w:rPr>
          <w:color w:val="000000"/>
        </w:rPr>
        <w:t xml:space="preserve"> SEM; each point represents one animal. WT, wild-type littermates; Sham-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>, sham-operated APP/PS1 mice; PE-</w:t>
      </w:r>
      <w:proofErr w:type="spellStart"/>
      <w:r w:rsidR="00DE44B8" w:rsidRPr="007D44F6">
        <w:rPr>
          <w:color w:val="000000"/>
        </w:rPr>
        <w:t>Tg</w:t>
      </w:r>
      <w:proofErr w:type="spellEnd"/>
      <w:r w:rsidR="00DE44B8" w:rsidRPr="007D44F6">
        <w:rPr>
          <w:color w:val="000000"/>
        </w:rPr>
        <w:t>, plasma exchange–treated APP/PS1 mice.</w:t>
      </w:r>
    </w:p>
    <w:p w14:paraId="37F95833" w14:textId="77777777" w:rsidR="00DE44B8" w:rsidRDefault="00DE44B8"/>
    <w:sectPr w:rsidR="00DE44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EFB"/>
    <w:multiLevelType w:val="hybridMultilevel"/>
    <w:tmpl w:val="BE729B14"/>
    <w:lvl w:ilvl="0" w:tplc="B5E6EBD4">
      <w:start w:val="1"/>
      <w:numFmt w:val="upperLetter"/>
      <w:lvlText w:val="(%1)"/>
      <w:lvlJc w:val="left"/>
      <w:pPr>
        <w:ind w:left="740" w:hanging="3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196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40F"/>
    <w:rsid w:val="0003240F"/>
    <w:rsid w:val="001109D0"/>
    <w:rsid w:val="0019762C"/>
    <w:rsid w:val="007614AF"/>
    <w:rsid w:val="008521A4"/>
    <w:rsid w:val="00D0420B"/>
    <w:rsid w:val="00DE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609E1"/>
  <w15:chartTrackingRefBased/>
  <w15:docId w15:val="{28075FD1-FB13-490A-9415-9C09EE1C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4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4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4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4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4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4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40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unhideWhenUsed/>
    <w:qFormat/>
    <w:rsid w:val="00032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WebChar">
    <w:name w:val="Normal (Web) Char"/>
    <w:basedOn w:val="DefaultParagraphFont"/>
    <w:link w:val="NormalWeb"/>
    <w:uiPriority w:val="99"/>
    <w:qFormat/>
    <w:rsid w:val="0003240F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Soto, Claudio</dc:creator>
  <cp:keywords/>
  <dc:description/>
  <cp:lastModifiedBy>Soto, Claudio</cp:lastModifiedBy>
  <cp:revision>3</cp:revision>
  <cp:lastPrinted>2026-10-19T22:25:00Z</cp:lastPrinted>
  <dcterms:created xsi:type="dcterms:W3CDTF">2026-08-13T15:44:00Z</dcterms:created>
  <dcterms:modified xsi:type="dcterms:W3CDTF">2026-10-20T22:33:00Z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4802c04b-4e05-46b5-9f91-4d1485656b16</vt:lpwstr>
  </property>
</Properties>
</file>