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7C" w:rsidRPr="007F2CDC" w:rsidRDefault="007F2CDC" w:rsidP="0059777C">
      <w:pPr>
        <w:pStyle w:val="Heading1"/>
        <w:rPr>
          <w:lang w:val="en-US"/>
        </w:rPr>
      </w:pPr>
      <w:r w:rsidRPr="007F2CDC">
        <w:rPr>
          <w:lang w:val="en-US"/>
        </w:rPr>
        <w:t xml:space="preserve">Additional file 1: </w:t>
      </w:r>
    </w:p>
    <w:p w:rsidR="0059777C" w:rsidRPr="007F2CDC" w:rsidRDefault="0059777C" w:rsidP="0059777C">
      <w:pPr>
        <w:pStyle w:val="Heading1"/>
        <w:rPr>
          <w:lang w:val="en-US"/>
        </w:rPr>
      </w:pPr>
      <w:r w:rsidRPr="007F2CDC">
        <w:rPr>
          <w:sz w:val="24"/>
          <w:lang w:val="en-US"/>
        </w:rPr>
        <w:t>The cost-effectiveness of as-needed budesonide-</w:t>
      </w:r>
      <w:proofErr w:type="spellStart"/>
      <w:r w:rsidRPr="007F2CDC">
        <w:rPr>
          <w:sz w:val="24"/>
          <w:lang w:val="en-US"/>
        </w:rPr>
        <w:t>formoterol</w:t>
      </w:r>
      <w:proofErr w:type="spellEnd"/>
      <w:r w:rsidRPr="007F2CDC">
        <w:rPr>
          <w:sz w:val="24"/>
          <w:lang w:val="en-US"/>
        </w:rPr>
        <w:t xml:space="preserve"> versus low-dose inhaled corticosteroid maintenance therapy in patients with mild asthma in Canada</w:t>
      </w:r>
    </w:p>
    <w:p w:rsidR="0059777C" w:rsidRPr="007F2CDC" w:rsidRDefault="0059777C" w:rsidP="0059777C">
      <w:pPr>
        <w:tabs>
          <w:tab w:val="center" w:leader="dot" w:pos="4513"/>
        </w:tabs>
        <w:spacing w:line="440" w:lineRule="exact"/>
        <w:rPr>
          <w:rFonts w:cs="Calibri"/>
          <w:b/>
        </w:rPr>
      </w:pPr>
      <w:r w:rsidRPr="007F2CDC">
        <w:rPr>
          <w:rFonts w:cs="Calibri"/>
          <w:b/>
        </w:rPr>
        <w:t>Mohsen Sadatsafavi,</w:t>
      </w:r>
      <w:r w:rsidRPr="007F2CDC">
        <w:rPr>
          <w:rFonts w:cs="Calibri"/>
          <w:b/>
          <w:vertAlign w:val="superscript"/>
        </w:rPr>
        <w:t>1</w:t>
      </w:r>
      <w:r w:rsidRPr="007F2CDC">
        <w:rPr>
          <w:rFonts w:cs="Calibri"/>
          <w:b/>
        </w:rPr>
        <w:t xml:space="preserve"> J Mark FitzGerald,</w:t>
      </w:r>
      <w:r w:rsidRPr="007F2CDC">
        <w:rPr>
          <w:rFonts w:cs="Calibri"/>
          <w:b/>
          <w:vertAlign w:val="superscript"/>
        </w:rPr>
        <w:t>2</w:t>
      </w:r>
      <w:r w:rsidRPr="007F2CDC">
        <w:rPr>
          <w:rFonts w:cs="Calibri"/>
          <w:b/>
        </w:rPr>
        <w:t xml:space="preserve"> Paul M O’Byrne,</w:t>
      </w:r>
      <w:r w:rsidRPr="007F2CDC">
        <w:rPr>
          <w:rFonts w:cs="Calibri"/>
          <w:b/>
          <w:vertAlign w:val="superscript"/>
        </w:rPr>
        <w:t>3</w:t>
      </w:r>
      <w:r w:rsidRPr="007F2CDC">
        <w:rPr>
          <w:rFonts w:cs="Calibri"/>
          <w:b/>
        </w:rPr>
        <w:t xml:space="preserve"> Mena Soliman,</w:t>
      </w:r>
      <w:r w:rsidRPr="007F2CDC">
        <w:rPr>
          <w:rFonts w:cs="Calibri"/>
          <w:b/>
          <w:vertAlign w:val="superscript"/>
        </w:rPr>
        <w:t>4</w:t>
      </w:r>
      <w:r w:rsidRPr="007F2CDC">
        <w:rPr>
          <w:rFonts w:cs="Calibri"/>
          <w:b/>
        </w:rPr>
        <w:t xml:space="preserve"> </w:t>
      </w:r>
      <w:proofErr w:type="spellStart"/>
      <w:r w:rsidRPr="007F2CDC">
        <w:rPr>
          <w:rFonts w:cs="Calibri"/>
          <w:b/>
        </w:rPr>
        <w:t>Niroshan</w:t>
      </w:r>
      <w:proofErr w:type="spellEnd"/>
      <w:r w:rsidRPr="007F2CDC">
        <w:rPr>
          <w:rFonts w:cs="Calibri"/>
          <w:b/>
        </w:rPr>
        <w:t xml:space="preserve"> Sriskandarajah,</w:t>
      </w:r>
      <w:r w:rsidRPr="007F2CDC">
        <w:rPr>
          <w:rFonts w:cs="Calibri"/>
          <w:b/>
          <w:vertAlign w:val="superscript"/>
        </w:rPr>
        <w:t>5</w:t>
      </w:r>
      <w:r w:rsidRPr="007F2CDC">
        <w:rPr>
          <w:rFonts w:cs="Calibri"/>
          <w:b/>
        </w:rPr>
        <w:t xml:space="preserve"> Colin Vicente,</w:t>
      </w:r>
      <w:r w:rsidRPr="007F2CDC">
        <w:rPr>
          <w:rFonts w:cs="Calibri"/>
          <w:b/>
          <w:vertAlign w:val="superscript"/>
        </w:rPr>
        <w:t>6</w:t>
      </w:r>
      <w:r w:rsidRPr="007F2CDC">
        <w:rPr>
          <w:rFonts w:cs="Calibri"/>
          <w:b/>
        </w:rPr>
        <w:t xml:space="preserve"> </w:t>
      </w:r>
      <w:proofErr w:type="spellStart"/>
      <w:r w:rsidRPr="007F2CDC">
        <w:rPr>
          <w:rFonts w:cs="Calibri"/>
          <w:b/>
        </w:rPr>
        <w:t>Sarowar</w:t>
      </w:r>
      <w:proofErr w:type="spellEnd"/>
      <w:r w:rsidRPr="007F2CDC">
        <w:rPr>
          <w:rFonts w:cs="Calibri"/>
          <w:b/>
        </w:rPr>
        <w:t xml:space="preserve"> Muhammad Golam</w:t>
      </w:r>
      <w:r w:rsidRPr="007F2CDC">
        <w:rPr>
          <w:rFonts w:cs="Calibri"/>
          <w:b/>
          <w:vertAlign w:val="superscript"/>
        </w:rPr>
        <w:t>7</w:t>
      </w:r>
    </w:p>
    <w:p w:rsidR="0059777C" w:rsidRPr="007F2CDC" w:rsidRDefault="0059777C" w:rsidP="0059777C">
      <w:pPr>
        <w:tabs>
          <w:tab w:val="center" w:leader="dot" w:pos="4513"/>
        </w:tabs>
        <w:spacing w:line="440" w:lineRule="exact"/>
        <w:rPr>
          <w:rFonts w:cs="Calibri"/>
        </w:rPr>
      </w:pPr>
      <w:r w:rsidRPr="007F2CDC">
        <w:rPr>
          <w:rFonts w:cs="Calibri"/>
          <w:vertAlign w:val="superscript"/>
        </w:rPr>
        <w:t>1</w:t>
      </w:r>
      <w:r w:rsidRPr="007F2CDC">
        <w:rPr>
          <w:rFonts w:cs="Calibri"/>
        </w:rPr>
        <w:t xml:space="preserve">Respiratory Evaluation Sciences Program, Collaboration for Outcomes Research and Evaluation, Faculty of Pharmaceutical Sciences, University of British Columbia, 2405 </w:t>
      </w:r>
      <w:proofErr w:type="spellStart"/>
      <w:r w:rsidRPr="007F2CDC">
        <w:rPr>
          <w:rFonts w:cs="Calibri"/>
        </w:rPr>
        <w:t>Wesbrook</w:t>
      </w:r>
      <w:proofErr w:type="spellEnd"/>
      <w:r w:rsidRPr="007F2CDC">
        <w:rPr>
          <w:rFonts w:cs="Calibri"/>
        </w:rPr>
        <w:t xml:space="preserve"> Mall, Vancouver, BC, V6T1Z3; Canada; msafavi@mail.ubc.ca (corresponding author)</w:t>
      </w:r>
    </w:p>
    <w:p w:rsidR="0059777C" w:rsidRPr="007F2CDC" w:rsidRDefault="0059777C" w:rsidP="0059777C">
      <w:pPr>
        <w:tabs>
          <w:tab w:val="center" w:leader="dot" w:pos="4513"/>
        </w:tabs>
        <w:spacing w:line="440" w:lineRule="exact"/>
        <w:rPr>
          <w:rFonts w:cs="Calibri"/>
        </w:rPr>
      </w:pPr>
      <w:r w:rsidRPr="007F2CDC">
        <w:rPr>
          <w:rFonts w:cs="Calibri"/>
          <w:vertAlign w:val="superscript"/>
        </w:rPr>
        <w:t>2</w:t>
      </w:r>
      <w:r w:rsidRPr="007F2CDC">
        <w:rPr>
          <w:rFonts w:cs="Calibri"/>
        </w:rPr>
        <w:t>Centre for Lung Health, Vancouver Coastal Health Research Institute, University of British Columbia, 2775 Laurel Street, Vancouver, BC V5Z1M9, Canada; Mark.Fitzgerald@vch.ca</w:t>
      </w:r>
    </w:p>
    <w:p w:rsidR="0059777C" w:rsidRPr="007F2CDC" w:rsidRDefault="0059777C" w:rsidP="0059777C">
      <w:pPr>
        <w:tabs>
          <w:tab w:val="center" w:leader="dot" w:pos="4513"/>
        </w:tabs>
        <w:spacing w:line="440" w:lineRule="exact"/>
        <w:rPr>
          <w:rFonts w:cs="Calibri"/>
        </w:rPr>
      </w:pPr>
      <w:r w:rsidRPr="007F2CDC">
        <w:rPr>
          <w:rFonts w:cs="Calibri"/>
          <w:vertAlign w:val="superscript"/>
        </w:rPr>
        <w:t>3</w:t>
      </w:r>
      <w:r w:rsidRPr="007F2CDC">
        <w:rPr>
          <w:rFonts w:cs="Calibri"/>
        </w:rPr>
        <w:t xml:space="preserve">Firestone Institute of Respiratory Health, St Joseph’s Healthcare and Department of Medicine, Michael G. </w:t>
      </w:r>
      <w:proofErr w:type="spellStart"/>
      <w:r w:rsidRPr="007F2CDC">
        <w:rPr>
          <w:rFonts w:cs="Calibri"/>
        </w:rPr>
        <w:t>DeGroote</w:t>
      </w:r>
      <w:proofErr w:type="spellEnd"/>
      <w:r w:rsidRPr="007F2CDC">
        <w:rPr>
          <w:rFonts w:cs="Calibri"/>
        </w:rPr>
        <w:t xml:space="preserve"> School of Medicine,</w:t>
      </w:r>
      <w:r w:rsidRPr="007F2CDC">
        <w:rPr>
          <w:rFonts w:cs="Calibri"/>
          <w:vertAlign w:val="superscript"/>
        </w:rPr>
        <w:t xml:space="preserve"> </w:t>
      </w:r>
      <w:r w:rsidRPr="007F2CDC">
        <w:rPr>
          <w:rFonts w:cs="Calibri"/>
        </w:rPr>
        <w:t>McMaster University, 1280 Main Street West, Health Science Center, 3W10 Hamilton, Ontario L8S 4K2, Canada; obyrnep@mcmaster.ca</w:t>
      </w:r>
    </w:p>
    <w:p w:rsidR="0059777C" w:rsidRPr="007F2CDC" w:rsidRDefault="0059777C" w:rsidP="0059777C">
      <w:pPr>
        <w:tabs>
          <w:tab w:val="center" w:leader="dot" w:pos="4513"/>
        </w:tabs>
        <w:spacing w:line="440" w:lineRule="exact"/>
        <w:rPr>
          <w:rFonts w:cs="Calibri"/>
        </w:rPr>
      </w:pPr>
      <w:r w:rsidRPr="007F2CDC">
        <w:rPr>
          <w:rFonts w:cs="Calibri"/>
          <w:vertAlign w:val="superscript"/>
        </w:rPr>
        <w:t>4</w:t>
      </w:r>
      <w:r w:rsidRPr="007F2CDC">
        <w:rPr>
          <w:rFonts w:cs="Calibri"/>
        </w:rPr>
        <w:t>Medical Affairs, AstraZeneca, 1004 Middlegate Road, Mississauga, Ontario L4Y 1M4, Canada; mena.soliman@astrazeneca.com</w:t>
      </w:r>
    </w:p>
    <w:p w:rsidR="0059777C" w:rsidRPr="007F2CDC" w:rsidRDefault="0059777C" w:rsidP="0059777C">
      <w:pPr>
        <w:tabs>
          <w:tab w:val="center" w:leader="dot" w:pos="4513"/>
        </w:tabs>
        <w:spacing w:line="440" w:lineRule="exact"/>
        <w:rPr>
          <w:rFonts w:cs="Calibri"/>
        </w:rPr>
      </w:pPr>
      <w:r w:rsidRPr="007F2CDC">
        <w:rPr>
          <w:rFonts w:cs="Calibri"/>
          <w:vertAlign w:val="superscript"/>
        </w:rPr>
        <w:t>5</w:t>
      </w:r>
      <w:r w:rsidRPr="007F2CDC">
        <w:rPr>
          <w:rFonts w:cs="Calibri"/>
        </w:rPr>
        <w:t>Market Access, AstraZeneca, 1004 Middlegate Road, Mississauga, Ontario L4Y 1M4, Canada; niroshan.sriskandarajah@astrazeneca.com</w:t>
      </w:r>
    </w:p>
    <w:p w:rsidR="0059777C" w:rsidRPr="007F2CDC" w:rsidRDefault="0059777C" w:rsidP="0059777C">
      <w:pPr>
        <w:tabs>
          <w:tab w:val="center" w:leader="dot" w:pos="4513"/>
        </w:tabs>
        <w:spacing w:line="440" w:lineRule="exact"/>
        <w:rPr>
          <w:rFonts w:cs="Calibri"/>
        </w:rPr>
      </w:pPr>
      <w:r w:rsidRPr="007F2CDC">
        <w:rPr>
          <w:rFonts w:cs="Calibri"/>
          <w:vertAlign w:val="superscript"/>
        </w:rPr>
        <w:t>6</w:t>
      </w:r>
      <w:r w:rsidRPr="007F2CDC">
        <w:rPr>
          <w:rFonts w:cs="Calibri"/>
        </w:rPr>
        <w:t>PIVINA Consulting Inc.,</w:t>
      </w:r>
      <w:r w:rsidRPr="007F2CDC">
        <w:t xml:space="preserve"> </w:t>
      </w:r>
      <w:r w:rsidRPr="007F2CDC">
        <w:rPr>
          <w:rFonts w:cs="Calibri"/>
        </w:rPr>
        <w:t xml:space="preserve">2600 </w:t>
      </w:r>
      <w:proofErr w:type="spellStart"/>
      <w:r w:rsidRPr="007F2CDC">
        <w:rPr>
          <w:rFonts w:cs="Calibri"/>
        </w:rPr>
        <w:t>Skymark</w:t>
      </w:r>
      <w:proofErr w:type="spellEnd"/>
      <w:r w:rsidRPr="007F2CDC">
        <w:rPr>
          <w:rFonts w:cs="Calibri"/>
        </w:rPr>
        <w:t xml:space="preserve"> Avenue, Suite 11-202, Mississauga, ON, L4W 5B2, Canada; cvicente@pivina.com</w:t>
      </w:r>
    </w:p>
    <w:p w:rsidR="0059777C" w:rsidRPr="007F2CDC" w:rsidRDefault="0059777C" w:rsidP="0059777C">
      <w:pPr>
        <w:tabs>
          <w:tab w:val="center" w:leader="dot" w:pos="4513"/>
        </w:tabs>
        <w:spacing w:line="440" w:lineRule="exact"/>
        <w:rPr>
          <w:rFonts w:cs="Calibri"/>
        </w:rPr>
      </w:pPr>
      <w:r w:rsidRPr="007F2CDC">
        <w:rPr>
          <w:rFonts w:cs="Calibri"/>
          <w:vertAlign w:val="superscript"/>
        </w:rPr>
        <w:t>7</w:t>
      </w:r>
      <w:r w:rsidR="00903448" w:rsidRPr="007F2CDC">
        <w:rPr>
          <w:rFonts w:cs="Calibri"/>
        </w:rPr>
        <w:t xml:space="preserve">Global Market Access and Pricing, </w:t>
      </w:r>
      <w:proofErr w:type="spellStart"/>
      <w:r w:rsidR="00903448" w:rsidRPr="007F2CDC">
        <w:rPr>
          <w:rFonts w:cs="Calibri"/>
        </w:rPr>
        <w:t>BioPharmaceuticals</w:t>
      </w:r>
      <w:proofErr w:type="spellEnd"/>
      <w:r w:rsidR="00903448" w:rsidRPr="007F2CDC">
        <w:rPr>
          <w:rFonts w:cs="Calibri"/>
        </w:rPr>
        <w:t xml:space="preserve"> R&amp;D, AstraZeneca, 431 83 </w:t>
      </w:r>
      <w:proofErr w:type="spellStart"/>
      <w:r w:rsidR="00903448" w:rsidRPr="007F2CDC">
        <w:rPr>
          <w:rFonts w:cs="Calibri"/>
        </w:rPr>
        <w:t>Mölndal</w:t>
      </w:r>
      <w:proofErr w:type="spellEnd"/>
      <w:r w:rsidR="00903448" w:rsidRPr="007F2CDC">
        <w:rPr>
          <w:rFonts w:cs="Calibri"/>
        </w:rPr>
        <w:t>, Gothenburg, Sweden</w:t>
      </w:r>
      <w:r w:rsidRPr="007F2CDC">
        <w:rPr>
          <w:rFonts w:cs="Calibri"/>
        </w:rPr>
        <w:t>; sarowar.golam@astrazeneca.com</w:t>
      </w:r>
    </w:p>
    <w:p w:rsidR="0059777C" w:rsidRPr="007F2CDC" w:rsidRDefault="00D954A5" w:rsidP="00D954A5">
      <w:pPr>
        <w:tabs>
          <w:tab w:val="left" w:pos="4513"/>
        </w:tabs>
        <w:rPr>
          <w:rFonts w:cs="Calibri"/>
          <w:b/>
        </w:rPr>
      </w:pPr>
      <w:r w:rsidRPr="007F2CDC">
        <w:rPr>
          <w:rFonts w:cs="Calibri"/>
          <w:b/>
        </w:rPr>
        <w:tab/>
      </w:r>
    </w:p>
    <w:p w:rsidR="0059777C" w:rsidRPr="007F2CDC" w:rsidRDefault="0059777C" w:rsidP="0059777C">
      <w:pPr>
        <w:spacing w:line="360" w:lineRule="auto"/>
      </w:pPr>
      <w:r w:rsidRPr="007F2CDC">
        <w:rPr>
          <w:b/>
        </w:rPr>
        <w:lastRenderedPageBreak/>
        <w:t>Table S1.</w:t>
      </w:r>
      <w:r w:rsidRPr="007F2CDC">
        <w:t xml:space="preserve"> Annual risk of death related to severe asthma exacerbation.</w:t>
      </w:r>
    </w:p>
    <w:tbl>
      <w:tblPr>
        <w:tblStyle w:val="Table-HERONplain"/>
        <w:tblW w:w="9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2268"/>
        <w:gridCol w:w="1838"/>
        <w:gridCol w:w="2126"/>
        <w:gridCol w:w="2879"/>
      </w:tblGrid>
      <w:tr w:rsidR="0059777C" w:rsidRPr="007F2CDC" w:rsidTr="00912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n-US"/>
              </w:rPr>
              <w:t>Type of severe exacerbation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59777C" w:rsidRPr="007F2CDC" w:rsidRDefault="0059777C" w:rsidP="009129C1">
            <w:pPr>
              <w:pStyle w:val="TableHeading-H56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n-US"/>
              </w:rPr>
              <w:t>Patient age, y</w:t>
            </w:r>
            <w:r w:rsidR="00D042D7" w:rsidRPr="007F2CD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n-US"/>
              </w:rPr>
              <w:t>ears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59777C" w:rsidRPr="007F2CDC" w:rsidRDefault="0059777C" w:rsidP="009129C1">
            <w:pPr>
              <w:pStyle w:val="TableHeading-H56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n-US"/>
              </w:rPr>
              <w:t xml:space="preserve">Annual risk of death 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  <w:lang w:val="en-US"/>
              </w:rPr>
              <w:t>Source</w:t>
            </w:r>
          </w:p>
        </w:tc>
      </w:tr>
      <w:tr w:rsidR="0059777C" w:rsidRPr="007F2CDC" w:rsidTr="009129C1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SCS</w:t>
            </w:r>
          </w:p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12–16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0.0004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 xml:space="preserve">Watson </w:t>
            </w:r>
            <w:r w:rsidRPr="007F2CDC">
              <w:rPr>
                <w:rFonts w:asciiTheme="minorHAnsi" w:hAnsiTheme="minorHAnsi" w:cstheme="minorHAnsi"/>
                <w:i/>
                <w:color w:val="auto"/>
                <w:sz w:val="20"/>
                <w:lang w:val="en-US"/>
              </w:rPr>
              <w:t>et al.</w:t>
            </w: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 xml:space="preserve"> 2007</w:t>
            </w:r>
            <w:r w:rsidRPr="007F2CDC"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en-US"/>
              </w:rPr>
              <w:t>1</w:t>
            </w:r>
          </w:p>
          <w:p w:rsidR="0059777C" w:rsidRPr="007F2CDC" w:rsidRDefault="0059777C" w:rsidP="0059777C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NRAD 2017</w:t>
            </w:r>
            <w:r w:rsidRPr="007F2CDC"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en-US"/>
              </w:rPr>
              <w:t>2</w:t>
            </w:r>
          </w:p>
        </w:tc>
      </w:tr>
      <w:tr w:rsidR="0059777C" w:rsidRPr="007F2CDC" w:rsidTr="009129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268" w:type="dxa"/>
            <w:vMerge/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17–44</w:t>
            </w:r>
          </w:p>
        </w:tc>
        <w:tc>
          <w:tcPr>
            <w:tcW w:w="2126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0.0005</w:t>
            </w:r>
          </w:p>
        </w:tc>
        <w:tc>
          <w:tcPr>
            <w:tcW w:w="2879" w:type="dxa"/>
            <w:vMerge/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  <w:tr w:rsidR="0059777C" w:rsidRPr="007F2CDC" w:rsidTr="009129C1">
        <w:trPr>
          <w:trHeight w:val="20"/>
        </w:trPr>
        <w:tc>
          <w:tcPr>
            <w:tcW w:w="2268" w:type="dxa"/>
            <w:vMerge/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45–54</w:t>
            </w:r>
          </w:p>
        </w:tc>
        <w:tc>
          <w:tcPr>
            <w:tcW w:w="2126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0.0032</w:t>
            </w:r>
          </w:p>
        </w:tc>
        <w:tc>
          <w:tcPr>
            <w:tcW w:w="2879" w:type="dxa"/>
            <w:vMerge/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  <w:tr w:rsidR="0059777C" w:rsidRPr="007F2CDC" w:rsidTr="009129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268" w:type="dxa"/>
            <w:vMerge/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55–64</w:t>
            </w:r>
          </w:p>
        </w:tc>
        <w:tc>
          <w:tcPr>
            <w:tcW w:w="2126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0.0032</w:t>
            </w:r>
          </w:p>
        </w:tc>
        <w:tc>
          <w:tcPr>
            <w:tcW w:w="2879" w:type="dxa"/>
            <w:vMerge/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  <w:tr w:rsidR="0059777C" w:rsidRPr="007F2CDC" w:rsidTr="009129C1">
        <w:trPr>
          <w:trHeight w:val="20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65–100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0.0032</w:t>
            </w:r>
          </w:p>
        </w:tc>
        <w:tc>
          <w:tcPr>
            <w:tcW w:w="2879" w:type="dxa"/>
            <w:vMerge/>
            <w:tcBorders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  <w:tr w:rsidR="0059777C" w:rsidRPr="007F2CDC" w:rsidTr="009129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ED visit + SCS</w:t>
            </w:r>
          </w:p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12–16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0.0027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 xml:space="preserve">Watson </w:t>
            </w:r>
            <w:r w:rsidRPr="007F2CDC">
              <w:rPr>
                <w:rFonts w:asciiTheme="minorHAnsi" w:hAnsiTheme="minorHAnsi" w:cstheme="minorHAnsi"/>
                <w:i/>
                <w:color w:val="auto"/>
                <w:sz w:val="20"/>
                <w:lang w:val="en-US"/>
              </w:rPr>
              <w:t>et al.</w:t>
            </w: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 xml:space="preserve"> 2007</w:t>
            </w:r>
            <w:r w:rsidRPr="007F2CDC"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en-US"/>
              </w:rPr>
              <w:t>1</w:t>
            </w:r>
          </w:p>
          <w:p w:rsidR="0059777C" w:rsidRPr="007F2CDC" w:rsidRDefault="0059777C" w:rsidP="0059777C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NRAD 2017</w:t>
            </w:r>
            <w:r w:rsidRPr="007F2CDC"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en-US"/>
              </w:rPr>
              <w:t>2</w:t>
            </w:r>
          </w:p>
        </w:tc>
      </w:tr>
      <w:tr w:rsidR="0059777C" w:rsidRPr="007F2CDC" w:rsidTr="009129C1">
        <w:trPr>
          <w:trHeight w:val="20"/>
        </w:trPr>
        <w:tc>
          <w:tcPr>
            <w:tcW w:w="2268" w:type="dxa"/>
            <w:vMerge/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17–44</w:t>
            </w:r>
          </w:p>
        </w:tc>
        <w:tc>
          <w:tcPr>
            <w:tcW w:w="2126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0.0032</w:t>
            </w:r>
          </w:p>
        </w:tc>
        <w:tc>
          <w:tcPr>
            <w:tcW w:w="2879" w:type="dxa"/>
            <w:vMerge/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  <w:tr w:rsidR="0059777C" w:rsidRPr="007F2CDC" w:rsidTr="009129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268" w:type="dxa"/>
            <w:vMerge/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45-54</w:t>
            </w:r>
          </w:p>
        </w:tc>
        <w:tc>
          <w:tcPr>
            <w:tcW w:w="2126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0.0206</w:t>
            </w:r>
          </w:p>
        </w:tc>
        <w:tc>
          <w:tcPr>
            <w:tcW w:w="2879" w:type="dxa"/>
            <w:vMerge/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  <w:tr w:rsidR="0059777C" w:rsidRPr="007F2CDC" w:rsidTr="009129C1">
        <w:trPr>
          <w:trHeight w:val="20"/>
        </w:trPr>
        <w:tc>
          <w:tcPr>
            <w:tcW w:w="2268" w:type="dxa"/>
            <w:vMerge/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55–64</w:t>
            </w:r>
          </w:p>
        </w:tc>
        <w:tc>
          <w:tcPr>
            <w:tcW w:w="2126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0.0206</w:t>
            </w:r>
          </w:p>
        </w:tc>
        <w:tc>
          <w:tcPr>
            <w:tcW w:w="2879" w:type="dxa"/>
            <w:vMerge/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  <w:tr w:rsidR="0059777C" w:rsidRPr="007F2CDC" w:rsidTr="009129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65–100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0.0206</w:t>
            </w:r>
          </w:p>
        </w:tc>
        <w:tc>
          <w:tcPr>
            <w:tcW w:w="2879" w:type="dxa"/>
            <w:vMerge/>
            <w:tcBorders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  <w:tr w:rsidR="0059777C" w:rsidRPr="007F2CDC" w:rsidTr="009129C1">
        <w:trPr>
          <w:trHeight w:val="227"/>
        </w:trPr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Heading-H56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Inpatient hospitalization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12–16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0.0014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fr-CA"/>
              </w:rPr>
            </w:pPr>
          </w:p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fr-CA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fr-CA"/>
              </w:rPr>
              <w:t xml:space="preserve">Watson </w:t>
            </w:r>
            <w:r w:rsidRPr="007F2CDC">
              <w:rPr>
                <w:rFonts w:asciiTheme="minorHAnsi" w:hAnsiTheme="minorHAnsi" w:cstheme="minorHAnsi"/>
                <w:i/>
                <w:color w:val="auto"/>
                <w:sz w:val="20"/>
                <w:lang w:val="fr-CA"/>
              </w:rPr>
              <w:t>et al.</w:t>
            </w:r>
            <w:r w:rsidRPr="007F2CDC">
              <w:rPr>
                <w:rFonts w:asciiTheme="minorHAnsi" w:hAnsiTheme="minorHAnsi" w:cstheme="minorHAnsi"/>
                <w:color w:val="auto"/>
                <w:sz w:val="20"/>
                <w:lang w:val="fr-CA"/>
              </w:rPr>
              <w:t xml:space="preserve"> 2007</w:t>
            </w:r>
            <w:r w:rsidRPr="007F2CDC"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fr-CA"/>
              </w:rPr>
              <w:t>1</w:t>
            </w:r>
          </w:p>
          <w:p w:rsidR="0059777C" w:rsidRPr="007F2CDC" w:rsidRDefault="0059777C" w:rsidP="0059777C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fr-CA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fr-CA"/>
              </w:rPr>
              <w:t xml:space="preserve">Roberts </w:t>
            </w:r>
            <w:r w:rsidRPr="007F2CDC">
              <w:rPr>
                <w:rFonts w:asciiTheme="minorHAnsi" w:hAnsiTheme="minorHAnsi" w:cstheme="minorHAnsi"/>
                <w:i/>
                <w:color w:val="auto"/>
                <w:sz w:val="20"/>
                <w:lang w:val="fr-CA"/>
              </w:rPr>
              <w:t>et al.</w:t>
            </w:r>
            <w:r w:rsidRPr="007F2CDC">
              <w:rPr>
                <w:rFonts w:asciiTheme="minorHAnsi" w:hAnsiTheme="minorHAnsi" w:cstheme="minorHAnsi"/>
                <w:color w:val="auto"/>
                <w:sz w:val="20"/>
                <w:lang w:val="fr-CA"/>
              </w:rPr>
              <w:t xml:space="preserve"> 2013</w:t>
            </w:r>
            <w:r w:rsidRPr="007F2CDC">
              <w:rPr>
                <w:rFonts w:asciiTheme="minorHAnsi" w:hAnsiTheme="minorHAnsi" w:cstheme="minorHAnsi"/>
                <w:color w:val="auto"/>
                <w:sz w:val="20"/>
                <w:vertAlign w:val="superscript"/>
                <w:lang w:val="fr-CA"/>
              </w:rPr>
              <w:t>3</w:t>
            </w:r>
          </w:p>
        </w:tc>
      </w:tr>
      <w:tr w:rsidR="0059777C" w:rsidRPr="007F2CDC" w:rsidTr="009129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fr-CA"/>
              </w:rPr>
            </w:pPr>
          </w:p>
        </w:tc>
        <w:tc>
          <w:tcPr>
            <w:tcW w:w="1838" w:type="dxa"/>
            <w:shd w:val="clear" w:color="auto" w:fill="FFFFFF" w:themeFill="background1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17–44</w:t>
            </w:r>
          </w:p>
        </w:tc>
        <w:tc>
          <w:tcPr>
            <w:tcW w:w="2126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0.0020</w:t>
            </w:r>
          </w:p>
        </w:tc>
        <w:tc>
          <w:tcPr>
            <w:tcW w:w="28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  <w:tr w:rsidR="0059777C" w:rsidRPr="007F2CDC" w:rsidTr="009129C1">
        <w:trPr>
          <w:trHeight w:val="227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  <w:tc>
          <w:tcPr>
            <w:tcW w:w="1838" w:type="dxa"/>
            <w:shd w:val="clear" w:color="auto" w:fill="FFFFFF" w:themeFill="background1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45–54</w:t>
            </w:r>
          </w:p>
        </w:tc>
        <w:tc>
          <w:tcPr>
            <w:tcW w:w="2126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0.0076</w:t>
            </w:r>
          </w:p>
        </w:tc>
        <w:tc>
          <w:tcPr>
            <w:tcW w:w="28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  <w:tr w:rsidR="0059777C" w:rsidRPr="007F2CDC" w:rsidTr="009129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7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  <w:tc>
          <w:tcPr>
            <w:tcW w:w="1838" w:type="dxa"/>
            <w:shd w:val="clear" w:color="auto" w:fill="FFFFFF" w:themeFill="background1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55–64</w:t>
            </w:r>
          </w:p>
        </w:tc>
        <w:tc>
          <w:tcPr>
            <w:tcW w:w="2126" w:type="dxa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0.0214</w:t>
            </w:r>
          </w:p>
        </w:tc>
        <w:tc>
          <w:tcPr>
            <w:tcW w:w="28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  <w:tr w:rsidR="0059777C" w:rsidRPr="007F2CDC" w:rsidTr="009129C1">
        <w:trPr>
          <w:trHeight w:val="227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65–100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  <w:r w:rsidRPr="007F2CDC">
              <w:rPr>
                <w:rFonts w:asciiTheme="minorHAnsi" w:hAnsiTheme="minorHAnsi" w:cstheme="minorHAnsi"/>
                <w:color w:val="auto"/>
                <w:sz w:val="20"/>
                <w:lang w:val="en-US"/>
              </w:rPr>
              <w:t>0.0454</w:t>
            </w:r>
          </w:p>
        </w:tc>
        <w:tc>
          <w:tcPr>
            <w:tcW w:w="28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9777C" w:rsidRPr="007F2CDC" w:rsidRDefault="0059777C" w:rsidP="009129C1">
            <w:pPr>
              <w:pStyle w:val="TableBodyText-H54"/>
              <w:spacing w:line="360" w:lineRule="auto"/>
              <w:rPr>
                <w:rFonts w:asciiTheme="minorHAnsi" w:hAnsiTheme="minorHAnsi" w:cstheme="minorHAnsi"/>
                <w:color w:val="auto"/>
                <w:sz w:val="20"/>
                <w:lang w:val="en-US"/>
              </w:rPr>
            </w:pPr>
          </w:p>
        </w:tc>
      </w:tr>
    </w:tbl>
    <w:p w:rsidR="0059777C" w:rsidRPr="007F2CDC" w:rsidRDefault="0059777C" w:rsidP="0059777C">
      <w:pPr>
        <w:spacing w:before="0" w:beforeAutospacing="0" w:after="0" w:afterAutospacing="0" w:line="240" w:lineRule="auto"/>
        <w:rPr>
          <w:sz w:val="20"/>
          <w:szCs w:val="20"/>
        </w:rPr>
      </w:pPr>
      <w:r w:rsidRPr="007F2CDC">
        <w:rPr>
          <w:sz w:val="20"/>
          <w:szCs w:val="20"/>
        </w:rPr>
        <w:t>ED: emergency department; NRAD: National Review of Asthma Deaths; SCS: systemic corticosteroid.</w:t>
      </w:r>
    </w:p>
    <w:p w:rsidR="0059777C" w:rsidRPr="007F2CDC" w:rsidRDefault="0059777C" w:rsidP="0059777C">
      <w:pPr>
        <w:widowControl/>
        <w:spacing w:before="0" w:beforeAutospacing="0" w:after="0" w:afterAutospacing="0" w:line="240" w:lineRule="auto"/>
      </w:pPr>
    </w:p>
    <w:p w:rsidR="0059777C" w:rsidRPr="007F2CDC" w:rsidRDefault="0059777C" w:rsidP="0059777C">
      <w:pPr>
        <w:rPr>
          <w:b/>
        </w:rPr>
        <w:sectPr w:rsidR="0059777C" w:rsidRPr="007F2CDC" w:rsidSect="00D954A5">
          <w:footerReference w:type="default" r:id="rId7"/>
          <w:endnotePr>
            <w:numFmt w:val="decimal"/>
          </w:endnotePr>
          <w:pgSz w:w="11907" w:h="16840" w:code="9"/>
          <w:pgMar w:top="1440" w:right="1701" w:bottom="1440" w:left="1701" w:header="709" w:footer="709" w:gutter="0"/>
          <w:cols w:space="720"/>
          <w:docGrid w:linePitch="299"/>
        </w:sectPr>
      </w:pPr>
    </w:p>
    <w:p w:rsidR="0059777C" w:rsidRPr="007F2CDC" w:rsidRDefault="0059777C" w:rsidP="0059777C">
      <w:pPr>
        <w:spacing w:line="360" w:lineRule="auto"/>
      </w:pPr>
      <w:r w:rsidRPr="007F2CDC">
        <w:rPr>
          <w:b/>
        </w:rPr>
        <w:lastRenderedPageBreak/>
        <w:t>Table S2</w:t>
      </w:r>
      <w:r w:rsidRPr="007F2CDC">
        <w:t>. Derivation of severe exacerbation costs (Canadian $, 2019).</w:t>
      </w:r>
    </w:p>
    <w:tbl>
      <w:tblPr>
        <w:tblW w:w="1269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2551"/>
        <w:gridCol w:w="993"/>
        <w:gridCol w:w="4394"/>
        <w:gridCol w:w="1701"/>
        <w:gridCol w:w="1559"/>
      </w:tblGrid>
      <w:tr w:rsidR="0059777C" w:rsidRPr="007F2CDC" w:rsidTr="009129C1">
        <w:trPr>
          <w:trHeight w:val="903"/>
        </w:trPr>
        <w:tc>
          <w:tcPr>
            <w:tcW w:w="14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Severe exacerbation types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  <w:t>H</w:t>
            </w:r>
            <w:r w:rsidR="00D042D7" w:rsidRPr="007F2CDC"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  <w:t>C</w:t>
            </w:r>
            <w:r w:rsidRPr="007F2CDC"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  <w:t>RU related to exacerbation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Unit cost ($)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Source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Mean duration</w:t>
            </w: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br/>
              <w:t>(days)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Total cost</w:t>
            </w: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br/>
              <w:t>per event ($)</w:t>
            </w:r>
          </w:p>
        </w:tc>
      </w:tr>
      <w:tr w:rsidR="0059777C" w:rsidRPr="007F2CDC" w:rsidTr="009129C1">
        <w:trPr>
          <w:trHeight w:val="300"/>
        </w:trPr>
        <w:tc>
          <w:tcPr>
            <w:tcW w:w="1493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SYGMA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59777C" w:rsidRPr="007F2CDC" w:rsidTr="009129C1">
        <w:trPr>
          <w:trHeight w:val="201"/>
        </w:trPr>
        <w:tc>
          <w:tcPr>
            <w:tcW w:w="14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SCS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Cs/>
                <w:sz w:val="20"/>
                <w:szCs w:val="20"/>
                <w:lang w:eastAsia="sv-SE"/>
              </w:rPr>
              <w:t>SCS (day)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Assumed covered by ED or hospital cost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6.48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  <w:t>155.14</w:t>
            </w:r>
          </w:p>
        </w:tc>
      </w:tr>
      <w:tr w:rsidR="0059777C" w:rsidRPr="007F2CDC" w:rsidTr="009129C1">
        <w:trPr>
          <w:trHeight w:val="300"/>
        </w:trPr>
        <w:tc>
          <w:tcPr>
            <w:tcW w:w="149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 xml:space="preserve">GP visit - prescribing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77.20</w:t>
            </w:r>
          </w:p>
        </w:tc>
        <w:tc>
          <w:tcPr>
            <w:tcW w:w="4394" w:type="dxa"/>
            <w:shd w:val="clear" w:color="auto" w:fill="auto"/>
          </w:tcPr>
          <w:p w:rsidR="0059777C" w:rsidRPr="007F2CDC" w:rsidRDefault="0059777C" w:rsidP="0059777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vertAlign w:val="superscript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Ontario Schedule of Benefits</w:t>
            </w:r>
            <w:r w:rsidRPr="007F2CD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</w:pPr>
          </w:p>
        </w:tc>
      </w:tr>
      <w:tr w:rsidR="0059777C" w:rsidRPr="007F2CDC" w:rsidTr="009129C1">
        <w:trPr>
          <w:trHeight w:val="300"/>
        </w:trPr>
        <w:tc>
          <w:tcPr>
            <w:tcW w:w="149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GP visit- follow-up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77.20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59777C" w:rsidRPr="007F2CDC" w:rsidRDefault="0059777C" w:rsidP="0059777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vertAlign w:val="superscript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Ontario Schedule of Benefits</w:t>
            </w:r>
            <w:r w:rsidRPr="007F2CD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</w:pPr>
          </w:p>
        </w:tc>
      </w:tr>
      <w:tr w:rsidR="0059777C" w:rsidRPr="007F2CDC" w:rsidTr="009129C1">
        <w:trPr>
          <w:trHeight w:val="777"/>
        </w:trPr>
        <w:tc>
          <w:tcPr>
            <w:tcW w:w="14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 xml:space="preserve">ED visit + </w:t>
            </w:r>
          </w:p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SCS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ED visit (visit)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412.87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59777C" w:rsidRPr="007F2CDC" w:rsidRDefault="007F2CDC" w:rsidP="009129C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hyperlink r:id="rId8" w:history="1">
              <w:r w:rsidR="0059777C" w:rsidRPr="007F2CDC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https://odprn.ca/wp-content/uploads/2015/04/ICS-LABA-asthma-Final-Pharmacoeco-04-03-15_AS-srk.pdf</w:t>
              </w:r>
            </w:hyperlink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  <w:t>490.81</w:t>
            </w:r>
          </w:p>
        </w:tc>
      </w:tr>
      <w:tr w:rsidR="0059777C" w:rsidRPr="007F2CDC" w:rsidTr="009129C1">
        <w:trPr>
          <w:trHeight w:val="300"/>
        </w:trPr>
        <w:tc>
          <w:tcPr>
            <w:tcW w:w="1493" w:type="dxa"/>
            <w:vMerge/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Cs/>
                <w:sz w:val="20"/>
                <w:szCs w:val="20"/>
                <w:lang w:eastAsia="sv-SE"/>
              </w:rPr>
              <w:t>SCS (day)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0.00</w:t>
            </w:r>
          </w:p>
        </w:tc>
        <w:tc>
          <w:tcPr>
            <w:tcW w:w="4394" w:type="dxa"/>
            <w:shd w:val="clear" w:color="auto" w:fill="auto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 xml:space="preserve">Assumed covered by ED or hospital cost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5.53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</w:pPr>
          </w:p>
        </w:tc>
      </w:tr>
      <w:tr w:rsidR="0059777C" w:rsidRPr="007F2CDC" w:rsidTr="009129C1">
        <w:trPr>
          <w:trHeight w:val="300"/>
        </w:trPr>
        <w:tc>
          <w:tcPr>
            <w:tcW w:w="149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GP visit Follow-up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77.20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59777C" w:rsidRPr="007F2CDC" w:rsidRDefault="0059777C" w:rsidP="0059777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vertAlign w:val="superscript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Ontario Schedule of Benefits</w:t>
            </w:r>
            <w:r w:rsidRPr="007F2CD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</w:pPr>
          </w:p>
        </w:tc>
      </w:tr>
      <w:tr w:rsidR="0059777C" w:rsidRPr="007F2CDC" w:rsidTr="009129C1">
        <w:trPr>
          <w:trHeight w:val="300"/>
        </w:trPr>
        <w:tc>
          <w:tcPr>
            <w:tcW w:w="14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Inpatient hospitalization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Cs/>
                <w:sz w:val="20"/>
                <w:szCs w:val="20"/>
                <w:lang w:eastAsia="sv-SE"/>
              </w:rPr>
              <w:t>HRG stay (LOS=6 days) (stay)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9,322.00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59777C" w:rsidRPr="007F2CDC" w:rsidRDefault="0059777C" w:rsidP="0059777C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sv-SE"/>
              </w:rPr>
            </w:pPr>
            <w:r w:rsidRPr="007F2CDC">
              <w:rPr>
                <w:rFonts w:asciiTheme="minorHAnsi" w:hAnsiTheme="minorHAnsi" w:cstheme="minorHAnsi"/>
                <w:bCs/>
                <w:sz w:val="20"/>
                <w:szCs w:val="20"/>
                <w:lang w:eastAsia="sv-SE"/>
              </w:rPr>
              <w:t>OCCI Code J441</w:t>
            </w:r>
            <w:r w:rsidRPr="007F2CDC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sv-SE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sz w:val="20"/>
                <w:szCs w:val="20"/>
                <w:lang w:eastAsia="sv-SE"/>
              </w:rPr>
              <w:t>9,399.94</w:t>
            </w:r>
          </w:p>
        </w:tc>
      </w:tr>
      <w:tr w:rsidR="0059777C" w:rsidRPr="007F2CDC" w:rsidTr="009129C1">
        <w:trPr>
          <w:trHeight w:val="300"/>
        </w:trPr>
        <w:tc>
          <w:tcPr>
            <w:tcW w:w="14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sv-SE"/>
              </w:rPr>
              <w:t>Additional day (day)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  <w:t>N/A</w:t>
            </w:r>
          </w:p>
        </w:tc>
        <w:tc>
          <w:tcPr>
            <w:tcW w:w="4394" w:type="dxa"/>
            <w:shd w:val="clear" w:color="auto" w:fill="auto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sv-SE"/>
              </w:rPr>
              <w:t>N/A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  <w:t>N/A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sv-SE"/>
              </w:rPr>
            </w:pPr>
          </w:p>
        </w:tc>
      </w:tr>
      <w:tr w:rsidR="0059777C" w:rsidRPr="007F2CDC" w:rsidTr="009129C1">
        <w:trPr>
          <w:trHeight w:val="300"/>
        </w:trPr>
        <w:tc>
          <w:tcPr>
            <w:tcW w:w="14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  <w:t>GP visit Follow-up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  <w:t>77.20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59777C" w:rsidRPr="007F2CDC" w:rsidRDefault="0059777C" w:rsidP="0059777C">
            <w:pPr>
              <w:spacing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Ontario Schedule of Benefits</w:t>
            </w:r>
            <w:r w:rsidRPr="007F2CD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777C" w:rsidRPr="007F2CDC" w:rsidRDefault="0059777C" w:rsidP="00912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sv-SE"/>
              </w:rPr>
            </w:pPr>
          </w:p>
        </w:tc>
      </w:tr>
    </w:tbl>
    <w:p w:rsidR="0059777C" w:rsidRPr="007F2CDC" w:rsidRDefault="0059777C" w:rsidP="0059777C">
      <w:pPr>
        <w:tabs>
          <w:tab w:val="left" w:pos="4063"/>
        </w:tabs>
        <w:spacing w:before="0" w:beforeAutospacing="0" w:after="0" w:afterAutospacing="0" w:line="240" w:lineRule="auto"/>
        <w:rPr>
          <w:sz w:val="20"/>
          <w:szCs w:val="20"/>
        </w:rPr>
      </w:pPr>
      <w:r w:rsidRPr="007F2CDC">
        <w:rPr>
          <w:sz w:val="20"/>
          <w:szCs w:val="20"/>
        </w:rPr>
        <w:t>ED: emergency department; GP: general practitioner; HRG: healthcare resource group; H</w:t>
      </w:r>
      <w:r w:rsidR="00D042D7" w:rsidRPr="007F2CDC">
        <w:rPr>
          <w:sz w:val="20"/>
          <w:szCs w:val="20"/>
        </w:rPr>
        <w:t>C</w:t>
      </w:r>
      <w:r w:rsidRPr="007F2CDC">
        <w:rPr>
          <w:sz w:val="20"/>
          <w:szCs w:val="20"/>
        </w:rPr>
        <w:t>RU: healthcare resource utilization; LOS: length of stay; N/A: not applicable; OCCI: Ontario Case Costing Initiative; SCS, systemic corticosteroid.</w:t>
      </w:r>
    </w:p>
    <w:p w:rsidR="0059777C" w:rsidRPr="007F2CDC" w:rsidRDefault="0059777C" w:rsidP="0059777C">
      <w:pPr>
        <w:tabs>
          <w:tab w:val="left" w:pos="4063"/>
        </w:tabs>
        <w:spacing w:before="0" w:beforeAutospacing="0" w:after="0" w:afterAutospacing="0" w:line="240" w:lineRule="auto"/>
        <w:rPr>
          <w:b/>
          <w:sz w:val="20"/>
          <w:szCs w:val="20"/>
        </w:rPr>
        <w:sectPr w:rsidR="0059777C" w:rsidRPr="007F2CDC" w:rsidSect="00D954A5">
          <w:endnotePr>
            <w:numFmt w:val="decimal"/>
          </w:endnotePr>
          <w:pgSz w:w="16840" w:h="11907" w:orient="landscape" w:code="9"/>
          <w:pgMar w:top="1701" w:right="1440" w:bottom="1701" w:left="1440" w:header="709" w:footer="709" w:gutter="0"/>
          <w:cols w:space="720"/>
          <w:docGrid w:linePitch="299"/>
        </w:sectPr>
      </w:pPr>
    </w:p>
    <w:p w:rsidR="0059777C" w:rsidRPr="007F2CDC" w:rsidRDefault="0059777C" w:rsidP="0059777C">
      <w:pPr>
        <w:spacing w:line="360" w:lineRule="auto"/>
        <w:contextualSpacing/>
      </w:pPr>
      <w:r w:rsidRPr="007F2CDC">
        <w:rPr>
          <w:b/>
        </w:rPr>
        <w:lastRenderedPageBreak/>
        <w:t>Table S3.</w:t>
      </w:r>
      <w:r w:rsidRPr="007F2CDC">
        <w:t xml:space="preserve"> Annual asth</w:t>
      </w:r>
      <w:bookmarkStart w:id="0" w:name="_GoBack"/>
      <w:bookmarkEnd w:id="0"/>
      <w:r w:rsidRPr="007F2CDC">
        <w:t>ma H</w:t>
      </w:r>
      <w:r w:rsidR="00A93FF6" w:rsidRPr="007F2CDC">
        <w:t>C</w:t>
      </w:r>
      <w:r w:rsidRPr="007F2CDC">
        <w:t>RU use and unit costs in the non-exacerbation health state.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2480"/>
        <w:gridCol w:w="3969"/>
      </w:tblGrid>
      <w:tr w:rsidR="0059777C" w:rsidRPr="007F2CDC" w:rsidTr="009129C1">
        <w:trPr>
          <w:trHeight w:val="481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Type of medical resource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Unit cost ($)*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H</w:t>
            </w:r>
            <w:r w:rsidR="00A93FF6"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C</w:t>
            </w: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RU per patient-treatment year†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v-SE"/>
              </w:rPr>
              <w:t>Source for unit costs</w:t>
            </w:r>
          </w:p>
        </w:tc>
      </w:tr>
      <w:tr w:rsidR="0059777C" w:rsidRPr="007F2CDC" w:rsidTr="009129C1">
        <w:trPr>
          <w:trHeight w:val="284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Specialist visit</w:t>
            </w: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  <w:t>157.00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0.16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59777C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Ontario Schedule of Benefits</w:t>
            </w:r>
            <w:r w:rsidRPr="007F2CD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</w:p>
        </w:tc>
      </w:tr>
      <w:tr w:rsidR="0059777C" w:rsidRPr="007F2CDC" w:rsidTr="009129C1">
        <w:trPr>
          <w:trHeight w:val="284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Primary healthcare physician visit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  <w:t>77.20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0.1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59777C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Ontario Schedule of Benefits</w:t>
            </w:r>
            <w:r w:rsidRPr="007F2CD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</w:p>
        </w:tc>
      </w:tr>
      <w:tr w:rsidR="0059777C" w:rsidRPr="007F2CDC" w:rsidTr="009129C1">
        <w:trPr>
          <w:trHeight w:val="284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Telephone calls to physician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  <w:t>10.00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0.09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Assumed as per nurse calls</w:t>
            </w:r>
          </w:p>
        </w:tc>
      </w:tr>
      <w:tr w:rsidR="0059777C" w:rsidRPr="007F2CDC" w:rsidTr="009129C1">
        <w:trPr>
          <w:trHeight w:val="284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Ambulance transport</w:t>
            </w: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  <w:t>168.40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&lt;0.01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59777C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Ontario Schedule of Benefits</w:t>
            </w:r>
            <w:r w:rsidRPr="007F2CD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</w:p>
        </w:tc>
      </w:tr>
      <w:tr w:rsidR="0059777C" w:rsidRPr="007F2CDC" w:rsidTr="009129C1">
        <w:trPr>
          <w:trHeight w:val="284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Home visits by physician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  <w:t>77.20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&lt;0.01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noProof/>
                <w:sz w:val="20"/>
                <w:szCs w:val="20"/>
              </w:rPr>
              <w:t>Assumed as per primary visit</w:t>
            </w:r>
          </w:p>
        </w:tc>
      </w:tr>
      <w:tr w:rsidR="0059777C" w:rsidRPr="007F2CDC" w:rsidTr="009129C1">
        <w:trPr>
          <w:trHeight w:val="284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 visit (not captured as exacerbation)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  <w:t>97.60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59777C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Ontario Schedule of Benefits</w:t>
            </w:r>
            <w:r w:rsidRPr="007F2CD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4</w:t>
            </w:r>
          </w:p>
        </w:tc>
      </w:tr>
      <w:tr w:rsidR="0059777C" w:rsidRPr="007F2CDC" w:rsidTr="009129C1">
        <w:trPr>
          <w:trHeight w:val="284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Other healthcare visit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77.20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noProof/>
                <w:sz w:val="20"/>
                <w:szCs w:val="20"/>
              </w:rPr>
              <w:t>Assumed as per primary visit</w:t>
            </w:r>
          </w:p>
        </w:tc>
      </w:tr>
      <w:tr w:rsidR="0059777C" w:rsidRPr="007F2CDC" w:rsidTr="009129C1">
        <w:trPr>
          <w:trHeight w:val="284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Home visits/other healthcare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  <w:t>40.00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&lt;0.01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59777C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noProof/>
                <w:sz w:val="20"/>
                <w:szCs w:val="20"/>
              </w:rPr>
              <w:t>1 hour per visit</w:t>
            </w:r>
            <w:r w:rsidRPr="007F2CDC">
              <w:rPr>
                <w:rFonts w:asciiTheme="minorHAnsi" w:hAnsiTheme="minorHAnsi" w:cstheme="minorHAnsi"/>
                <w:noProof/>
                <w:sz w:val="20"/>
                <w:szCs w:val="20"/>
              </w:rPr>
              <w:br/>
              <w:t>Registered Nurses’ Association of Ontario</w:t>
            </w:r>
            <w:r w:rsidRPr="007F2CDC">
              <w:rPr>
                <w:rFonts w:asciiTheme="minorHAnsi" w:hAnsiTheme="minorHAnsi" w:cstheme="minorHAnsi"/>
                <w:noProof/>
                <w:sz w:val="20"/>
                <w:szCs w:val="20"/>
                <w:vertAlign w:val="superscript"/>
              </w:rPr>
              <w:t>6</w:t>
            </w:r>
          </w:p>
        </w:tc>
      </w:tr>
      <w:tr w:rsidR="0059777C" w:rsidRPr="007F2CDC" w:rsidTr="009129C1">
        <w:trPr>
          <w:trHeight w:val="284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777C" w:rsidRPr="007F2CDC" w:rsidRDefault="0059777C" w:rsidP="009129C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Telephone calls to nurse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  <w:t>10.00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9129C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0.02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777C" w:rsidRPr="007F2CDC" w:rsidRDefault="0059777C" w:rsidP="0059777C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sv-SE" w:eastAsia="sv-SE"/>
              </w:rPr>
            </w:pPr>
            <w:r w:rsidRPr="007F2CDC">
              <w:rPr>
                <w:rFonts w:asciiTheme="minorHAnsi" w:hAnsiTheme="minorHAnsi" w:cstheme="minorHAnsi"/>
                <w:sz w:val="20"/>
                <w:szCs w:val="20"/>
              </w:rPr>
              <w:t>15 minute per call</w:t>
            </w:r>
            <w:r w:rsidRPr="007F2CD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F2CDC">
              <w:rPr>
                <w:rFonts w:asciiTheme="minorHAnsi" w:hAnsiTheme="minorHAnsi" w:cstheme="minorHAnsi"/>
                <w:noProof/>
                <w:sz w:val="20"/>
                <w:szCs w:val="20"/>
              </w:rPr>
              <w:t>Registered Nurses’ Association of Ontario</w:t>
            </w:r>
            <w:r w:rsidRPr="007F2CDC">
              <w:rPr>
                <w:rFonts w:asciiTheme="minorHAnsi" w:hAnsiTheme="minorHAnsi" w:cstheme="minorHAnsi"/>
                <w:noProof/>
                <w:sz w:val="20"/>
                <w:szCs w:val="20"/>
                <w:vertAlign w:val="superscript"/>
              </w:rPr>
              <w:t>6</w:t>
            </w:r>
          </w:p>
        </w:tc>
      </w:tr>
    </w:tbl>
    <w:p w:rsidR="0059777C" w:rsidRPr="007F2CDC" w:rsidRDefault="0059777C" w:rsidP="0059777C">
      <w:pPr>
        <w:spacing w:line="360" w:lineRule="auto"/>
        <w:contextualSpacing/>
      </w:pPr>
      <w:r w:rsidRPr="007F2CDC">
        <w:t>ED: emergency department; H</w:t>
      </w:r>
      <w:r w:rsidR="00A93FF6" w:rsidRPr="007F2CDC">
        <w:t>C</w:t>
      </w:r>
      <w:r w:rsidRPr="007F2CDC">
        <w:t>RU: healthcare resource u</w:t>
      </w:r>
      <w:r w:rsidR="00D042D7" w:rsidRPr="007F2CDC">
        <w:t>tilization.</w:t>
      </w:r>
    </w:p>
    <w:p w:rsidR="0059777C" w:rsidRPr="007F2CDC" w:rsidRDefault="0059777C" w:rsidP="0059777C">
      <w:pPr>
        <w:spacing w:line="360" w:lineRule="auto"/>
        <w:contextualSpacing/>
      </w:pPr>
      <w:r w:rsidRPr="007F2CDC">
        <w:t>*The most recent Ontario Schedule of Benefits was published in 2017; costs were unchanged at the time this cost-effectiveness analysis was conducted, in May 2019.</w:t>
      </w:r>
    </w:p>
    <w:p w:rsidR="0059777C" w:rsidRPr="007F2CDC" w:rsidRDefault="0059777C" w:rsidP="0059777C">
      <w:pPr>
        <w:widowControl/>
        <w:spacing w:before="0" w:beforeAutospacing="0" w:after="0" w:afterAutospacing="0" w:line="360" w:lineRule="auto"/>
      </w:pPr>
      <w:r w:rsidRPr="007F2CDC">
        <w:rPr>
          <w:rFonts w:cs="Calibri"/>
          <w:vertAlign w:val="superscript"/>
        </w:rPr>
        <w:t>†</w:t>
      </w:r>
      <w:r w:rsidRPr="007F2CDC">
        <w:t>In the base-case, non-exacerbation health state costs were calculated by taking H</w:t>
      </w:r>
      <w:r w:rsidR="00D042D7" w:rsidRPr="007F2CDC">
        <w:t>C</w:t>
      </w:r>
      <w:r w:rsidRPr="007F2CDC">
        <w:t>RU data from SYGMA 2 and multiplying by standard specific unit costs.</w:t>
      </w:r>
    </w:p>
    <w:p w:rsidR="0059777C" w:rsidRPr="007F2CDC" w:rsidRDefault="0059777C" w:rsidP="0059777C">
      <w:r w:rsidRPr="007F2CDC">
        <w:br w:type="page"/>
      </w:r>
    </w:p>
    <w:p w:rsidR="0059777C" w:rsidRPr="007F2CDC" w:rsidRDefault="0059777C" w:rsidP="0059777C">
      <w:pPr>
        <w:widowControl/>
        <w:spacing w:before="0" w:beforeAutospacing="0" w:after="0" w:afterAutospacing="0" w:line="360" w:lineRule="auto"/>
        <w:rPr>
          <w:b/>
          <w:sz w:val="24"/>
        </w:rPr>
      </w:pPr>
      <w:r w:rsidRPr="007F2CDC">
        <w:rPr>
          <w:b/>
          <w:sz w:val="24"/>
        </w:rPr>
        <w:lastRenderedPageBreak/>
        <w:t>References</w:t>
      </w:r>
    </w:p>
    <w:p w:rsidR="00D954A5" w:rsidRPr="007F2CDC" w:rsidRDefault="00D954A5" w:rsidP="0059777C">
      <w:pPr>
        <w:widowControl/>
        <w:spacing w:before="0" w:beforeAutospacing="0" w:after="0" w:afterAutospacing="0" w:line="360" w:lineRule="auto"/>
        <w:rPr>
          <w:b/>
          <w:sz w:val="24"/>
        </w:rPr>
      </w:pPr>
    </w:p>
    <w:p w:rsidR="0059777C" w:rsidRPr="007F2CDC" w:rsidRDefault="0059777C" w:rsidP="0059777C">
      <w:pPr>
        <w:pStyle w:val="ListParagraph"/>
        <w:widowControl/>
        <w:numPr>
          <w:ilvl w:val="0"/>
          <w:numId w:val="1"/>
        </w:numPr>
        <w:spacing w:before="0" w:beforeAutospacing="0" w:after="0" w:afterAutospacing="0" w:line="360" w:lineRule="auto"/>
      </w:pPr>
      <w:r w:rsidRPr="007F2CDC">
        <w:t xml:space="preserve">Watson L, Turk F, James P, Holgate ST. Factors associated with mortality after an asthma admission: a national United Kingdom database analysis. </w:t>
      </w:r>
      <w:proofErr w:type="spellStart"/>
      <w:r w:rsidRPr="007F2CDC">
        <w:t>Respir</w:t>
      </w:r>
      <w:proofErr w:type="spellEnd"/>
      <w:r w:rsidRPr="007F2CDC">
        <w:t xml:space="preserve"> Med. 2007</w:t>
      </w:r>
      <w:proofErr w:type="gramStart"/>
      <w:r w:rsidRPr="007F2CDC">
        <w:t>;101:1659</w:t>
      </w:r>
      <w:proofErr w:type="gramEnd"/>
      <w:r w:rsidRPr="007F2CDC">
        <w:t>-64.</w:t>
      </w:r>
    </w:p>
    <w:p w:rsidR="0059777C" w:rsidRPr="007F2CDC" w:rsidRDefault="0059777C" w:rsidP="0059777C">
      <w:pPr>
        <w:pStyle w:val="ListParagraph"/>
        <w:widowControl/>
        <w:numPr>
          <w:ilvl w:val="0"/>
          <w:numId w:val="1"/>
        </w:numPr>
        <w:spacing w:before="0" w:beforeAutospacing="0" w:after="0" w:afterAutospacing="0" w:line="360" w:lineRule="auto"/>
      </w:pPr>
      <w:r w:rsidRPr="007F2CDC">
        <w:t>Royal College of Physicians. Why asthma still kills. The National Review of Asthma Deaths (NRAD)</w:t>
      </w:r>
      <w:r w:rsidR="0089788E" w:rsidRPr="007F2CDC">
        <w:t>.</w:t>
      </w:r>
      <w:r w:rsidRPr="007F2CDC">
        <w:t xml:space="preserve"> </w:t>
      </w:r>
      <w:hyperlink r:id="rId9" w:history="1">
        <w:r w:rsidRPr="007F2CDC">
          <w:rPr>
            <w:rStyle w:val="Hyperlink"/>
          </w:rPr>
          <w:t>https://www.rcplondon.ac.uk/projects/outputs/why-asthma-still-kills</w:t>
        </w:r>
      </w:hyperlink>
      <w:r w:rsidR="00D042D7" w:rsidRPr="007F2CDC">
        <w:t xml:space="preserve"> (2014).</w:t>
      </w:r>
      <w:r w:rsidR="0089788E" w:rsidRPr="007F2CDC">
        <w:t xml:space="preserve"> Accessed 30 Mar 2020.</w:t>
      </w:r>
    </w:p>
    <w:p w:rsidR="0059777C" w:rsidRPr="007F2CDC" w:rsidRDefault="0059777C" w:rsidP="0059777C">
      <w:pPr>
        <w:pStyle w:val="ListParagraph"/>
        <w:widowControl/>
        <w:numPr>
          <w:ilvl w:val="0"/>
          <w:numId w:val="1"/>
        </w:numPr>
        <w:spacing w:before="0" w:beforeAutospacing="0" w:after="0" w:afterAutospacing="0" w:line="360" w:lineRule="auto"/>
      </w:pPr>
      <w:r w:rsidRPr="007F2CDC">
        <w:t xml:space="preserve">Roberts NJ, </w:t>
      </w:r>
      <w:proofErr w:type="spellStart"/>
      <w:r w:rsidRPr="007F2CDC">
        <w:t>Lewsey</w:t>
      </w:r>
      <w:proofErr w:type="spellEnd"/>
      <w:r w:rsidRPr="007F2CDC">
        <w:t xml:space="preserve"> JD, </w:t>
      </w:r>
      <w:proofErr w:type="spellStart"/>
      <w:r w:rsidRPr="007F2CDC">
        <w:t>Gillies</w:t>
      </w:r>
      <w:proofErr w:type="spellEnd"/>
      <w:r w:rsidRPr="007F2CDC">
        <w:t xml:space="preserve"> M, Briggs AH, </w:t>
      </w:r>
      <w:proofErr w:type="spellStart"/>
      <w:r w:rsidRPr="007F2CDC">
        <w:t>Belozeroff</w:t>
      </w:r>
      <w:proofErr w:type="spellEnd"/>
      <w:r w:rsidRPr="007F2CDC">
        <w:t xml:space="preserve"> V, Globe DR, et al. Time trends in 30 day case-fatality following </w:t>
      </w:r>
      <w:proofErr w:type="spellStart"/>
      <w:r w:rsidRPr="007F2CDC">
        <w:t>hospitalisation</w:t>
      </w:r>
      <w:proofErr w:type="spellEnd"/>
      <w:r w:rsidRPr="007F2CDC">
        <w:t xml:space="preserve"> for asthma in adults in Scotland: a retrospective cohort study from 1981 to 2009. </w:t>
      </w:r>
      <w:proofErr w:type="spellStart"/>
      <w:r w:rsidRPr="007F2CDC">
        <w:t>Respir</w:t>
      </w:r>
      <w:proofErr w:type="spellEnd"/>
      <w:r w:rsidRPr="007F2CDC">
        <w:t xml:space="preserve"> Med. 2013</w:t>
      </w:r>
      <w:proofErr w:type="gramStart"/>
      <w:r w:rsidRPr="007F2CDC">
        <w:t>;107:1172</w:t>
      </w:r>
      <w:proofErr w:type="gramEnd"/>
      <w:r w:rsidRPr="007F2CDC">
        <w:t>-7.</w:t>
      </w:r>
    </w:p>
    <w:p w:rsidR="0059777C" w:rsidRPr="007F2CDC" w:rsidRDefault="0059777C" w:rsidP="0059777C">
      <w:pPr>
        <w:pStyle w:val="ListParagraph"/>
        <w:widowControl/>
        <w:numPr>
          <w:ilvl w:val="0"/>
          <w:numId w:val="1"/>
        </w:numPr>
        <w:spacing w:before="0" w:beforeAutospacing="0" w:after="0" w:afterAutospacing="0" w:line="360" w:lineRule="auto"/>
      </w:pPr>
      <w:r w:rsidRPr="007F2CDC">
        <w:t>Ontario Health Insurance Plan (OHIP). OHIP Schedule of Benefits and Fees</w:t>
      </w:r>
      <w:r w:rsidR="0089788E" w:rsidRPr="007F2CDC">
        <w:t>.</w:t>
      </w:r>
      <w:r w:rsidRPr="007F2CDC">
        <w:t xml:space="preserve"> </w:t>
      </w:r>
      <w:hyperlink r:id="rId10" w:history="1">
        <w:r w:rsidRPr="007F2CDC">
          <w:rPr>
            <w:rStyle w:val="Hyperlink"/>
          </w:rPr>
          <w:t>http://www.health.gov.on.ca/en/pro/programs/ohip/sob/</w:t>
        </w:r>
      </w:hyperlink>
      <w:r w:rsidR="0089788E" w:rsidRPr="007F2CDC">
        <w:t xml:space="preserve"> (2017). Accessed 6 Mar 2020.</w:t>
      </w:r>
    </w:p>
    <w:p w:rsidR="0059777C" w:rsidRPr="007F2CDC" w:rsidRDefault="0059777C" w:rsidP="0059777C">
      <w:pPr>
        <w:pStyle w:val="ListParagraph"/>
        <w:widowControl/>
        <w:numPr>
          <w:ilvl w:val="0"/>
          <w:numId w:val="1"/>
        </w:numPr>
        <w:spacing w:before="0" w:beforeAutospacing="0" w:after="0" w:afterAutospacing="0" w:line="360" w:lineRule="auto"/>
      </w:pPr>
      <w:r w:rsidRPr="007F2CDC">
        <w:t>Ontario Ministry of Health and Long-Term Care (MOHLTC) - Health Data Branch. Ontario Case Costing Initiative (OCCI)</w:t>
      </w:r>
      <w:r w:rsidR="0089788E" w:rsidRPr="007F2CDC">
        <w:t xml:space="preserve">. </w:t>
      </w:r>
      <w:hyperlink r:id="rId11" w:history="1">
        <w:r w:rsidRPr="007F2CDC">
          <w:rPr>
            <w:rStyle w:val="Hyperlink"/>
          </w:rPr>
          <w:t>https://hsim.health.gov.on.ca/hdbportal/</w:t>
        </w:r>
      </w:hyperlink>
      <w:r w:rsidR="0089788E" w:rsidRPr="007F2CDC">
        <w:t xml:space="preserve"> (2019). Accessed 6 Feb 2020.</w:t>
      </w:r>
    </w:p>
    <w:p w:rsidR="0059777C" w:rsidRPr="007F2CDC" w:rsidRDefault="0059777C" w:rsidP="0059777C">
      <w:pPr>
        <w:pStyle w:val="ListParagraph"/>
        <w:widowControl/>
        <w:numPr>
          <w:ilvl w:val="0"/>
          <w:numId w:val="1"/>
        </w:numPr>
        <w:spacing w:before="0" w:beforeAutospacing="0" w:after="0" w:afterAutospacing="0" w:line="360" w:lineRule="auto"/>
      </w:pPr>
      <w:r w:rsidRPr="007F2CDC">
        <w:t xml:space="preserve">Registered Nurses Association of Ontario. Dollars and Sense: What are nurses paid? </w:t>
      </w:r>
      <w:hyperlink r:id="rId12" w:history="1">
        <w:r w:rsidRPr="007F2CDC">
          <w:rPr>
            <w:rStyle w:val="Hyperlink"/>
          </w:rPr>
          <w:t>http://careersinnursing.ca/new-grads-and-job-seekers/find-nursing-job/dollars-and-sense-what-are-nurses-paid</w:t>
        </w:r>
      </w:hyperlink>
      <w:r w:rsidR="00D042D7" w:rsidRPr="007F2CDC">
        <w:t xml:space="preserve"> (2020).</w:t>
      </w:r>
      <w:r w:rsidR="0089788E" w:rsidRPr="007F2CDC">
        <w:t xml:space="preserve"> Accessed May 2019.</w:t>
      </w:r>
    </w:p>
    <w:sectPr w:rsidR="0059777C" w:rsidRPr="007F2CDC" w:rsidSect="00D954A5">
      <w:endnotePr>
        <w:numFmt w:val="decimal"/>
      </w:endnotePr>
      <w:pgSz w:w="11907" w:h="16840" w:code="9"/>
      <w:pgMar w:top="1440" w:right="1701" w:bottom="1440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401" w:rsidRDefault="00F84401" w:rsidP="00D954A5">
      <w:pPr>
        <w:spacing w:before="0" w:after="0" w:line="240" w:lineRule="auto"/>
      </w:pPr>
      <w:r>
        <w:separator/>
      </w:r>
    </w:p>
  </w:endnote>
  <w:endnote w:type="continuationSeparator" w:id="0">
    <w:p w:rsidR="00F84401" w:rsidRDefault="00F84401" w:rsidP="00D954A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Awesom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61341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54A5" w:rsidRDefault="00D954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CD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954A5" w:rsidRDefault="00D954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401" w:rsidRDefault="00F84401" w:rsidP="00D954A5">
      <w:pPr>
        <w:spacing w:before="0" w:after="0" w:line="240" w:lineRule="auto"/>
      </w:pPr>
      <w:r>
        <w:separator/>
      </w:r>
    </w:p>
  </w:footnote>
  <w:footnote w:type="continuationSeparator" w:id="0">
    <w:p w:rsidR="00F84401" w:rsidRDefault="00F84401" w:rsidP="00D954A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9326E"/>
    <w:multiLevelType w:val="hybridMultilevel"/>
    <w:tmpl w:val="A8264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7C"/>
    <w:rsid w:val="000D2C8D"/>
    <w:rsid w:val="0059777C"/>
    <w:rsid w:val="005F2A03"/>
    <w:rsid w:val="007F2CDC"/>
    <w:rsid w:val="0089788E"/>
    <w:rsid w:val="00903448"/>
    <w:rsid w:val="00991251"/>
    <w:rsid w:val="009C04C4"/>
    <w:rsid w:val="00A93FF6"/>
    <w:rsid w:val="00B7177F"/>
    <w:rsid w:val="00BC4607"/>
    <w:rsid w:val="00D042D7"/>
    <w:rsid w:val="00D954A5"/>
    <w:rsid w:val="00F8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7478CAB-C5F8-4A9D-BAC0-B36693B8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77C"/>
    <w:pPr>
      <w:widowControl w:val="0"/>
      <w:spacing w:before="100" w:beforeAutospacing="1" w:after="100" w:afterAutospacing="1" w:line="480" w:lineRule="auto"/>
    </w:pPr>
    <w:rPr>
      <w:rFonts w:ascii="Calibri" w:eastAsia="Times New Roman" w:hAnsi="Calibri" w:cs="Vrinda"/>
      <w:szCs w:val="24"/>
      <w:lang w:val="en-US" w:eastAsia="ko-KR"/>
    </w:rPr>
  </w:style>
  <w:style w:type="paragraph" w:styleId="Heading1">
    <w:name w:val="heading 1"/>
    <w:basedOn w:val="Normal"/>
    <w:next w:val="Normal"/>
    <w:link w:val="Heading1Char"/>
    <w:qFormat/>
    <w:rsid w:val="0059777C"/>
    <w:pPr>
      <w:outlineLvl w:val="0"/>
    </w:pPr>
    <w:rPr>
      <w:b/>
      <w:bCs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7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777C"/>
    <w:rPr>
      <w:rFonts w:ascii="Calibri" w:eastAsia="Times New Roman" w:hAnsi="Calibri" w:cs="Vrinda"/>
      <w:b/>
      <w:bCs/>
      <w:sz w:val="28"/>
      <w:szCs w:val="28"/>
      <w:lang w:eastAsia="ko-KR"/>
    </w:rPr>
  </w:style>
  <w:style w:type="character" w:styleId="Hyperlink">
    <w:name w:val="Hyperlink"/>
    <w:basedOn w:val="DefaultParagraphFont"/>
    <w:uiPriority w:val="99"/>
    <w:rsid w:val="0059777C"/>
    <w:rPr>
      <w:color w:val="0563C1" w:themeColor="hyperlink"/>
      <w:u w:val="single"/>
    </w:rPr>
  </w:style>
  <w:style w:type="table" w:customStyle="1" w:styleId="Table-HERONplain">
    <w:name w:val="Table - HERON plain"/>
    <w:basedOn w:val="TableNormal"/>
    <w:uiPriority w:val="99"/>
    <w:qFormat/>
    <w:rsid w:val="0059777C"/>
    <w:pPr>
      <w:spacing w:after="0" w:line="240" w:lineRule="auto"/>
    </w:pPr>
    <w:rPr>
      <w:rFonts w:ascii="Tahoma" w:eastAsia="Times New Roman" w:hAnsi="Tahoma" w:cs="Times New Roman"/>
      <w:sz w:val="16"/>
      <w:szCs w:val="20"/>
      <w:lang w:eastAsia="en-GB"/>
    </w:rPr>
    <w:tblPr>
      <w:tblStyleRowBandSize w:val="1"/>
      <w:tblInd w:w="113" w:type="dxa"/>
      <w:tblBorders>
        <w:top w:val="single" w:sz="4" w:space="0" w:color="00529B"/>
        <w:left w:val="single" w:sz="4" w:space="0" w:color="00529B"/>
        <w:bottom w:val="single" w:sz="4" w:space="0" w:color="00529B"/>
        <w:right w:val="single" w:sz="4" w:space="0" w:color="00529B"/>
        <w:insideH w:val="single" w:sz="4" w:space="0" w:color="00529B"/>
        <w:insideV w:val="single" w:sz="4" w:space="0" w:color="00529B"/>
      </w:tblBorders>
    </w:tblPr>
    <w:trPr>
      <w:cantSplit/>
    </w:trPr>
    <w:tcPr>
      <w:shd w:val="clear" w:color="auto" w:fill="auto"/>
      <w:vAlign w:val="center"/>
    </w:tcPr>
    <w:tblStylePr w:type="firstRow">
      <w:rPr>
        <w:rFonts w:ascii="FontAwesome" w:hAnsi="FontAwesome"/>
        <w:b/>
        <w:sz w:val="16"/>
      </w:rPr>
      <w:tblPr/>
      <w:trPr>
        <w:cantSplit w:val="0"/>
        <w:tblHeader/>
      </w:trPr>
      <w:tcPr>
        <w:shd w:val="clear" w:color="auto" w:fill="C7C7C7"/>
      </w:tcPr>
    </w:tblStylePr>
    <w:tblStylePr w:type="lastRow">
      <w:rPr>
        <w:rFonts w:ascii="FontAwesome" w:hAnsi="FontAwesome"/>
        <w:sz w:val="16"/>
      </w:rPr>
      <w:tblPr/>
      <w:tcPr>
        <w:shd w:val="clear" w:color="auto" w:fill="DEDEDE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2Horz">
      <w:rPr>
        <w:rFonts w:ascii="FontAwesome" w:hAnsi="FontAwesome"/>
        <w:sz w:val="16"/>
      </w:rPr>
    </w:tblStylePr>
  </w:style>
  <w:style w:type="paragraph" w:customStyle="1" w:styleId="TableHeading-H56">
    <w:name w:val="Table Heading - H56"/>
    <w:basedOn w:val="Heading4"/>
    <w:qFormat/>
    <w:rsid w:val="0059777C"/>
    <w:pPr>
      <w:keepLines w:val="0"/>
      <w:widowControl/>
      <w:tabs>
        <w:tab w:val="left" w:pos="1440"/>
      </w:tabs>
      <w:spacing w:before="80" w:beforeAutospacing="0" w:after="40" w:afterAutospacing="0" w:line="240" w:lineRule="auto"/>
      <w:outlineLvl w:val="9"/>
    </w:pPr>
    <w:rPr>
      <w:rFonts w:ascii="Arial" w:eastAsia="Arial Unicode MS" w:hAnsi="Arial" w:cs="Times New Roman"/>
      <w:b/>
      <w:i w:val="0"/>
      <w:iCs w:val="0"/>
      <w:color w:val="44546A" w:themeColor="text2"/>
      <w:sz w:val="16"/>
      <w:szCs w:val="44"/>
      <w:lang w:val="en-GB" w:eastAsia="en-US"/>
    </w:rPr>
  </w:style>
  <w:style w:type="paragraph" w:customStyle="1" w:styleId="TableBodyText-H54">
    <w:name w:val="Table Body Text - H54"/>
    <w:basedOn w:val="BodyText"/>
    <w:link w:val="TableBodyText-H54Char"/>
    <w:qFormat/>
    <w:rsid w:val="0059777C"/>
    <w:pPr>
      <w:keepLines/>
      <w:spacing w:before="40" w:beforeAutospacing="0" w:after="40" w:afterAutospacing="0" w:line="240" w:lineRule="auto"/>
    </w:pPr>
    <w:rPr>
      <w:rFonts w:ascii="Arial" w:hAnsi="Arial" w:cs="Times New Roman"/>
      <w:color w:val="000000" w:themeColor="text1"/>
      <w:sz w:val="16"/>
      <w:szCs w:val="20"/>
      <w:lang w:val="en-GB" w:eastAsia="en-US"/>
    </w:rPr>
  </w:style>
  <w:style w:type="character" w:customStyle="1" w:styleId="TableBodyText-H54Char">
    <w:name w:val="Table Body Text - H54 Char"/>
    <w:basedOn w:val="DefaultParagraphFont"/>
    <w:link w:val="TableBodyText-H54"/>
    <w:rsid w:val="0059777C"/>
    <w:rPr>
      <w:rFonts w:ascii="Arial" w:eastAsia="Times New Roman" w:hAnsi="Arial" w:cs="Times New Roman"/>
      <w:color w:val="000000" w:themeColor="text1"/>
      <w:sz w:val="16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77C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val="en-US" w:eastAsia="ko-KR"/>
    </w:rPr>
  </w:style>
  <w:style w:type="paragraph" w:styleId="BodyText">
    <w:name w:val="Body Text"/>
    <w:basedOn w:val="Normal"/>
    <w:link w:val="BodyTextChar"/>
    <w:uiPriority w:val="99"/>
    <w:semiHidden/>
    <w:unhideWhenUsed/>
    <w:rsid w:val="005977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9777C"/>
    <w:rPr>
      <w:rFonts w:ascii="Calibri" w:eastAsia="Times New Roman" w:hAnsi="Calibri" w:cs="Vrinda"/>
      <w:szCs w:val="24"/>
      <w:lang w:val="en-US" w:eastAsia="ko-KR"/>
    </w:rPr>
  </w:style>
  <w:style w:type="paragraph" w:styleId="ListParagraph">
    <w:name w:val="List Paragraph"/>
    <w:basedOn w:val="Normal"/>
    <w:uiPriority w:val="34"/>
    <w:qFormat/>
    <w:rsid w:val="005977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54A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4A5"/>
    <w:rPr>
      <w:rFonts w:ascii="Calibri" w:eastAsia="Times New Roman" w:hAnsi="Calibri" w:cs="Vrinda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D954A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4A5"/>
    <w:rPr>
      <w:rFonts w:ascii="Calibri" w:eastAsia="Times New Roman" w:hAnsi="Calibri" w:cs="Vrinda"/>
      <w:szCs w:val="24"/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88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88E"/>
    <w:rPr>
      <w:rFonts w:ascii="Segoe UI" w:eastAsia="Times New Roman" w:hAnsi="Segoe UI" w:cs="Segoe UI"/>
      <w:sz w:val="18"/>
      <w:szCs w:val="1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prn.ca/wp-content/uploads/2015/04/ICS-LABA-asthma-Final-Pharmacoeco-04-03-15_AS-srk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careersinnursing.ca/new-grads-and-job-seekers/find-nursing-job/dollars-and-sense-what-are-nurses-pa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sim.health.gov.on.ca/hdbportal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ealth.gov.on.ca/en/pro/programs/ohip/so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cplondon.ac.uk/projects/outputs/why-asthma-still-kil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inScience Communications</dc:creator>
  <cp:keywords/>
  <dc:description/>
  <cp:lastModifiedBy>Ishwarya P.S.</cp:lastModifiedBy>
  <cp:revision>9</cp:revision>
  <dcterms:created xsi:type="dcterms:W3CDTF">2021-04-06T21:15:00Z</dcterms:created>
  <dcterms:modified xsi:type="dcterms:W3CDTF">2021-10-01T15:02:00Z</dcterms:modified>
</cp:coreProperties>
</file>