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846CF" w14:textId="77777777" w:rsidR="00D7709E" w:rsidRDefault="00000000">
      <w:pPr>
        <w:pStyle w:val="Title"/>
      </w:pPr>
      <w:r>
        <w:t>Penicillin</w:t>
      </w:r>
      <w:r>
        <w:rPr>
          <w:spacing w:val="-3"/>
        </w:rPr>
        <w:t xml:space="preserve"> </w:t>
      </w:r>
      <w:r>
        <w:t>Allergy</w:t>
      </w:r>
      <w:r>
        <w:rPr>
          <w:spacing w:val="-5"/>
        </w:rPr>
        <w:t xml:space="preserve"> </w:t>
      </w:r>
      <w:r>
        <w:rPr>
          <w:spacing w:val="-2"/>
        </w:rPr>
        <w:t>Pathway</w:t>
      </w:r>
    </w:p>
    <w:p w14:paraId="66313D87" w14:textId="77777777" w:rsidR="00D7709E" w:rsidRDefault="00D7709E">
      <w:pPr>
        <w:pStyle w:val="BodyText"/>
        <w:rPr>
          <w:b/>
          <w:sz w:val="20"/>
        </w:rPr>
      </w:pPr>
    </w:p>
    <w:p w14:paraId="0A124514" w14:textId="77777777" w:rsidR="00D7709E" w:rsidRDefault="00D7709E">
      <w:pPr>
        <w:pStyle w:val="BodyText"/>
        <w:spacing w:before="3"/>
        <w:rPr>
          <w:b/>
          <w:sz w:val="19"/>
        </w:rPr>
      </w:pPr>
    </w:p>
    <w:tbl>
      <w:tblPr>
        <w:tblW w:w="0" w:type="auto"/>
        <w:tblInd w:w="6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7"/>
        <w:gridCol w:w="286"/>
        <w:gridCol w:w="3027"/>
        <w:gridCol w:w="292"/>
        <w:gridCol w:w="3027"/>
      </w:tblGrid>
      <w:tr w:rsidR="00D7709E" w14:paraId="2818F3ED" w14:textId="77777777">
        <w:trPr>
          <w:trHeight w:val="3881"/>
        </w:trPr>
        <w:tc>
          <w:tcPr>
            <w:tcW w:w="3027" w:type="dxa"/>
          </w:tcPr>
          <w:p w14:paraId="79F0CC5B" w14:textId="77777777" w:rsidR="00D7709E" w:rsidRDefault="00000000">
            <w:pPr>
              <w:pStyle w:val="TableParagraph"/>
              <w:ind w:left="139" w:right="134" w:firstLine="5"/>
              <w:jc w:val="center"/>
              <w:rPr>
                <w:b/>
                <w:sz w:val="28"/>
              </w:rPr>
            </w:pPr>
            <w:r>
              <w:rPr>
                <w:b/>
                <w:color w:val="C00000"/>
                <w:sz w:val="28"/>
              </w:rPr>
              <w:t>HIGH RISK (severe delayed</w:t>
            </w:r>
            <w:r>
              <w:rPr>
                <w:b/>
                <w:color w:val="C00000"/>
                <w:spacing w:val="-16"/>
                <w:sz w:val="28"/>
              </w:rPr>
              <w:t xml:space="preserve"> </w:t>
            </w:r>
            <w:r>
              <w:rPr>
                <w:b/>
                <w:color w:val="C00000"/>
                <w:sz w:val="28"/>
              </w:rPr>
              <w:t>drug</w:t>
            </w:r>
            <w:r>
              <w:rPr>
                <w:b/>
                <w:color w:val="C00000"/>
                <w:spacing w:val="-16"/>
                <w:sz w:val="28"/>
              </w:rPr>
              <w:t xml:space="preserve"> </w:t>
            </w:r>
            <w:r>
              <w:rPr>
                <w:b/>
                <w:color w:val="C00000"/>
                <w:sz w:val="28"/>
              </w:rPr>
              <w:t>reactions)</w:t>
            </w:r>
          </w:p>
          <w:p w14:paraId="25DCB2D3" w14:textId="77777777" w:rsidR="00D7709E" w:rsidRDefault="00D7709E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1EC5148F" w14:textId="77777777" w:rsidR="00D7709E" w:rsidRDefault="00000000">
            <w:pPr>
              <w:pStyle w:val="TableParagraph"/>
              <w:ind w:left="114" w:right="112"/>
              <w:jc w:val="center"/>
              <w:rPr>
                <w:sz w:val="19"/>
              </w:rPr>
            </w:pPr>
            <w:r>
              <w:rPr>
                <w:sz w:val="19"/>
              </w:rPr>
              <w:t>Serum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Sickness</w:t>
            </w:r>
          </w:p>
          <w:p w14:paraId="09B26581" w14:textId="77777777" w:rsidR="00D7709E" w:rsidRDefault="00000000">
            <w:pPr>
              <w:pStyle w:val="TableParagraph"/>
              <w:spacing w:before="118" w:line="242" w:lineRule="auto"/>
              <w:ind w:left="118" w:right="104"/>
              <w:jc w:val="center"/>
              <w:rPr>
                <w:sz w:val="19"/>
              </w:rPr>
            </w:pPr>
            <w:r>
              <w:rPr>
                <w:sz w:val="19"/>
              </w:rPr>
              <w:t>Stevens-Johnson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Syndrome/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Toxic Epidermal Necrolysis</w:t>
            </w:r>
          </w:p>
          <w:p w14:paraId="1BECB825" w14:textId="77777777" w:rsidR="00D7709E" w:rsidRDefault="00000000">
            <w:pPr>
              <w:pStyle w:val="TableParagraph"/>
              <w:spacing w:before="117"/>
              <w:ind w:left="118" w:right="107"/>
              <w:jc w:val="center"/>
              <w:rPr>
                <w:sz w:val="19"/>
              </w:rPr>
            </w:pPr>
            <w:r>
              <w:rPr>
                <w:sz w:val="19"/>
              </w:rPr>
              <w:t>Acute Interstitial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Nephritis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(AIN)</w:t>
            </w:r>
          </w:p>
          <w:p w14:paraId="63611258" w14:textId="77777777" w:rsidR="00D7709E" w:rsidRDefault="00000000">
            <w:pPr>
              <w:pStyle w:val="TableParagraph"/>
              <w:spacing w:before="123"/>
              <w:ind w:left="420" w:right="411" w:firstLine="3"/>
              <w:jc w:val="center"/>
              <w:rPr>
                <w:sz w:val="19"/>
              </w:rPr>
            </w:pPr>
            <w:r>
              <w:rPr>
                <w:sz w:val="19"/>
              </w:rPr>
              <w:t>Drug Rash Eosinophilia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with Systemic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Symptoms</w:t>
            </w:r>
            <w:r>
              <w:rPr>
                <w:spacing w:val="-2"/>
                <w:sz w:val="19"/>
              </w:rPr>
              <w:t xml:space="preserve"> (DRESS)</w:t>
            </w:r>
          </w:p>
          <w:p w14:paraId="1E09AEEF" w14:textId="77777777" w:rsidR="00D7709E" w:rsidRDefault="00000000">
            <w:pPr>
              <w:pStyle w:val="TableParagraph"/>
              <w:spacing w:before="117"/>
              <w:ind w:left="118" w:right="102"/>
              <w:jc w:val="center"/>
              <w:rPr>
                <w:sz w:val="19"/>
              </w:rPr>
            </w:pPr>
            <w:r>
              <w:rPr>
                <w:sz w:val="19"/>
              </w:rPr>
              <w:t>Drug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induced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Hepatitis</w:t>
            </w:r>
          </w:p>
          <w:p w14:paraId="7488CF0D" w14:textId="77777777" w:rsidR="00D7709E" w:rsidRDefault="00000000">
            <w:pPr>
              <w:pStyle w:val="TableParagraph"/>
              <w:spacing w:before="5" w:line="350" w:lineRule="atLeast"/>
              <w:ind w:left="805" w:right="789"/>
              <w:jc w:val="center"/>
              <w:rPr>
                <w:sz w:val="19"/>
              </w:rPr>
            </w:pPr>
            <w:r>
              <w:rPr>
                <w:sz w:val="19"/>
              </w:rPr>
              <w:t>Hemolytic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Anemia Drug Fever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3F7C29D2" w14:textId="77777777" w:rsidR="00D7709E" w:rsidRDefault="00D770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27" w:type="dxa"/>
          </w:tcPr>
          <w:p w14:paraId="195D401F" w14:textId="77777777" w:rsidR="00D7709E" w:rsidRDefault="00000000">
            <w:pPr>
              <w:pStyle w:val="TableParagraph"/>
              <w:ind w:left="118" w:right="108"/>
              <w:jc w:val="center"/>
              <w:rPr>
                <w:b/>
                <w:sz w:val="28"/>
              </w:rPr>
            </w:pPr>
            <w:r>
              <w:rPr>
                <w:b/>
                <w:color w:val="FFC000"/>
                <w:sz w:val="28"/>
              </w:rPr>
              <w:t>MODERATE</w:t>
            </w:r>
            <w:r>
              <w:rPr>
                <w:b/>
                <w:color w:val="FFC000"/>
                <w:spacing w:val="-16"/>
                <w:sz w:val="28"/>
              </w:rPr>
              <w:t xml:space="preserve"> </w:t>
            </w:r>
            <w:r>
              <w:rPr>
                <w:b/>
                <w:color w:val="FFC000"/>
                <w:sz w:val="28"/>
              </w:rPr>
              <w:t>TO</w:t>
            </w:r>
            <w:r>
              <w:rPr>
                <w:b/>
                <w:color w:val="FFC000"/>
                <w:spacing w:val="-14"/>
                <w:sz w:val="28"/>
              </w:rPr>
              <w:t xml:space="preserve"> </w:t>
            </w:r>
            <w:r>
              <w:rPr>
                <w:b/>
                <w:color w:val="C00000"/>
                <w:sz w:val="28"/>
              </w:rPr>
              <w:t>HIGH RISK (Type 1)</w:t>
            </w:r>
          </w:p>
          <w:p w14:paraId="2971AF25" w14:textId="77777777" w:rsidR="00D7709E" w:rsidRDefault="00D7709E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0958D5AB" w14:textId="77777777" w:rsidR="00D7709E" w:rsidRDefault="00000000">
            <w:pPr>
              <w:pStyle w:val="TableParagraph"/>
              <w:ind w:left="118" w:right="108"/>
              <w:jc w:val="center"/>
              <w:rPr>
                <w:sz w:val="19"/>
              </w:rPr>
            </w:pPr>
            <w:r>
              <w:rPr>
                <w:spacing w:val="-2"/>
                <w:sz w:val="19"/>
              </w:rPr>
              <w:t>Anaphylaxis</w:t>
            </w:r>
          </w:p>
          <w:p w14:paraId="3009AF94" w14:textId="77777777" w:rsidR="00D7709E" w:rsidRDefault="00000000">
            <w:pPr>
              <w:pStyle w:val="TableParagraph"/>
              <w:spacing w:before="119"/>
              <w:ind w:left="118" w:right="109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OR</w:t>
            </w:r>
          </w:p>
          <w:p w14:paraId="7EA18BEA" w14:textId="77777777" w:rsidR="00D7709E" w:rsidRDefault="00000000">
            <w:pPr>
              <w:pStyle w:val="TableParagraph"/>
              <w:spacing w:before="118"/>
              <w:ind w:left="116" w:right="112"/>
              <w:jc w:val="center"/>
              <w:rPr>
                <w:sz w:val="19"/>
              </w:rPr>
            </w:pPr>
            <w:r>
              <w:rPr>
                <w:sz w:val="19"/>
              </w:rPr>
              <w:t>Hives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(pruritic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and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welt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like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rash occurring in rapid onset after penicillin drug administration)</w:t>
            </w:r>
          </w:p>
          <w:p w14:paraId="16819755" w14:textId="77777777" w:rsidR="00D7709E" w:rsidRDefault="00000000">
            <w:pPr>
              <w:pStyle w:val="TableParagraph"/>
              <w:spacing w:before="124"/>
              <w:ind w:left="118" w:right="109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OR</w:t>
            </w:r>
          </w:p>
          <w:p w14:paraId="04974D28" w14:textId="77777777" w:rsidR="00D7709E" w:rsidRDefault="00000000">
            <w:pPr>
              <w:pStyle w:val="TableParagraph"/>
              <w:spacing w:before="118"/>
              <w:ind w:left="118" w:right="61"/>
              <w:jc w:val="center"/>
              <w:rPr>
                <w:sz w:val="19"/>
              </w:rPr>
            </w:pPr>
            <w:r>
              <w:rPr>
                <w:sz w:val="19"/>
              </w:rPr>
              <w:t>Angioedema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(related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to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penicillin drug exposure)</w:t>
            </w:r>
          </w:p>
        </w:tc>
        <w:tc>
          <w:tcPr>
            <w:tcW w:w="292" w:type="dxa"/>
            <w:tcBorders>
              <w:top w:val="nil"/>
              <w:bottom w:val="nil"/>
            </w:tcBorders>
          </w:tcPr>
          <w:p w14:paraId="3B77B0A1" w14:textId="77777777" w:rsidR="00D7709E" w:rsidRDefault="00D770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27" w:type="dxa"/>
          </w:tcPr>
          <w:p w14:paraId="79BFD3B2" w14:textId="77777777" w:rsidR="00D7709E" w:rsidRDefault="00000000">
            <w:pPr>
              <w:pStyle w:val="TableParagraph"/>
              <w:spacing w:line="340" w:lineRule="exact"/>
              <w:ind w:left="113" w:right="112"/>
              <w:jc w:val="center"/>
              <w:rPr>
                <w:b/>
                <w:sz w:val="28"/>
              </w:rPr>
            </w:pPr>
            <w:r>
              <w:rPr>
                <w:b/>
                <w:color w:val="00AF50"/>
                <w:sz w:val="28"/>
              </w:rPr>
              <w:t>LOW</w:t>
            </w:r>
            <w:r>
              <w:rPr>
                <w:b/>
                <w:color w:val="00AF50"/>
                <w:spacing w:val="-4"/>
                <w:sz w:val="28"/>
              </w:rPr>
              <w:t xml:space="preserve"> RISK</w:t>
            </w:r>
          </w:p>
          <w:p w14:paraId="4F29513E" w14:textId="77777777" w:rsidR="00D7709E" w:rsidRDefault="00D7709E">
            <w:pPr>
              <w:pStyle w:val="TableParagraph"/>
              <w:rPr>
                <w:b/>
              </w:rPr>
            </w:pPr>
          </w:p>
          <w:p w14:paraId="7F1EA1D8" w14:textId="77777777" w:rsidR="00D7709E" w:rsidRDefault="00000000">
            <w:pPr>
              <w:pStyle w:val="TableParagraph"/>
              <w:ind w:left="330" w:right="318" w:firstLine="95"/>
              <w:jc w:val="both"/>
              <w:rPr>
                <w:sz w:val="19"/>
              </w:rPr>
            </w:pPr>
            <w:r>
              <w:rPr>
                <w:sz w:val="19"/>
              </w:rPr>
              <w:t>Rash (fixed drug eruption or maculopapular rash) without systemic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or high-risk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features*</w:t>
            </w:r>
          </w:p>
          <w:p w14:paraId="5533D201" w14:textId="77777777" w:rsidR="00D7709E" w:rsidRDefault="00000000">
            <w:pPr>
              <w:pStyle w:val="TableParagraph"/>
              <w:spacing w:before="120"/>
              <w:ind w:left="116" w:right="112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OR</w:t>
            </w:r>
          </w:p>
          <w:p w14:paraId="400C57FD" w14:textId="77777777" w:rsidR="00D7709E" w:rsidRDefault="00000000">
            <w:pPr>
              <w:pStyle w:val="TableParagraph"/>
              <w:spacing w:before="118"/>
              <w:ind w:left="116" w:right="112"/>
              <w:jc w:val="center"/>
              <w:rPr>
                <w:sz w:val="19"/>
              </w:rPr>
            </w:pPr>
            <w:r>
              <w:rPr>
                <w:sz w:val="19"/>
              </w:rPr>
              <w:t>Remote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reaction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(&gt;10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years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 xml:space="preserve">ago) without systemic or high-risk </w:t>
            </w:r>
            <w:r>
              <w:rPr>
                <w:spacing w:val="-2"/>
                <w:sz w:val="19"/>
              </w:rPr>
              <w:t>features*</w:t>
            </w:r>
          </w:p>
          <w:p w14:paraId="349866C4" w14:textId="77777777" w:rsidR="00D7709E" w:rsidRDefault="00000000">
            <w:pPr>
              <w:pStyle w:val="TableParagraph"/>
              <w:spacing w:before="120"/>
              <w:ind w:left="116" w:right="112"/>
              <w:jc w:val="center"/>
              <w:rPr>
                <w:b/>
                <w:sz w:val="19"/>
              </w:rPr>
            </w:pPr>
            <w:r>
              <w:rPr>
                <w:b/>
                <w:spacing w:val="-5"/>
                <w:sz w:val="19"/>
              </w:rPr>
              <w:t>OR</w:t>
            </w:r>
          </w:p>
          <w:p w14:paraId="55AB4F95" w14:textId="77777777" w:rsidR="00D7709E" w:rsidRDefault="00000000">
            <w:pPr>
              <w:pStyle w:val="TableParagraph"/>
              <w:spacing w:before="123"/>
              <w:ind w:left="290" w:right="281" w:hanging="2"/>
              <w:jc w:val="center"/>
              <w:rPr>
                <w:sz w:val="19"/>
              </w:rPr>
            </w:pPr>
            <w:r>
              <w:rPr>
                <w:sz w:val="19"/>
              </w:rPr>
              <w:t>Medical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Record lists allergy but patient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denies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history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of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allergy</w:t>
            </w:r>
          </w:p>
        </w:tc>
      </w:tr>
      <w:tr w:rsidR="00D7709E" w14:paraId="7164678A" w14:textId="77777777">
        <w:trPr>
          <w:trHeight w:val="400"/>
        </w:trPr>
        <w:tc>
          <w:tcPr>
            <w:tcW w:w="3027" w:type="dxa"/>
            <w:tcBorders>
              <w:left w:val="nil"/>
              <w:right w:val="nil"/>
            </w:tcBorders>
          </w:tcPr>
          <w:p w14:paraId="60529B0B" w14:textId="77777777" w:rsidR="00D7709E" w:rsidRDefault="00000000">
            <w:pPr>
              <w:pStyle w:val="TableParagraph"/>
              <w:ind w:left="1444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03E154B1">
                <v:group id="docshapegroup1" o:spid="_x0000_s1036" style="width:6pt;height:20.35pt;mso-position-horizontal-relative:char;mso-position-vertical-relative:line" coordsize="120,407">
                  <v:shape id="docshape2" o:spid="_x0000_s1037" style="position:absolute;width:120;height:407" coordsize="120,407" o:spt="100" adj="0,,0" path="m,288l63,407r37,-80l56,327r,-3l,288xm56,324r,3l61,327r-5,-3xm56,5r,319l61,327r5,-4l66,10r-7,l59,8,56,5xm66,323r-5,4l66,327r,-4xm120,285l66,323r,4l100,327r20,-42xm59,8r,2l61,10,59,8xm66,l59,r,8l61,10r5,l66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5C12EDEE" w14:textId="77777777" w:rsidR="00D7709E" w:rsidRDefault="00D770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27" w:type="dxa"/>
            <w:tcBorders>
              <w:left w:val="nil"/>
              <w:right w:val="nil"/>
            </w:tcBorders>
          </w:tcPr>
          <w:p w14:paraId="5D3EA3BE" w14:textId="77777777" w:rsidR="00D7709E" w:rsidRDefault="00000000">
            <w:pPr>
              <w:pStyle w:val="TableParagraph"/>
              <w:ind w:left="1416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600E3319">
                <v:group id="docshapegroup3" o:spid="_x0000_s1034" style="width:6pt;height:20.35pt;mso-position-horizontal-relative:char;mso-position-vertical-relative:line" coordsize="120,407">
                  <v:shape id="docshape4" o:spid="_x0000_s1035" style="position:absolute;width:120;height:407" coordsize="120,407" o:spt="100" adj="0,,0" path="m,288l63,407r37,-80l56,327r,-3l,288xm56,324r,3l61,327r-5,-3xm56,5r,319l61,327r5,-4l66,10r-7,l59,8,56,5xm66,323r-5,4l66,327r,-4xm120,285l66,323r,4l100,327r20,-42xm59,8r,2l61,10,59,8xm66,l59,r,8l61,10r5,l66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  <w:right w:val="nil"/>
            </w:tcBorders>
          </w:tcPr>
          <w:p w14:paraId="471C9986" w14:textId="77777777" w:rsidR="00D7709E" w:rsidRDefault="00D770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27" w:type="dxa"/>
            <w:tcBorders>
              <w:left w:val="nil"/>
              <w:right w:val="nil"/>
            </w:tcBorders>
          </w:tcPr>
          <w:p w14:paraId="2F3A79EE" w14:textId="77777777" w:rsidR="00D7709E" w:rsidRDefault="00000000">
            <w:pPr>
              <w:pStyle w:val="TableParagraph"/>
              <w:ind w:left="1412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 w14:anchorId="5D7FD0C8">
                <v:group id="docshapegroup5" o:spid="_x0000_s1032" style="width:6pt;height:20.35pt;mso-position-horizontal-relative:char;mso-position-vertical-relative:line" coordsize="120,407">
                  <v:shape id="docshape6" o:spid="_x0000_s1033" style="position:absolute;width:120;height:407" coordsize="120,407" o:spt="100" adj="0,,0" path="m,288l63,407r37,-80l56,327r,-3l,288xm56,324r,3l61,327r-5,-3xm56,5r,319l61,327r5,-4l66,10r-7,l59,8,56,5xm66,323r-5,4l66,327r,-4xm120,285l66,323r,4l100,327r20,-42xm59,8r,2l61,10,59,8xm66,l59,r,8l61,10r5,l66,xe" fillcolor="black" stroked="f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</w:tc>
      </w:tr>
      <w:tr w:rsidR="00D7709E" w14:paraId="720AC186" w14:textId="77777777">
        <w:trPr>
          <w:trHeight w:val="8111"/>
        </w:trPr>
        <w:tc>
          <w:tcPr>
            <w:tcW w:w="3027" w:type="dxa"/>
          </w:tcPr>
          <w:p w14:paraId="33E50F4C" w14:textId="77777777" w:rsidR="00D7709E" w:rsidRDefault="00D7709E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75889B51" w14:textId="77777777" w:rsidR="00D7709E" w:rsidRDefault="00000000">
            <w:pPr>
              <w:pStyle w:val="TableParagraph"/>
              <w:spacing w:before="1"/>
              <w:ind w:left="225" w:right="214" w:firstLine="3"/>
              <w:jc w:val="center"/>
              <w:rPr>
                <w:sz w:val="19"/>
              </w:rPr>
            </w:pPr>
            <w:r>
              <w:rPr>
                <w:sz w:val="19"/>
              </w:rPr>
              <w:t>Patients with Type II-IV are not candidates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for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skin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testing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or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 xml:space="preserve">test dose challenges and avoid using </w:t>
            </w:r>
            <w:proofErr w:type="spellStart"/>
            <w:r>
              <w:rPr>
                <w:sz w:val="19"/>
              </w:rPr>
              <w:t>Penicillins</w:t>
            </w:r>
            <w:proofErr w:type="spellEnd"/>
            <w:r>
              <w:rPr>
                <w:sz w:val="19"/>
              </w:rPr>
              <w:t>, Cephalosporins or Carbapenems, use alternative agents by microbial coverage</w:t>
            </w:r>
          </w:p>
          <w:p w14:paraId="14BB61EC" w14:textId="77777777" w:rsidR="00D7709E" w:rsidRDefault="00D7709E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73A858FF" w14:textId="77777777" w:rsidR="00D7709E" w:rsidRDefault="00000000">
            <w:pPr>
              <w:pStyle w:val="TableParagraph"/>
              <w:ind w:left="190" w:right="181" w:firstLine="8"/>
              <w:jc w:val="center"/>
              <w:rPr>
                <w:sz w:val="19"/>
              </w:rPr>
            </w:pPr>
            <w:r>
              <w:rPr>
                <w:sz w:val="19"/>
              </w:rPr>
              <w:t>If Penicillin/Cephalosporin is clinically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indicated,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consult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Allergy and/or Infectious Disease</w:t>
            </w:r>
          </w:p>
        </w:tc>
        <w:tc>
          <w:tcPr>
            <w:tcW w:w="286" w:type="dxa"/>
            <w:tcBorders>
              <w:top w:val="nil"/>
              <w:bottom w:val="nil"/>
            </w:tcBorders>
          </w:tcPr>
          <w:p w14:paraId="1C6B2CAB" w14:textId="77777777" w:rsidR="00D7709E" w:rsidRDefault="00D770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27" w:type="dxa"/>
          </w:tcPr>
          <w:p w14:paraId="569D63AD" w14:textId="77777777" w:rsidR="00D7709E" w:rsidRDefault="00D7709E">
            <w:pPr>
              <w:pStyle w:val="TableParagraph"/>
              <w:spacing w:before="5"/>
              <w:rPr>
                <w:b/>
                <w:sz w:val="17"/>
              </w:rPr>
            </w:pPr>
          </w:p>
          <w:p w14:paraId="6F05CF98" w14:textId="77777777" w:rsidR="00D7709E" w:rsidRDefault="00000000">
            <w:pPr>
              <w:pStyle w:val="TableParagraph"/>
              <w:spacing w:before="1"/>
              <w:ind w:left="343" w:right="329" w:hanging="4"/>
              <w:jc w:val="center"/>
              <w:rPr>
                <w:sz w:val="19"/>
              </w:rPr>
            </w:pPr>
            <w:r>
              <w:rPr>
                <w:b/>
                <w:sz w:val="19"/>
                <w:u w:val="single"/>
              </w:rPr>
              <w:t>PREFERRED:</w:t>
            </w:r>
            <w:r>
              <w:rPr>
                <w:b/>
                <w:sz w:val="19"/>
              </w:rPr>
              <w:t xml:space="preserve"> </w:t>
            </w:r>
            <w:r>
              <w:rPr>
                <w:sz w:val="19"/>
              </w:rPr>
              <w:t>Cefazolin**, Cefuroxime, 3</w:t>
            </w:r>
            <w:r>
              <w:rPr>
                <w:sz w:val="19"/>
                <w:vertAlign w:val="superscript"/>
              </w:rPr>
              <w:t>rd</w:t>
            </w:r>
            <w:r>
              <w:rPr>
                <w:sz w:val="19"/>
              </w:rPr>
              <w:t>/4</w:t>
            </w:r>
            <w:r>
              <w:rPr>
                <w:sz w:val="19"/>
                <w:vertAlign w:val="superscript"/>
              </w:rPr>
              <w:t>th</w:t>
            </w:r>
            <w:r>
              <w:rPr>
                <w:sz w:val="19"/>
              </w:rPr>
              <w:t>/5</w:t>
            </w:r>
            <w:r>
              <w:rPr>
                <w:sz w:val="19"/>
                <w:vertAlign w:val="superscript"/>
              </w:rPr>
              <w:t>th</w:t>
            </w:r>
            <w:r>
              <w:rPr>
                <w:sz w:val="19"/>
              </w:rPr>
              <w:t xml:space="preserve"> generation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Cephalosporins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 xml:space="preserve">via </w:t>
            </w:r>
            <w:r>
              <w:rPr>
                <w:sz w:val="19"/>
                <w:u w:val="single"/>
              </w:rPr>
              <w:t>test dose procedure</w:t>
            </w:r>
            <w:r>
              <w:rPr>
                <w:sz w:val="19"/>
              </w:rPr>
              <w:t>***</w:t>
            </w:r>
          </w:p>
          <w:p w14:paraId="4CF9DBB3" w14:textId="77777777" w:rsidR="00D7709E" w:rsidRDefault="00D7709E">
            <w:pPr>
              <w:pStyle w:val="TableParagraph"/>
              <w:rPr>
                <w:b/>
                <w:sz w:val="18"/>
              </w:rPr>
            </w:pPr>
          </w:p>
          <w:p w14:paraId="286E4802" w14:textId="77777777" w:rsidR="00D7709E" w:rsidRDefault="00D7709E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29CD305F" w14:textId="77777777" w:rsidR="00D7709E" w:rsidRDefault="00000000">
            <w:pPr>
              <w:pStyle w:val="TableParagraph"/>
              <w:spacing w:before="1"/>
              <w:ind w:left="118" w:right="107"/>
              <w:jc w:val="center"/>
              <w:rPr>
                <w:sz w:val="19"/>
              </w:rPr>
            </w:pPr>
            <w:r>
              <w:rPr>
                <w:spacing w:val="-2"/>
                <w:sz w:val="19"/>
                <w:u w:val="single"/>
              </w:rPr>
              <w:t>Alternatives:</w:t>
            </w:r>
          </w:p>
          <w:p w14:paraId="3FC57677" w14:textId="77777777" w:rsidR="00D7709E" w:rsidRDefault="00D7709E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155E97CA" w14:textId="77777777" w:rsidR="00D7709E" w:rsidRDefault="00000000">
            <w:pPr>
              <w:pStyle w:val="TableParagraph"/>
              <w:ind w:left="108" w:right="104" w:firstLine="9"/>
              <w:jc w:val="center"/>
              <w:rPr>
                <w:sz w:val="19"/>
              </w:rPr>
            </w:pPr>
            <w:r>
              <w:rPr>
                <w:sz w:val="19"/>
              </w:rPr>
              <w:t>Carbapenems via test dose procedure***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(less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preferred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due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to excessively broad spectrum)</w:t>
            </w:r>
          </w:p>
          <w:p w14:paraId="68F1CAB7" w14:textId="77777777" w:rsidR="00D7709E" w:rsidRDefault="00D7709E">
            <w:pPr>
              <w:pStyle w:val="TableParagraph"/>
              <w:spacing w:before="10"/>
              <w:rPr>
                <w:b/>
                <w:sz w:val="18"/>
              </w:rPr>
            </w:pPr>
          </w:p>
          <w:p w14:paraId="1EFAC060" w14:textId="77777777" w:rsidR="00D7709E" w:rsidRDefault="00000000">
            <w:pPr>
              <w:pStyle w:val="TableParagraph"/>
              <w:ind w:left="118" w:right="110"/>
              <w:jc w:val="center"/>
              <w:rPr>
                <w:sz w:val="19"/>
              </w:rPr>
            </w:pPr>
            <w:r>
              <w:rPr>
                <w:spacing w:val="-5"/>
                <w:sz w:val="19"/>
                <w:u w:val="single"/>
              </w:rPr>
              <w:t>OR</w:t>
            </w:r>
          </w:p>
          <w:p w14:paraId="14B2D9F3" w14:textId="77777777" w:rsidR="00D7709E" w:rsidRDefault="00D7709E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C600629" w14:textId="77777777" w:rsidR="00D7709E" w:rsidRDefault="00000000">
            <w:pPr>
              <w:pStyle w:val="TableParagraph"/>
              <w:ind w:left="118" w:right="112"/>
              <w:jc w:val="center"/>
              <w:rPr>
                <w:sz w:val="19"/>
              </w:rPr>
            </w:pPr>
            <w:r>
              <w:rPr>
                <w:sz w:val="19"/>
              </w:rPr>
              <w:t>Aztreonam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(requires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restricted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 xml:space="preserve">drug </w:t>
            </w:r>
            <w:r>
              <w:rPr>
                <w:spacing w:val="-2"/>
                <w:sz w:val="19"/>
              </w:rPr>
              <w:t>consult)</w:t>
            </w:r>
          </w:p>
          <w:p w14:paraId="7AD92649" w14:textId="77777777" w:rsidR="00D7709E" w:rsidRDefault="00D7709E">
            <w:pPr>
              <w:pStyle w:val="TableParagraph"/>
              <w:rPr>
                <w:b/>
                <w:sz w:val="19"/>
              </w:rPr>
            </w:pPr>
          </w:p>
          <w:p w14:paraId="779EC516" w14:textId="77777777" w:rsidR="00D7709E" w:rsidRDefault="00000000">
            <w:pPr>
              <w:pStyle w:val="TableParagraph"/>
              <w:ind w:left="118" w:right="110"/>
              <w:jc w:val="center"/>
              <w:rPr>
                <w:sz w:val="19"/>
              </w:rPr>
            </w:pPr>
            <w:r>
              <w:rPr>
                <w:spacing w:val="-5"/>
                <w:sz w:val="19"/>
                <w:u w:val="single"/>
              </w:rPr>
              <w:t>OR</w:t>
            </w:r>
          </w:p>
          <w:p w14:paraId="20FBE5E3" w14:textId="77777777" w:rsidR="00D7709E" w:rsidRDefault="00D7709E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7AAF09E8" w14:textId="77777777" w:rsidR="00D7709E" w:rsidRDefault="00000000">
            <w:pPr>
              <w:pStyle w:val="TableParagraph"/>
              <w:ind w:left="118" w:right="99"/>
              <w:jc w:val="center"/>
              <w:rPr>
                <w:sz w:val="19"/>
              </w:rPr>
            </w:pPr>
            <w:r>
              <w:rPr>
                <w:sz w:val="19"/>
              </w:rPr>
              <w:t>Alternative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non-beta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lactam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by microbial coverage</w:t>
            </w:r>
          </w:p>
          <w:p w14:paraId="281BFE52" w14:textId="77777777" w:rsidR="00D7709E" w:rsidRDefault="00D7709E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54F85F23" w14:textId="77777777" w:rsidR="00D7709E" w:rsidRDefault="00000000">
            <w:pPr>
              <w:pStyle w:val="TableParagraph"/>
              <w:ind w:left="118" w:right="110"/>
              <w:jc w:val="center"/>
              <w:rPr>
                <w:sz w:val="19"/>
              </w:rPr>
            </w:pPr>
            <w:r>
              <w:rPr>
                <w:spacing w:val="-5"/>
                <w:sz w:val="19"/>
                <w:u w:val="single"/>
              </w:rPr>
              <w:t>OR</w:t>
            </w:r>
          </w:p>
          <w:p w14:paraId="5766A944" w14:textId="77777777" w:rsidR="00D7709E" w:rsidRDefault="00D7709E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18787098" w14:textId="77777777" w:rsidR="00D7709E" w:rsidRDefault="00000000">
            <w:pPr>
              <w:pStyle w:val="TableParagraph"/>
              <w:ind w:left="353" w:right="339"/>
              <w:jc w:val="center"/>
              <w:rPr>
                <w:sz w:val="19"/>
              </w:rPr>
            </w:pPr>
            <w:r>
              <w:rPr>
                <w:sz w:val="19"/>
              </w:rPr>
              <w:t>If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a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penicillin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or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non-cefazolin, non-cefuroxime 1</w:t>
            </w:r>
            <w:r>
              <w:rPr>
                <w:sz w:val="19"/>
                <w:vertAlign w:val="superscript"/>
              </w:rPr>
              <w:t>st</w:t>
            </w:r>
            <w:r>
              <w:rPr>
                <w:sz w:val="19"/>
              </w:rPr>
              <w:t xml:space="preserve"> or 2</w:t>
            </w:r>
            <w:r>
              <w:rPr>
                <w:sz w:val="19"/>
                <w:vertAlign w:val="superscript"/>
              </w:rPr>
              <w:t>nd</w:t>
            </w:r>
            <w:r>
              <w:rPr>
                <w:sz w:val="19"/>
              </w:rPr>
              <w:t xml:space="preserve"> generation cephalosporin is preferred, consult Allergy</w:t>
            </w:r>
          </w:p>
        </w:tc>
        <w:tc>
          <w:tcPr>
            <w:tcW w:w="292" w:type="dxa"/>
            <w:tcBorders>
              <w:top w:val="nil"/>
              <w:bottom w:val="nil"/>
            </w:tcBorders>
          </w:tcPr>
          <w:p w14:paraId="5F84375B" w14:textId="77777777" w:rsidR="00D7709E" w:rsidRDefault="00D7709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27" w:type="dxa"/>
          </w:tcPr>
          <w:p w14:paraId="6E4C8A7A" w14:textId="77777777" w:rsidR="00D7709E" w:rsidRDefault="00D7709E">
            <w:pPr>
              <w:pStyle w:val="TableParagraph"/>
              <w:spacing w:before="5"/>
              <w:rPr>
                <w:b/>
                <w:sz w:val="15"/>
              </w:rPr>
            </w:pPr>
          </w:p>
          <w:p w14:paraId="09696428" w14:textId="77777777" w:rsidR="00D7709E" w:rsidRDefault="00000000">
            <w:pPr>
              <w:pStyle w:val="TableParagraph"/>
              <w:ind w:left="371" w:right="369" w:firstLine="3"/>
              <w:jc w:val="center"/>
              <w:rPr>
                <w:sz w:val="19"/>
              </w:rPr>
            </w:pPr>
            <w:r>
              <w:rPr>
                <w:b/>
                <w:sz w:val="19"/>
                <w:u w:val="single"/>
              </w:rPr>
              <w:t>PREFERRED:</w:t>
            </w:r>
            <w:r>
              <w:rPr>
                <w:b/>
                <w:sz w:val="19"/>
              </w:rPr>
              <w:t xml:space="preserve"> </w:t>
            </w:r>
            <w:r>
              <w:rPr>
                <w:sz w:val="19"/>
              </w:rPr>
              <w:t>Cefazolin**, Cefuroxime, 3</w:t>
            </w:r>
            <w:r>
              <w:rPr>
                <w:sz w:val="19"/>
                <w:vertAlign w:val="superscript"/>
              </w:rPr>
              <w:t>rd</w:t>
            </w:r>
            <w:r>
              <w:rPr>
                <w:sz w:val="19"/>
              </w:rPr>
              <w:t>/4</w:t>
            </w:r>
            <w:r>
              <w:rPr>
                <w:sz w:val="19"/>
                <w:vertAlign w:val="superscript"/>
              </w:rPr>
              <w:t>th</w:t>
            </w:r>
            <w:r>
              <w:rPr>
                <w:sz w:val="19"/>
              </w:rPr>
              <w:t>/5</w:t>
            </w:r>
            <w:r>
              <w:rPr>
                <w:sz w:val="19"/>
                <w:vertAlign w:val="superscript"/>
              </w:rPr>
              <w:t>th</w:t>
            </w:r>
            <w:r>
              <w:rPr>
                <w:sz w:val="19"/>
              </w:rPr>
              <w:t xml:space="preserve"> generation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Cephalosporins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 xml:space="preserve">at </w:t>
            </w:r>
            <w:r>
              <w:rPr>
                <w:sz w:val="19"/>
                <w:u w:val="single"/>
              </w:rPr>
              <w:t>normal therapeutic</w:t>
            </w:r>
            <w:r>
              <w:rPr>
                <w:sz w:val="19"/>
              </w:rPr>
              <w:t xml:space="preserve"> dose</w:t>
            </w:r>
          </w:p>
          <w:p w14:paraId="2B34137F" w14:textId="77777777" w:rsidR="00D7709E" w:rsidRDefault="00D7709E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07DCB520" w14:textId="77777777" w:rsidR="00D7709E" w:rsidRDefault="00000000">
            <w:pPr>
              <w:pStyle w:val="TableParagraph"/>
              <w:ind w:left="236" w:right="230" w:hanging="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IF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A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DIFFERENT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BETA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LACTAM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IS PREFERRED OR IF DE-LABELING PENICILLIN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z w:val="19"/>
              </w:rPr>
              <w:t>ALLERGY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z w:val="19"/>
              </w:rPr>
              <w:t>IS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z w:val="19"/>
              </w:rPr>
              <w:t>DESIRED, COULD CONSIDER:</w:t>
            </w:r>
          </w:p>
          <w:p w14:paraId="391D32C4" w14:textId="77777777" w:rsidR="00D7709E" w:rsidRDefault="00D7709E">
            <w:pPr>
              <w:pStyle w:val="TableParagraph"/>
              <w:rPr>
                <w:b/>
                <w:sz w:val="19"/>
              </w:rPr>
            </w:pPr>
          </w:p>
          <w:p w14:paraId="30314E23" w14:textId="77777777" w:rsidR="00D7709E" w:rsidRDefault="00000000">
            <w:pPr>
              <w:pStyle w:val="TableParagraph"/>
              <w:ind w:left="105" w:right="107"/>
              <w:rPr>
                <w:sz w:val="19"/>
              </w:rPr>
            </w:pPr>
            <w:r>
              <w:rPr>
                <w:sz w:val="19"/>
              </w:rPr>
              <w:t>Challenge via Test Dose Procedure to β-lactams using the order set found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under:</w:t>
            </w:r>
            <w:r>
              <w:rPr>
                <w:spacing w:val="23"/>
                <w:sz w:val="19"/>
              </w:rPr>
              <w:t xml:space="preserve"> </w:t>
            </w:r>
            <w:r>
              <w:rPr>
                <w:sz w:val="19"/>
              </w:rPr>
              <w:t>Ward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Order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Menu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rFonts w:ascii="Wingdings" w:hAnsi="Wingdings"/>
              </w:rPr>
              <w:t>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19"/>
              </w:rPr>
              <w:t xml:space="preserve">Antimicrobial Decision Support </w:t>
            </w:r>
            <w:r>
              <w:rPr>
                <w:rFonts w:ascii="Wingdings" w:hAnsi="Wingdings"/>
              </w:rPr>
              <w:t>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sz w:val="19"/>
              </w:rPr>
              <w:t>Penicillin Allergy Guidance</w:t>
            </w:r>
          </w:p>
          <w:p w14:paraId="6E8F72BF" w14:textId="77777777" w:rsidR="00D7709E" w:rsidRDefault="00000000">
            <w:pPr>
              <w:pStyle w:val="TableParagraph"/>
              <w:ind w:left="281" w:right="282" w:firstLine="10"/>
              <w:jc w:val="center"/>
              <w:rPr>
                <w:b/>
                <w:i/>
                <w:sz w:val="19"/>
              </w:rPr>
            </w:pPr>
            <w:r>
              <w:rPr>
                <w:b/>
                <w:i/>
                <w:sz w:val="19"/>
              </w:rPr>
              <w:t>If patient passes challenge, REMOVE</w:t>
            </w:r>
            <w:r>
              <w:rPr>
                <w:b/>
                <w:i/>
                <w:spacing w:val="-11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penicillin</w:t>
            </w:r>
            <w:r>
              <w:rPr>
                <w:b/>
                <w:i/>
                <w:spacing w:val="-11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allergy</w:t>
            </w:r>
            <w:r>
              <w:rPr>
                <w:b/>
                <w:i/>
                <w:spacing w:val="-11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from the allergy list by right</w:t>
            </w:r>
            <w:r>
              <w:rPr>
                <w:b/>
                <w:i/>
                <w:spacing w:val="-1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clicking the allergy and choose</w:t>
            </w:r>
          </w:p>
          <w:p w14:paraId="10320805" w14:textId="77777777" w:rsidR="00D7709E" w:rsidRDefault="00000000">
            <w:pPr>
              <w:pStyle w:val="TableParagraph"/>
              <w:ind w:left="341" w:right="339"/>
              <w:jc w:val="center"/>
              <w:rPr>
                <w:b/>
                <w:i/>
                <w:sz w:val="19"/>
              </w:rPr>
            </w:pPr>
            <w:r>
              <w:rPr>
                <w:b/>
                <w:i/>
                <w:sz w:val="19"/>
              </w:rPr>
              <w:t>“Mark</w:t>
            </w:r>
            <w:r>
              <w:rPr>
                <w:b/>
                <w:i/>
                <w:spacing w:val="-11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selected</w:t>
            </w:r>
            <w:r>
              <w:rPr>
                <w:b/>
                <w:i/>
                <w:spacing w:val="-11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allergy</w:t>
            </w:r>
            <w:r>
              <w:rPr>
                <w:b/>
                <w:i/>
                <w:spacing w:val="-11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as entered in error”</w:t>
            </w:r>
          </w:p>
          <w:p w14:paraId="6A6A5A64" w14:textId="77777777" w:rsidR="00D7709E" w:rsidRDefault="00D7709E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0D1A9F79" w14:textId="77777777" w:rsidR="00D7709E" w:rsidRDefault="00000000">
            <w:pPr>
              <w:pStyle w:val="TableParagraph"/>
              <w:ind w:left="1021"/>
              <w:rPr>
                <w:sz w:val="19"/>
              </w:rPr>
            </w:pPr>
            <w:r>
              <w:rPr>
                <w:spacing w:val="-2"/>
                <w:sz w:val="19"/>
                <w:u w:val="single"/>
              </w:rPr>
              <w:t>Alternatives:</w:t>
            </w:r>
          </w:p>
          <w:p w14:paraId="5164A312" w14:textId="77777777" w:rsidR="00D7709E" w:rsidRDefault="00D7709E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1CD0D9A2" w14:textId="77777777" w:rsidR="00D7709E" w:rsidRDefault="00000000">
            <w:pPr>
              <w:pStyle w:val="TableParagraph"/>
              <w:ind w:left="114" w:right="112"/>
              <w:jc w:val="center"/>
              <w:rPr>
                <w:sz w:val="19"/>
              </w:rPr>
            </w:pPr>
            <w:r>
              <w:rPr>
                <w:sz w:val="19"/>
              </w:rPr>
              <w:t>Carbapenems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at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therapeutic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dose (less preferred due to excessively broad spectrum)</w:t>
            </w:r>
          </w:p>
          <w:p w14:paraId="1339EB81" w14:textId="77777777" w:rsidR="00D7709E" w:rsidRDefault="00D7709E">
            <w:pPr>
              <w:pStyle w:val="TableParagraph"/>
              <w:spacing w:before="9"/>
              <w:rPr>
                <w:b/>
                <w:sz w:val="18"/>
              </w:rPr>
            </w:pPr>
          </w:p>
          <w:p w14:paraId="300C6A90" w14:textId="77777777" w:rsidR="00D7709E" w:rsidRDefault="00000000">
            <w:pPr>
              <w:pStyle w:val="TableParagraph"/>
              <w:spacing w:before="1"/>
              <w:ind w:left="115" w:right="112"/>
              <w:jc w:val="center"/>
              <w:rPr>
                <w:sz w:val="19"/>
              </w:rPr>
            </w:pPr>
            <w:r>
              <w:rPr>
                <w:spacing w:val="-5"/>
                <w:sz w:val="19"/>
                <w:u w:val="single"/>
              </w:rPr>
              <w:t>OR</w:t>
            </w:r>
          </w:p>
          <w:p w14:paraId="6760E0B7" w14:textId="77777777" w:rsidR="00D7709E" w:rsidRDefault="00D7709E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0A99B47C" w14:textId="77777777" w:rsidR="00D7709E" w:rsidRDefault="00000000">
            <w:pPr>
              <w:pStyle w:val="TableParagraph"/>
              <w:ind w:left="540" w:right="538" w:firstLine="2"/>
              <w:jc w:val="center"/>
              <w:rPr>
                <w:sz w:val="19"/>
              </w:rPr>
            </w:pPr>
            <w:r>
              <w:rPr>
                <w:sz w:val="19"/>
              </w:rPr>
              <w:t>May use non-cefazolin, non-cefuroxime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  <w:r>
              <w:rPr>
                <w:sz w:val="19"/>
                <w:vertAlign w:val="superscript"/>
              </w:rPr>
              <w:t>st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or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z w:val="19"/>
                <w:vertAlign w:val="superscript"/>
              </w:rPr>
              <w:t>nd</w:t>
            </w:r>
          </w:p>
          <w:p w14:paraId="45ADB105" w14:textId="77777777" w:rsidR="00D7709E" w:rsidRDefault="00000000">
            <w:pPr>
              <w:pStyle w:val="TableParagraph"/>
              <w:spacing w:before="1" w:line="231" w:lineRule="exact"/>
              <w:ind w:left="118" w:right="112"/>
              <w:jc w:val="center"/>
              <w:rPr>
                <w:sz w:val="19"/>
              </w:rPr>
            </w:pPr>
            <w:r>
              <w:rPr>
                <w:sz w:val="19"/>
              </w:rPr>
              <w:t>generation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cephalosporins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via</w:t>
            </w:r>
          </w:p>
          <w:p w14:paraId="336CDA98" w14:textId="77777777" w:rsidR="00D7709E" w:rsidRDefault="00000000">
            <w:pPr>
              <w:pStyle w:val="TableParagraph"/>
              <w:spacing w:line="215" w:lineRule="exact"/>
              <w:ind w:left="117" w:right="112"/>
              <w:jc w:val="center"/>
              <w:rPr>
                <w:sz w:val="19"/>
              </w:rPr>
            </w:pPr>
            <w:r>
              <w:rPr>
                <w:sz w:val="19"/>
                <w:u w:val="single"/>
              </w:rPr>
              <w:t>test</w:t>
            </w:r>
            <w:r>
              <w:rPr>
                <w:spacing w:val="3"/>
                <w:sz w:val="19"/>
                <w:u w:val="single"/>
              </w:rPr>
              <w:t xml:space="preserve"> </w:t>
            </w:r>
            <w:r>
              <w:rPr>
                <w:sz w:val="19"/>
                <w:u w:val="single"/>
              </w:rPr>
              <w:t>dose</w:t>
            </w:r>
            <w:r>
              <w:rPr>
                <w:spacing w:val="-1"/>
                <w:sz w:val="19"/>
                <w:u w:val="single"/>
              </w:rPr>
              <w:t xml:space="preserve"> </w:t>
            </w:r>
            <w:r>
              <w:rPr>
                <w:spacing w:val="-2"/>
                <w:sz w:val="19"/>
                <w:u w:val="single"/>
              </w:rPr>
              <w:t>procedure</w:t>
            </w:r>
            <w:r>
              <w:rPr>
                <w:spacing w:val="-2"/>
                <w:sz w:val="19"/>
              </w:rPr>
              <w:t>***</w:t>
            </w:r>
          </w:p>
        </w:tc>
      </w:tr>
    </w:tbl>
    <w:p w14:paraId="21AF1663" w14:textId="77777777" w:rsidR="00D7709E" w:rsidRDefault="00000000">
      <w:pPr>
        <w:pStyle w:val="BodyText"/>
        <w:spacing w:line="219" w:lineRule="exact"/>
        <w:ind w:left="100"/>
      </w:pPr>
      <w:r>
        <w:t>*High-risk</w:t>
      </w:r>
      <w:r>
        <w:rPr>
          <w:spacing w:val="-11"/>
        </w:rPr>
        <w:t xml:space="preserve"> </w:t>
      </w:r>
      <w:r>
        <w:t>features</w:t>
      </w:r>
      <w:r>
        <w:rPr>
          <w:spacing w:val="-6"/>
        </w:rPr>
        <w:t xml:space="preserve"> </w:t>
      </w:r>
      <w:r>
        <w:t>include</w:t>
      </w:r>
      <w:r>
        <w:rPr>
          <w:spacing w:val="-5"/>
        </w:rPr>
        <w:t xml:space="preserve"> </w:t>
      </w:r>
      <w:r>
        <w:t>mucosal</w:t>
      </w:r>
      <w:r>
        <w:rPr>
          <w:spacing w:val="-5"/>
        </w:rPr>
        <w:t xml:space="preserve"> </w:t>
      </w:r>
      <w:r>
        <w:t>involvement,</w:t>
      </w:r>
      <w:r>
        <w:rPr>
          <w:spacing w:val="-6"/>
        </w:rPr>
        <w:t xml:space="preserve"> </w:t>
      </w:r>
      <w:r>
        <w:t>severe</w:t>
      </w:r>
      <w:r>
        <w:rPr>
          <w:spacing w:val="-6"/>
        </w:rPr>
        <w:t xml:space="preserve"> </w:t>
      </w:r>
      <w:r>
        <w:t>cutaneous</w:t>
      </w:r>
      <w:r>
        <w:rPr>
          <w:spacing w:val="-6"/>
        </w:rPr>
        <w:t xml:space="preserve"> </w:t>
      </w:r>
      <w:r>
        <w:t>reactions,</w:t>
      </w:r>
      <w:r>
        <w:rPr>
          <w:spacing w:val="-7"/>
        </w:rPr>
        <w:t xml:space="preserve"> </w:t>
      </w:r>
      <w:r>
        <w:t>nephritis,</w:t>
      </w:r>
      <w:r>
        <w:rPr>
          <w:spacing w:val="-7"/>
        </w:rPr>
        <w:t xml:space="preserve"> </w:t>
      </w:r>
      <w:r>
        <w:t>hepatitis,</w:t>
      </w:r>
      <w:r>
        <w:rPr>
          <w:spacing w:val="-3"/>
        </w:rPr>
        <w:t xml:space="preserve"> </w:t>
      </w:r>
      <w:r>
        <w:t>eosinophilia,</w:t>
      </w:r>
      <w:r>
        <w:rPr>
          <w:spacing w:val="-6"/>
        </w:rPr>
        <w:t xml:space="preserve"> </w:t>
      </w:r>
      <w:r>
        <w:t>cardiopulmonary</w:t>
      </w:r>
      <w:r>
        <w:rPr>
          <w:spacing w:val="-7"/>
        </w:rPr>
        <w:t xml:space="preserve"> </w:t>
      </w:r>
      <w:r>
        <w:rPr>
          <w:spacing w:val="-2"/>
        </w:rPr>
        <w:t>compromise</w:t>
      </w:r>
    </w:p>
    <w:p w14:paraId="54FA8C3C" w14:textId="77777777" w:rsidR="00D7709E" w:rsidRDefault="00D7709E">
      <w:pPr>
        <w:pStyle w:val="BodyText"/>
        <w:spacing w:before="8"/>
        <w:rPr>
          <w:sz w:val="21"/>
        </w:rPr>
      </w:pPr>
    </w:p>
    <w:p w14:paraId="2AE2C373" w14:textId="77777777" w:rsidR="00D7709E" w:rsidRDefault="00000000">
      <w:pPr>
        <w:pStyle w:val="BodyText"/>
        <w:spacing w:before="1"/>
        <w:ind w:left="100" w:right="309"/>
      </w:pPr>
      <w:r>
        <w:t>**Cefazolin</w:t>
      </w:r>
      <w:r>
        <w:rPr>
          <w:spacing w:val="-2"/>
        </w:rPr>
        <w:t xml:space="preserve"> </w:t>
      </w:r>
      <w:r>
        <w:t>is structurally</w:t>
      </w:r>
      <w:r>
        <w:rPr>
          <w:spacing w:val="-4"/>
        </w:rPr>
        <w:t xml:space="preserve"> </w:t>
      </w:r>
      <w:r>
        <w:t>unique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1</w:t>
      </w:r>
      <w:proofErr w:type="spellStart"/>
      <w:r>
        <w:rPr>
          <w:position w:val="5"/>
          <w:sz w:val="12"/>
        </w:rPr>
        <w:t>st</w:t>
      </w:r>
      <w:proofErr w:type="spellEnd"/>
      <w:r>
        <w:rPr>
          <w:spacing w:val="11"/>
          <w:position w:val="5"/>
          <w:sz w:val="12"/>
        </w:rPr>
        <w:t xml:space="preserve"> </w:t>
      </w:r>
      <w:r>
        <w:t>generation</w:t>
      </w:r>
      <w:r>
        <w:rPr>
          <w:spacing w:val="-2"/>
        </w:rPr>
        <w:t xml:space="preserve"> </w:t>
      </w:r>
      <w:r>
        <w:t>cephalosporins.</w:t>
      </w:r>
      <w:r>
        <w:rPr>
          <w:spacing w:val="-3"/>
        </w:rPr>
        <w:t xml:space="preserve"> </w:t>
      </w:r>
      <w:proofErr w:type="gramStart"/>
      <w:r>
        <w:t>Risk</w:t>
      </w:r>
      <w:proofErr w:type="gramEnd"/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cross</w:t>
      </w:r>
      <w:r>
        <w:rPr>
          <w:spacing w:val="-3"/>
        </w:rPr>
        <w:t xml:space="preserve"> </w:t>
      </w:r>
      <w:r>
        <w:t>reactivity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patients with</w:t>
      </w:r>
      <w:r>
        <w:rPr>
          <w:spacing w:val="-2"/>
        </w:rPr>
        <w:t xml:space="preserve"> </w:t>
      </w:r>
      <w:r>
        <w:t>penicillin</w:t>
      </w:r>
      <w:r>
        <w:rPr>
          <w:spacing w:val="-2"/>
        </w:rPr>
        <w:t xml:space="preserve"> </w:t>
      </w:r>
      <w:r>
        <w:t>allergy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less</w:t>
      </w:r>
      <w:r>
        <w:rPr>
          <w:spacing w:val="-3"/>
        </w:rPr>
        <w:t xml:space="preserve"> </w:t>
      </w:r>
      <w:r>
        <w:t>than 0.2-0.7%, compared to 2-7% for the other 1</w:t>
      </w:r>
      <w:proofErr w:type="spellStart"/>
      <w:r>
        <w:rPr>
          <w:position w:val="5"/>
          <w:sz w:val="12"/>
        </w:rPr>
        <w:t>st</w:t>
      </w:r>
      <w:proofErr w:type="spellEnd"/>
      <w:r>
        <w:rPr>
          <w:spacing w:val="25"/>
          <w:position w:val="5"/>
          <w:sz w:val="12"/>
        </w:rPr>
        <w:t xml:space="preserve"> </w:t>
      </w:r>
      <w:r>
        <w:t>generation cephalosporins.</w:t>
      </w:r>
    </w:p>
    <w:p w14:paraId="5870CA99" w14:textId="77777777" w:rsidR="00D7709E" w:rsidRDefault="00D7709E">
      <w:pPr>
        <w:sectPr w:rsidR="00D7709E">
          <w:type w:val="continuous"/>
          <w:pgSz w:w="12240" w:h="15840"/>
          <w:pgMar w:top="700" w:right="600" w:bottom="280" w:left="620" w:header="720" w:footer="720" w:gutter="0"/>
          <w:cols w:space="720"/>
        </w:sectPr>
      </w:pPr>
    </w:p>
    <w:p w14:paraId="7A1935C8" w14:textId="77777777" w:rsidR="00D7709E" w:rsidRDefault="00000000">
      <w:pPr>
        <w:pStyle w:val="BodyText"/>
        <w:ind w:left="100"/>
        <w:rPr>
          <w:sz w:val="20"/>
        </w:rPr>
      </w:pPr>
      <w:r>
        <w:rPr>
          <w:sz w:val="20"/>
        </w:rPr>
      </w:r>
      <w:r>
        <w:rPr>
          <w:sz w:val="20"/>
        </w:rPr>
        <w:pict w14:anchorId="4B1AAFEE">
          <v:group id="docshapegroup7" o:spid="_x0000_s1026" style="width:540.25pt;height:357.4pt;mso-position-horizontal-relative:char;mso-position-vertical-relative:line" coordsize="10805,7148">
            <v:shape id="docshape8" o:spid="_x0000_s1031" style="position:absolute;width:10805;height:7148" coordsize="10805,7148" o:spt="100" adj="0,,0" path="m10794,l10,,,,,10r,l,7137r,10l10,7147r10784,l10794,7137,10,7137,10,10r10784,l10794,xm10805,r-10,l10795,10r,l10795,7137r,10l10805,7147r,-10l10805,10r,l10805,xe" fillcolor="black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9" o:spid="_x0000_s1030" type="#_x0000_t202" style="position:absolute;left:115;top:255;width:5306;height:730" filled="f" stroked="f">
              <v:textbox inset="0,0,0,0">
                <w:txbxContent>
                  <w:p w14:paraId="59DC0E4F" w14:textId="77777777" w:rsidR="00D7709E" w:rsidRDefault="00000000">
                    <w:pPr>
                      <w:spacing w:line="224" w:lineRule="exact"/>
                      <w:rPr>
                        <w:b/>
                      </w:rPr>
                    </w:pPr>
                    <w:r>
                      <w:rPr>
                        <w:b/>
                      </w:rPr>
                      <w:t>***Test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 xml:space="preserve">Dose </w:t>
                    </w:r>
                    <w:r>
                      <w:rPr>
                        <w:b/>
                        <w:spacing w:val="-2"/>
                      </w:rPr>
                      <w:t>Procedure:</w:t>
                    </w:r>
                  </w:p>
                  <w:p w14:paraId="6A1DC629" w14:textId="77777777" w:rsidR="00D7709E" w:rsidRDefault="00D7709E">
                    <w:pPr>
                      <w:spacing w:before="9"/>
                      <w:rPr>
                        <w:b/>
                        <w:sz w:val="19"/>
                      </w:rPr>
                    </w:pPr>
                  </w:p>
                  <w:p w14:paraId="13480E74" w14:textId="77777777" w:rsidR="00D7709E" w:rsidRDefault="00000000">
                    <w:pPr>
                      <w:spacing w:line="264" w:lineRule="exact"/>
                    </w:pPr>
                    <w:r>
                      <w:rPr>
                        <w:u w:val="single"/>
                      </w:rPr>
                      <w:t>Physician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discuss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Test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Dose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strategy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with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patient</w:t>
                    </w:r>
                  </w:p>
                </w:txbxContent>
              </v:textbox>
            </v:shape>
            <v:shape id="docshape10" o:spid="_x0000_s1029" type="#_x0000_t202" style="position:absolute;left:115;top:1265;width:4571;height:230" filled="f" stroked="f">
              <v:textbox inset="0,0,0,0">
                <w:txbxContent>
                  <w:p w14:paraId="371E5B48" w14:textId="77777777" w:rsidR="00D7709E" w:rsidRDefault="00000000">
                    <w:pPr>
                      <w:spacing w:line="230" w:lineRule="exact"/>
                    </w:pPr>
                    <w:r>
                      <w:t>Physician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order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1/10</w:t>
                    </w:r>
                    <w:r>
                      <w:rPr>
                        <w:vertAlign w:val="superscript"/>
                      </w:rPr>
                      <w:t>th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desired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medication</w:t>
                    </w:r>
                  </w:p>
                </w:txbxContent>
              </v:textbox>
            </v:shape>
            <v:shape id="docshape11" o:spid="_x0000_s1028" type="#_x0000_t202" style="position:absolute;left:5267;top:1275;width:867;height:220" filled="f" stroked="f">
              <v:textbox inset="0,0,0,0">
                <w:txbxContent>
                  <w:p w14:paraId="0A86CC3C" w14:textId="77777777" w:rsidR="00D7709E" w:rsidRDefault="00000000">
                    <w:pPr>
                      <w:spacing w:line="220" w:lineRule="exact"/>
                    </w:pPr>
                    <w:r>
                      <w:t>as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well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as</w:t>
                    </w:r>
                  </w:p>
                </w:txbxContent>
              </v:textbox>
            </v:shape>
            <v:shape id="docshape12" o:spid="_x0000_s1027" type="#_x0000_t202" style="position:absolute;left:115;top:1771;width:10590;height:5122" filled="f" stroked="f">
              <v:textbox inset="0,0,0,0">
                <w:txbxContent>
                  <w:p w14:paraId="2657AC1D" w14:textId="77777777" w:rsidR="00D7709E" w:rsidRDefault="00000000">
                    <w:pPr>
                      <w:spacing w:line="234" w:lineRule="exact"/>
                      <w:ind w:left="1680"/>
                    </w:pPr>
                    <w:r>
                      <w:t>9/10</w:t>
                    </w:r>
                    <w:r>
                      <w:rPr>
                        <w:vertAlign w:val="superscript"/>
                      </w:rPr>
                      <w:t>th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medication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(two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separate</w:t>
                    </w:r>
                    <w:r>
                      <w:rPr>
                        <w:spacing w:val="-2"/>
                      </w:rPr>
                      <w:t xml:space="preserve"> orders)</w:t>
                    </w:r>
                  </w:p>
                  <w:p w14:paraId="0C72944D" w14:textId="77777777" w:rsidR="00D7709E" w:rsidRDefault="00D7709E">
                    <w:pPr>
                      <w:spacing w:before="9"/>
                      <w:rPr>
                        <w:sz w:val="19"/>
                      </w:rPr>
                    </w:pPr>
                  </w:p>
                  <w:p w14:paraId="22B0178E" w14:textId="77777777" w:rsidR="00D7709E" w:rsidRDefault="00000000">
                    <w:pPr>
                      <w:spacing w:line="276" w:lineRule="auto"/>
                    </w:pPr>
                    <w:r>
                      <w:rPr>
                        <w:color w:val="FF0000"/>
                      </w:rPr>
                      <w:t>Several</w:t>
                    </w:r>
                    <w:r>
                      <w:rPr>
                        <w:color w:val="FF0000"/>
                        <w:spacing w:val="-5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pre-built</w:t>
                    </w:r>
                    <w:r>
                      <w:rPr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test</w:t>
                    </w:r>
                    <w:r>
                      <w:rPr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dose</w:t>
                    </w:r>
                    <w:r>
                      <w:rPr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beta</w:t>
                    </w:r>
                    <w:r>
                      <w:rPr>
                        <w:color w:val="FF0000"/>
                        <w:spacing w:val="-5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lactams</w:t>
                    </w:r>
                    <w:r>
                      <w:rPr>
                        <w:color w:val="FF0000"/>
                        <w:spacing w:val="-6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are</w:t>
                    </w:r>
                    <w:r>
                      <w:rPr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available</w:t>
                    </w:r>
                    <w:r>
                      <w:rPr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on the</w:t>
                    </w:r>
                    <w:r>
                      <w:rPr>
                        <w:color w:val="FF0000"/>
                        <w:spacing w:val="-5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following</w:t>
                    </w:r>
                    <w:r>
                      <w:rPr>
                        <w:color w:val="FF0000"/>
                        <w:spacing w:val="-3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CPRS</w:t>
                    </w:r>
                    <w:r>
                      <w:rPr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menu:</w:t>
                    </w:r>
                    <w:r>
                      <w:rPr>
                        <w:color w:val="FF0000"/>
                        <w:spacing w:val="-4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Ward</w:t>
                    </w:r>
                    <w:r>
                      <w:rPr>
                        <w:color w:val="FF0000"/>
                        <w:spacing w:val="-5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Order</w:t>
                    </w:r>
                    <w:r>
                      <w:rPr>
                        <w:color w:val="FF0000"/>
                        <w:spacing w:val="-6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 xml:space="preserve">Menu </w:t>
                    </w:r>
                    <w:r>
                      <w:rPr>
                        <w:rFonts w:ascii="Wingdings" w:hAnsi="Wingdings"/>
                        <w:color w:val="FF0000"/>
                      </w:rPr>
                      <w:t></w:t>
                    </w:r>
                    <w:r>
                      <w:rPr>
                        <w:rFonts w:ascii="Times New Roman" w:hAnsi="Times New Roman"/>
                        <w:color w:val="FF0000"/>
                        <w:spacing w:val="-10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 xml:space="preserve">Antimicrobial Decision Support </w:t>
                    </w:r>
                    <w:r>
                      <w:rPr>
                        <w:rFonts w:ascii="Wingdings" w:hAnsi="Wingdings"/>
                        <w:color w:val="FF0000"/>
                      </w:rPr>
                      <w:t></w:t>
                    </w:r>
                    <w:r>
                      <w:rPr>
                        <w:rFonts w:ascii="Times New Roman" w:hAnsi="Times New Roman"/>
                        <w:color w:val="FF0000"/>
                      </w:rPr>
                      <w:t xml:space="preserve"> </w:t>
                    </w:r>
                    <w:r>
                      <w:rPr>
                        <w:color w:val="FF0000"/>
                      </w:rPr>
                      <w:t>Penicillin Allergy Guidance.</w:t>
                    </w:r>
                  </w:p>
                  <w:p w14:paraId="5884644C" w14:textId="77777777" w:rsidR="00D7709E" w:rsidRDefault="00000000">
                    <w:pPr>
                      <w:spacing w:before="203" w:line="451" w:lineRule="auto"/>
                      <w:ind w:right="4219"/>
                    </w:pPr>
                    <w:r>
                      <w:t>Physician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remove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Allergy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listing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CPRS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if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test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dose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 xml:space="preserve">tolerated. </w:t>
                    </w:r>
                    <w:r>
                      <w:rPr>
                        <w:u w:val="single"/>
                      </w:rPr>
                      <w:t>Nursing staff</w:t>
                    </w:r>
                    <w:r>
                      <w:t>:</w:t>
                    </w:r>
                  </w:p>
                  <w:p w14:paraId="6A089CE9" w14:textId="77777777" w:rsidR="00D7709E" w:rsidRDefault="00000000">
                    <w:pPr>
                      <w:spacing w:before="5"/>
                      <w:ind w:left="240"/>
                    </w:pPr>
                    <w:r>
                      <w:t>Administer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1/10</w:t>
                    </w:r>
                    <w:r>
                      <w:rPr>
                        <w:vertAlign w:val="superscript"/>
                      </w:rPr>
                      <w:t>th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dose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desired</w:t>
                    </w:r>
                    <w:r>
                      <w:rPr>
                        <w:spacing w:val="-2"/>
                      </w:rPr>
                      <w:t xml:space="preserve"> medication</w:t>
                    </w:r>
                  </w:p>
                  <w:p w14:paraId="677886A9" w14:textId="77777777" w:rsidR="00D7709E" w:rsidRDefault="00D7709E">
                    <w:pPr>
                      <w:spacing w:before="10"/>
                      <w:rPr>
                        <w:sz w:val="19"/>
                      </w:rPr>
                    </w:pPr>
                  </w:p>
                  <w:p w14:paraId="15D2F071" w14:textId="77777777" w:rsidR="00D7709E" w:rsidRDefault="00000000">
                    <w:pPr>
                      <w:spacing w:line="456" w:lineRule="auto"/>
                      <w:ind w:left="240" w:right="4219" w:firstLine="270"/>
                    </w:pPr>
                    <w:r>
                      <w:t>Observe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30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mins: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symptom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check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15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mins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and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at 30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mins Administer the remaining 9/10</w:t>
                    </w:r>
                    <w:r>
                      <w:rPr>
                        <w:vertAlign w:val="superscript"/>
                      </w:rPr>
                      <w:t>th</w:t>
                    </w:r>
                    <w:r>
                      <w:t xml:space="preserve"> of the dose</w:t>
                    </w:r>
                  </w:p>
                  <w:p w14:paraId="585ED9DE" w14:textId="77777777" w:rsidR="00D7709E" w:rsidRDefault="00000000">
                    <w:pPr>
                      <w:spacing w:line="263" w:lineRule="exact"/>
                      <w:ind w:left="510"/>
                    </w:pPr>
                    <w:r>
                      <w:t>Observe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60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mins: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symptom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check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at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20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mins,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40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mins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and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60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mins.</w:t>
                    </w:r>
                  </w:p>
                  <w:p w14:paraId="49D90A0A" w14:textId="77777777" w:rsidR="00D7709E" w:rsidRDefault="00000000">
                    <w:pPr>
                      <w:spacing w:before="3" w:line="510" w:lineRule="exact"/>
                      <w:ind w:left="240" w:right="2607"/>
                    </w:pPr>
                    <w:r>
                      <w:t>If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patient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symptomatic,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contact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medical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team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and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document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in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provider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contact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note. If patient not symptomatic, inform Physician team that the test dose was uneventful.</w:t>
                    </w:r>
                  </w:p>
                </w:txbxContent>
              </v:textbox>
            </v:shape>
            <w10:anchorlock/>
          </v:group>
        </w:pict>
      </w:r>
    </w:p>
    <w:p w14:paraId="34313092" w14:textId="6E5BE5B8" w:rsidR="00D7709E" w:rsidRDefault="00675C32">
      <w:pPr>
        <w:pStyle w:val="BodyText"/>
        <w:rPr>
          <w:sz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19BC004F" wp14:editId="1EC2A429">
                <wp:simplePos x="0" y="0"/>
                <wp:positionH relativeFrom="column">
                  <wp:posOffset>76200</wp:posOffset>
                </wp:positionH>
                <wp:positionV relativeFrom="paragraph">
                  <wp:posOffset>220345</wp:posOffset>
                </wp:positionV>
                <wp:extent cx="6838950" cy="1404620"/>
                <wp:effectExtent l="0" t="0" r="19050" b="146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38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F01F9F" w14:textId="66084111" w:rsidR="00675C32" w:rsidRDefault="00675C32">
                            <w:r>
                              <w:t xml:space="preserve">Appendix </w:t>
                            </w:r>
                            <w:r>
                              <w:t>1</w:t>
                            </w:r>
                            <w:r w:rsidR="009A0A9D">
                              <w:t>b</w:t>
                            </w:r>
                            <w:r>
                              <w:t xml:space="preserve">: </w:t>
                            </w:r>
                            <w:r>
                              <w:t>This Penicillin Allergy Pathway delineates a process for risk stratifying and evaluating patients with penicillin allergy.</w:t>
                            </w:r>
                            <w:r>
                              <w:t xml:space="preserve"> It is embedded as link within the computerized order entry menu within the CPRS Electronic Health record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BC004F" id="Text Box 2" o:spid="_x0000_s1026" type="#_x0000_t202" style="position:absolute;margin-left:6pt;margin-top:17.35pt;width:538.5pt;height:110.6pt;z-index: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">
                <v:textbox style="mso-fit-shape-to-text:t">
                  <w:txbxContent>
                    <w:p w14:paraId="36F01F9F" w14:textId="66084111" w:rsidR="00675C32" w:rsidRDefault="00675C32">
                      <w:r>
                        <w:t xml:space="preserve">Appendix </w:t>
                      </w:r>
                      <w:r>
                        <w:t>1</w:t>
                      </w:r>
                      <w:r w:rsidR="009A0A9D">
                        <w:t>b</w:t>
                      </w:r>
                      <w:r>
                        <w:t xml:space="preserve">: </w:t>
                      </w:r>
                      <w:r>
                        <w:t>This Penicillin Allergy Pathway delineates a process for risk stratifying and evaluating patients with penicillin allergy.</w:t>
                      </w:r>
                      <w:r>
                        <w:t xml:space="preserve"> It is embedded as link within the computerized order entry menu within the CPRS Electronic Health record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210EB4" w14:textId="58952FE9" w:rsidR="00D7709E" w:rsidRDefault="00D7709E">
      <w:pPr>
        <w:pStyle w:val="BodyText"/>
        <w:spacing w:before="2" w:after="1"/>
        <w:rPr>
          <w:sz w:val="16"/>
        </w:rPr>
      </w:pPr>
    </w:p>
    <w:p w14:paraId="596B5C45" w14:textId="1A9BF443" w:rsidR="00124D37" w:rsidRDefault="00124D37"/>
    <w:sectPr w:rsidR="00124D37">
      <w:pgSz w:w="12240" w:h="15840"/>
      <w:pgMar w:top="72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7709E"/>
    <w:rsid w:val="00124D37"/>
    <w:rsid w:val="00675C32"/>
    <w:rsid w:val="009A0A9D"/>
    <w:rsid w:val="00D7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4:docId w14:val="65A79CD0"/>
  <w15:docId w15:val="{D55AAEB7-1967-4A41-959E-F37FD097A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19"/>
      <w:ind w:left="3988" w:right="4007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FDD58CABD26445B2BC642A06991F56" ma:contentTypeVersion="14" ma:contentTypeDescription="Create a new document." ma:contentTypeScope="" ma:versionID="2e21f4a5dcd9e0c0249392e6c0ad61ea">
  <xsd:schema xmlns:xsd="http://www.w3.org/2001/XMLSchema" xmlns:xs="http://www.w3.org/2001/XMLSchema" xmlns:p="http://schemas.microsoft.com/office/2006/metadata/properties" xmlns:ns2="8c6e775a-18c4-4143-88dd-c81796fa1bb2" xmlns:ns3="7e27c61a-a596-440d-85d0-9e39b618d4dc" targetNamespace="http://schemas.microsoft.com/office/2006/metadata/properties" ma:root="true" ma:fieldsID="a609e5f884934077c0e84f16636fc475" ns2:_="" ns3:_="">
    <xsd:import namespace="8c6e775a-18c4-4143-88dd-c81796fa1bb2"/>
    <xsd:import namespace="7e27c61a-a596-440d-85d0-9e39b618d4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6e775a-18c4-4143-88dd-c81796fa1b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c3718347-7ac7-43d2-8bc2-3254bf3347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27c61a-a596-440d-85d0-9e39b618d4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2d5bcb6-0f0d-4e23-bb07-cda113a98713}" ma:internalName="TaxCatchAll" ma:showField="CatchAllData" ma:web="7e27c61a-a596-440d-85d0-9e39b618d4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27c61a-a596-440d-85d0-9e39b618d4dc" xsi:nil="true"/>
    <lcf76f155ced4ddcb4097134ff3c332f xmlns="8c6e775a-18c4-4143-88dd-c81796fa1b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0C00A3-B0BB-4C18-9B33-7F6A7F9E9C01}"/>
</file>

<file path=customXml/itemProps2.xml><?xml version="1.0" encoding="utf-8"?>
<ds:datastoreItem xmlns:ds="http://schemas.openxmlformats.org/officeDocument/2006/customXml" ds:itemID="{ADC693DB-D482-4AB5-8B9D-CADAAFA240DF}"/>
</file>

<file path=customXml/itemProps3.xml><?xml version="1.0" encoding="utf-8"?>
<ds:datastoreItem xmlns:ds="http://schemas.openxmlformats.org/officeDocument/2006/customXml" ds:itemID="{29A38473-09EC-40BE-AFF4-499A8E0041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Penicillin/Cephalosporin Allergy Pathway</dc:title>
  <dc:creator>Liedtke, Laura A.</dc:creator>
  <cp:lastModifiedBy>SUJANI S KAKUMANU</cp:lastModifiedBy>
  <cp:revision>2</cp:revision>
  <dcterms:created xsi:type="dcterms:W3CDTF">2023-05-05T14:42:00Z</dcterms:created>
  <dcterms:modified xsi:type="dcterms:W3CDTF">2023-05-05T14:42:00Z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2023-05-05T00:00:00Z</vt:filetime>
  </property>
  <property fmtid="{D5CDD505-2E9C-101B-9397-08002B2CF9AE}" pid="5" name="ContentTypeId">
    <vt:lpwstr>0x010100CFFDD58CABD26445B2BC642A06991F56</vt:lpwstr>
  </property>
  <property fmtid="{D5CDD505-2E9C-101B-9397-08002B2CF9AE}" pid="6" name="MediaServiceImageTags">
    <vt:lpwstr/>
  </property>
</Properties>
</file>