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676DB" w14:textId="77777777" w:rsidR="00793B9C" w:rsidRDefault="003225EC" w:rsidP="00793B9C">
      <w:pPr>
        <w:spacing w:after="240" w:line="480" w:lineRule="auto"/>
        <w:rPr>
          <w:rFonts w:ascii="Arial" w:eastAsiaTheme="minorEastAsia" w:hAnsi="Arial" w:cs="Times New Roman"/>
          <w:b/>
          <w:bCs/>
          <w:kern w:val="0"/>
          <w:sz w:val="30"/>
          <w:szCs w:val="30"/>
          <w14:ligatures w14:val="none"/>
        </w:rPr>
      </w:pPr>
      <w:r w:rsidRPr="003225EC">
        <w:rPr>
          <w:rFonts w:ascii="Arial" w:eastAsiaTheme="minorEastAsia" w:hAnsi="Arial" w:cs="Times New Roman"/>
          <w:b/>
          <w:bCs/>
          <w:kern w:val="0"/>
          <w:sz w:val="30"/>
          <w:szCs w:val="30"/>
          <w14:ligatures w14:val="none"/>
        </w:rPr>
        <w:t>Additional file 2</w:t>
      </w:r>
      <w:bookmarkStart w:id="0" w:name="_Hlk143178881"/>
    </w:p>
    <w:p w14:paraId="50C42F4E" w14:textId="43522326" w:rsidR="003225EC" w:rsidRPr="003225EC" w:rsidRDefault="003225EC" w:rsidP="00793B9C">
      <w:pPr>
        <w:spacing w:after="240" w:line="480" w:lineRule="auto"/>
        <w:rPr>
          <w:rFonts w:ascii="Arial" w:eastAsiaTheme="minorEastAsia" w:hAnsi="Arial" w:cs="Times New Roman"/>
          <w:b/>
          <w:kern w:val="0"/>
          <w:sz w:val="24"/>
          <w:szCs w:val="20"/>
          <w14:ligatures w14:val="none"/>
        </w:rPr>
      </w:pPr>
      <w:r w:rsidRPr="003225EC">
        <w:rPr>
          <w:rFonts w:ascii="Arial" w:eastAsiaTheme="minorEastAsia" w:hAnsi="Arial" w:cs="Times New Roman"/>
          <w:b/>
          <w:kern w:val="0"/>
          <w:sz w:val="24"/>
          <w:szCs w:val="20"/>
          <w14:ligatures w14:val="none"/>
        </w:rPr>
        <w:t xml:space="preserve">Supplementary Table 2. </w:t>
      </w:r>
      <w:r w:rsidRPr="003225EC">
        <w:rPr>
          <w:rFonts w:ascii="Arial" w:eastAsiaTheme="minorEastAsia" w:hAnsi="Arial" w:cs="Times New Roman"/>
          <w:bCs/>
          <w:kern w:val="0"/>
          <w:sz w:val="24"/>
          <w:szCs w:val="20"/>
          <w14:ligatures w14:val="none"/>
        </w:rPr>
        <w:t>Mean number of real-world outcomes for the PSP</w:t>
      </w:r>
      <w:r w:rsidR="00793B9C">
        <w:rPr>
          <w:rFonts w:ascii="Arial" w:eastAsiaTheme="minorEastAsia" w:hAnsi="Arial" w:cs="Times New Roman"/>
          <w:bCs/>
          <w:kern w:val="0"/>
          <w:sz w:val="24"/>
          <w:szCs w:val="20"/>
          <w14:ligatures w14:val="none"/>
        </w:rPr>
        <w:t>-</w:t>
      </w:r>
      <w:r w:rsidRPr="003225EC">
        <w:rPr>
          <w:rFonts w:ascii="Arial" w:eastAsiaTheme="minorEastAsia" w:hAnsi="Arial" w:cs="Times New Roman"/>
          <w:bCs/>
          <w:kern w:val="0"/>
          <w:sz w:val="24"/>
          <w:szCs w:val="20"/>
          <w14:ligatures w14:val="none"/>
        </w:rPr>
        <w:t>adherent subpopulations following mepolizumab initiatio</w:t>
      </w:r>
      <w:bookmarkEnd w:id="0"/>
      <w:r w:rsidRPr="003225EC">
        <w:rPr>
          <w:rFonts w:ascii="Arial" w:eastAsiaTheme="minorEastAsia" w:hAnsi="Arial" w:cs="Times New Roman"/>
          <w:bCs/>
          <w:kern w:val="0"/>
          <w:sz w:val="24"/>
          <w:szCs w:val="20"/>
          <w14:ligatures w14:val="none"/>
        </w:rPr>
        <w:t>n</w:t>
      </w:r>
    </w:p>
    <w:tbl>
      <w:tblPr>
        <w:tblStyle w:val="TableClassic1"/>
        <w:tblpPr w:leftFromText="180" w:rightFromText="180" w:vertAnchor="text" w:horzAnchor="margin" w:tblpY="73"/>
        <w:tblW w:w="1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227"/>
        <w:gridCol w:w="1941"/>
        <w:gridCol w:w="1942"/>
        <w:gridCol w:w="1941"/>
        <w:gridCol w:w="1942"/>
        <w:gridCol w:w="1941"/>
        <w:gridCol w:w="1946"/>
      </w:tblGrid>
      <w:tr w:rsidR="003225EC" w:rsidRPr="003225EC" w14:paraId="66F5A44B" w14:textId="77777777" w:rsidTr="003B147B">
        <w:trPr>
          <w:trHeight w:val="653"/>
        </w:trPr>
        <w:tc>
          <w:tcPr>
            <w:tcW w:w="2227" w:type="dxa"/>
            <w:vMerge w:val="restart"/>
            <w:vAlign w:val="center"/>
          </w:tcPr>
          <w:p w14:paraId="1157B1DC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Merge w:val="restart"/>
            <w:vAlign w:val="center"/>
          </w:tcPr>
          <w:p w14:paraId="6C4EF553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2C265808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560BED84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  <w:p w14:paraId="22A3CD27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  <w:b/>
                <w:bCs/>
              </w:rPr>
              <w:t>Overall PSP population</w:t>
            </w:r>
          </w:p>
          <w:p w14:paraId="01020FBD" w14:textId="70183710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  <w:b/>
                <w:bCs/>
              </w:rPr>
              <w:t>(N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=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275)</w:t>
            </w:r>
          </w:p>
        </w:tc>
        <w:tc>
          <w:tcPr>
            <w:tcW w:w="7770" w:type="dxa"/>
            <w:gridSpan w:val="4"/>
            <w:vAlign w:val="center"/>
          </w:tcPr>
          <w:p w14:paraId="47226C79" w14:textId="36AA3A45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  <w:b/>
                <w:bCs/>
              </w:rPr>
              <w:t>PSP</w:t>
            </w:r>
            <w:r w:rsidR="00793B9C">
              <w:rPr>
                <w:rFonts w:ascii="Arial" w:hAnsi="Arial" w:cs="Arial"/>
                <w:b/>
                <w:bCs/>
              </w:rPr>
              <w:t>-</w:t>
            </w:r>
            <w:r w:rsidRPr="003225EC">
              <w:rPr>
                <w:rFonts w:ascii="Arial" w:hAnsi="Arial" w:cs="Arial"/>
                <w:b/>
                <w:bCs/>
              </w:rPr>
              <w:t>adherent subpopulation</w:t>
            </w:r>
          </w:p>
          <w:p w14:paraId="0EA83B3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</w:rPr>
              <w:t>(≥9 treatments in 12 months)</w:t>
            </w:r>
          </w:p>
        </w:tc>
      </w:tr>
      <w:tr w:rsidR="003225EC" w:rsidRPr="003225EC" w14:paraId="25B12900" w14:textId="77777777" w:rsidTr="003B147B">
        <w:trPr>
          <w:trHeight w:val="579"/>
        </w:trPr>
        <w:tc>
          <w:tcPr>
            <w:tcW w:w="2227" w:type="dxa"/>
            <w:vMerge/>
            <w:vAlign w:val="center"/>
            <w:hideMark/>
          </w:tcPr>
          <w:p w14:paraId="78ACCB3A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Merge/>
            <w:vAlign w:val="center"/>
          </w:tcPr>
          <w:p w14:paraId="17FD6530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6F1F9250" w14:textId="24AFB07B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  <w:b/>
                <w:bCs/>
              </w:rPr>
              <w:t>All patients (n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=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256)</w:t>
            </w:r>
          </w:p>
        </w:tc>
        <w:tc>
          <w:tcPr>
            <w:tcW w:w="3887" w:type="dxa"/>
            <w:gridSpan w:val="2"/>
            <w:vAlign w:val="center"/>
          </w:tcPr>
          <w:p w14:paraId="293D09E4" w14:textId="67947D76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3225EC">
              <w:rPr>
                <w:rFonts w:ascii="Arial" w:hAnsi="Arial" w:cs="Arial"/>
                <w:b/>
                <w:bCs/>
              </w:rPr>
              <w:t>&lt;300 cells/µL (n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=</w:t>
            </w:r>
            <w:r w:rsidR="00793B9C">
              <w:rPr>
                <w:rFonts w:ascii="Arial" w:hAnsi="Arial" w:cs="Arial"/>
                <w:b/>
                <w:bCs/>
              </w:rPr>
              <w:t xml:space="preserve"> </w:t>
            </w:r>
            <w:r w:rsidRPr="003225EC">
              <w:rPr>
                <w:rFonts w:ascii="Arial" w:hAnsi="Arial" w:cs="Arial"/>
                <w:b/>
                <w:bCs/>
              </w:rPr>
              <w:t>27)</w:t>
            </w:r>
          </w:p>
        </w:tc>
      </w:tr>
      <w:tr w:rsidR="003225EC" w:rsidRPr="003225EC" w14:paraId="0BEE011E" w14:textId="77777777" w:rsidTr="003B147B">
        <w:trPr>
          <w:trHeight w:val="391"/>
        </w:trPr>
        <w:tc>
          <w:tcPr>
            <w:tcW w:w="2227" w:type="dxa"/>
            <w:vAlign w:val="center"/>
          </w:tcPr>
          <w:p w14:paraId="187EAF2F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41" w:type="dxa"/>
            <w:vAlign w:val="center"/>
          </w:tcPr>
          <w:p w14:paraId="4F134ACE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942" w:type="dxa"/>
            <w:vAlign w:val="center"/>
          </w:tcPr>
          <w:p w14:paraId="3229AB8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941" w:type="dxa"/>
            <w:vAlign w:val="center"/>
          </w:tcPr>
          <w:p w14:paraId="03A6736D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942" w:type="dxa"/>
            <w:vAlign w:val="center"/>
          </w:tcPr>
          <w:p w14:paraId="23A6C91B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941" w:type="dxa"/>
            <w:vAlign w:val="center"/>
          </w:tcPr>
          <w:p w14:paraId="507DE69A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Pre-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  <w:tc>
          <w:tcPr>
            <w:tcW w:w="1946" w:type="dxa"/>
            <w:vAlign w:val="center"/>
          </w:tcPr>
          <w:p w14:paraId="09047AF7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Post-</w:t>
            </w:r>
            <w:proofErr w:type="spellStart"/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mepo</w:t>
            </w:r>
            <w:proofErr w:type="spellEnd"/>
          </w:p>
        </w:tc>
      </w:tr>
      <w:tr w:rsidR="003225EC" w:rsidRPr="003225EC" w14:paraId="1DBF5498" w14:textId="77777777" w:rsidTr="003B147B">
        <w:trPr>
          <w:trHeight w:val="391"/>
        </w:trPr>
        <w:tc>
          <w:tcPr>
            <w:tcW w:w="2227" w:type="dxa"/>
            <w:vMerge w:val="restart"/>
            <w:vAlign w:val="center"/>
          </w:tcPr>
          <w:p w14:paraId="44AD95E5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Exacerbations, n</w:t>
            </w:r>
          </w:p>
        </w:tc>
        <w:tc>
          <w:tcPr>
            <w:tcW w:w="1941" w:type="dxa"/>
            <w:vAlign w:val="center"/>
          </w:tcPr>
          <w:p w14:paraId="525C3C4B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1942" w:type="dxa"/>
            <w:vAlign w:val="center"/>
          </w:tcPr>
          <w:p w14:paraId="3781FBBD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0.48</w:t>
            </w:r>
          </w:p>
        </w:tc>
        <w:tc>
          <w:tcPr>
            <w:tcW w:w="1941" w:type="dxa"/>
            <w:vAlign w:val="center"/>
          </w:tcPr>
          <w:p w14:paraId="10A34A1E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0.89</w:t>
            </w:r>
          </w:p>
        </w:tc>
        <w:tc>
          <w:tcPr>
            <w:tcW w:w="1942" w:type="dxa"/>
            <w:vAlign w:val="center"/>
          </w:tcPr>
          <w:p w14:paraId="635F2D2C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1941" w:type="dxa"/>
            <w:vAlign w:val="center"/>
          </w:tcPr>
          <w:p w14:paraId="5554EDBD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1.19</w:t>
            </w:r>
          </w:p>
        </w:tc>
        <w:tc>
          <w:tcPr>
            <w:tcW w:w="1946" w:type="dxa"/>
            <w:vAlign w:val="center"/>
          </w:tcPr>
          <w:p w14:paraId="3631560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0.93</w:t>
            </w:r>
          </w:p>
        </w:tc>
      </w:tr>
      <w:tr w:rsidR="003225EC" w:rsidRPr="003225EC" w14:paraId="5B84B3E1" w14:textId="77777777" w:rsidTr="003B147B">
        <w:trPr>
          <w:trHeight w:val="391"/>
        </w:trPr>
        <w:tc>
          <w:tcPr>
            <w:tcW w:w="2227" w:type="dxa"/>
            <w:vMerge/>
            <w:vAlign w:val="center"/>
          </w:tcPr>
          <w:p w14:paraId="501D0836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04D0D3EA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–46.1%***</w:t>
            </w:r>
          </w:p>
        </w:tc>
        <w:tc>
          <w:tcPr>
            <w:tcW w:w="3883" w:type="dxa"/>
            <w:gridSpan w:val="2"/>
            <w:vAlign w:val="center"/>
          </w:tcPr>
          <w:p w14:paraId="5A5E78B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–47.2%***</w:t>
            </w:r>
          </w:p>
        </w:tc>
        <w:tc>
          <w:tcPr>
            <w:tcW w:w="3887" w:type="dxa"/>
            <w:gridSpan w:val="2"/>
            <w:vAlign w:val="center"/>
          </w:tcPr>
          <w:p w14:paraId="754B0ED3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–21.9%</w:t>
            </w:r>
          </w:p>
        </w:tc>
      </w:tr>
      <w:tr w:rsidR="003225EC" w:rsidRPr="003225EC" w14:paraId="47639AFC" w14:textId="77777777" w:rsidTr="003B147B">
        <w:trPr>
          <w:trHeight w:val="391"/>
        </w:trPr>
        <w:tc>
          <w:tcPr>
            <w:tcW w:w="13880" w:type="dxa"/>
            <w:gridSpan w:val="7"/>
            <w:vAlign w:val="center"/>
          </w:tcPr>
          <w:p w14:paraId="0CF5A911" w14:textId="77777777" w:rsidR="003225EC" w:rsidRPr="003225EC" w:rsidRDefault="003225EC" w:rsidP="003225EC">
            <w:pPr>
              <w:spacing w:after="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225EC">
              <w:rPr>
                <w:rFonts w:ascii="Arial" w:hAnsi="Arial" w:cs="Arial"/>
                <w:b/>
                <w:bCs/>
                <w:sz w:val="18"/>
                <w:szCs w:val="18"/>
              </w:rPr>
              <w:t>Asthma-related visits, n</w:t>
            </w:r>
          </w:p>
        </w:tc>
      </w:tr>
      <w:tr w:rsidR="003225EC" w:rsidRPr="003225EC" w14:paraId="20D454D9" w14:textId="77777777" w:rsidTr="003B147B">
        <w:trPr>
          <w:trHeight w:val="391"/>
        </w:trPr>
        <w:tc>
          <w:tcPr>
            <w:tcW w:w="2227" w:type="dxa"/>
            <w:vMerge w:val="restart"/>
            <w:vAlign w:val="center"/>
            <w:hideMark/>
          </w:tcPr>
          <w:p w14:paraId="533D9D06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GP</w:t>
            </w:r>
          </w:p>
        </w:tc>
        <w:tc>
          <w:tcPr>
            <w:tcW w:w="1941" w:type="dxa"/>
            <w:vAlign w:val="center"/>
          </w:tcPr>
          <w:p w14:paraId="7DBDC31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3.48</w:t>
            </w:r>
          </w:p>
        </w:tc>
        <w:tc>
          <w:tcPr>
            <w:tcW w:w="1942" w:type="dxa"/>
            <w:vAlign w:val="center"/>
          </w:tcPr>
          <w:p w14:paraId="73F280B4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2.08</w:t>
            </w:r>
          </w:p>
        </w:tc>
        <w:tc>
          <w:tcPr>
            <w:tcW w:w="1941" w:type="dxa"/>
            <w:vAlign w:val="center"/>
          </w:tcPr>
          <w:p w14:paraId="39406583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3.59</w:t>
            </w:r>
          </w:p>
        </w:tc>
        <w:tc>
          <w:tcPr>
            <w:tcW w:w="1942" w:type="dxa"/>
            <w:vAlign w:val="center"/>
          </w:tcPr>
          <w:p w14:paraId="7683309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2.10</w:t>
            </w:r>
          </w:p>
        </w:tc>
        <w:tc>
          <w:tcPr>
            <w:tcW w:w="1941" w:type="dxa"/>
            <w:vAlign w:val="center"/>
          </w:tcPr>
          <w:p w14:paraId="21ED426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3.04</w:t>
            </w:r>
          </w:p>
        </w:tc>
        <w:tc>
          <w:tcPr>
            <w:tcW w:w="1946" w:type="dxa"/>
            <w:vAlign w:val="center"/>
          </w:tcPr>
          <w:p w14:paraId="2618CF4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2.63</w:t>
            </w:r>
          </w:p>
        </w:tc>
      </w:tr>
      <w:tr w:rsidR="003225EC" w:rsidRPr="003225EC" w14:paraId="32C04A98" w14:textId="77777777" w:rsidTr="003B147B">
        <w:trPr>
          <w:trHeight w:val="391"/>
        </w:trPr>
        <w:tc>
          <w:tcPr>
            <w:tcW w:w="2227" w:type="dxa"/>
            <w:vMerge/>
            <w:vAlign w:val="center"/>
          </w:tcPr>
          <w:p w14:paraId="0CC7C6F3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67282201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–40.2%***</w:t>
            </w:r>
          </w:p>
        </w:tc>
        <w:tc>
          <w:tcPr>
            <w:tcW w:w="3883" w:type="dxa"/>
            <w:gridSpan w:val="2"/>
            <w:vAlign w:val="center"/>
          </w:tcPr>
          <w:p w14:paraId="09AD7661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–41.5%***</w:t>
            </w:r>
          </w:p>
        </w:tc>
        <w:tc>
          <w:tcPr>
            <w:tcW w:w="3887" w:type="dxa"/>
            <w:gridSpan w:val="2"/>
            <w:vAlign w:val="center"/>
          </w:tcPr>
          <w:p w14:paraId="5EA31DE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–13.5%</w:t>
            </w:r>
          </w:p>
        </w:tc>
      </w:tr>
      <w:tr w:rsidR="003225EC" w:rsidRPr="003225EC" w14:paraId="32F3B0AE" w14:textId="77777777" w:rsidTr="003B147B">
        <w:trPr>
          <w:trHeight w:val="391"/>
        </w:trPr>
        <w:tc>
          <w:tcPr>
            <w:tcW w:w="2227" w:type="dxa"/>
            <w:vMerge w:val="restart"/>
            <w:vAlign w:val="center"/>
            <w:hideMark/>
          </w:tcPr>
          <w:p w14:paraId="15FA6ADC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Specialist</w:t>
            </w:r>
          </w:p>
        </w:tc>
        <w:tc>
          <w:tcPr>
            <w:tcW w:w="1941" w:type="dxa"/>
            <w:vAlign w:val="center"/>
          </w:tcPr>
          <w:p w14:paraId="42E231E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5.04</w:t>
            </w:r>
          </w:p>
        </w:tc>
        <w:tc>
          <w:tcPr>
            <w:tcW w:w="1942" w:type="dxa"/>
            <w:vAlign w:val="center"/>
          </w:tcPr>
          <w:p w14:paraId="7AA0EBF7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3.67</w:t>
            </w:r>
          </w:p>
        </w:tc>
        <w:tc>
          <w:tcPr>
            <w:tcW w:w="1941" w:type="dxa"/>
            <w:vAlign w:val="center"/>
          </w:tcPr>
          <w:p w14:paraId="0A895167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5.12</w:t>
            </w:r>
          </w:p>
        </w:tc>
        <w:tc>
          <w:tcPr>
            <w:tcW w:w="1942" w:type="dxa"/>
            <w:vAlign w:val="center"/>
          </w:tcPr>
          <w:p w14:paraId="51049AD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3.69</w:t>
            </w:r>
          </w:p>
        </w:tc>
        <w:tc>
          <w:tcPr>
            <w:tcW w:w="1941" w:type="dxa"/>
            <w:vAlign w:val="center"/>
          </w:tcPr>
          <w:p w14:paraId="38B4C2FC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5.33</w:t>
            </w:r>
          </w:p>
        </w:tc>
        <w:tc>
          <w:tcPr>
            <w:tcW w:w="1946" w:type="dxa"/>
            <w:vAlign w:val="center"/>
          </w:tcPr>
          <w:p w14:paraId="09A8FCB7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3.67</w:t>
            </w:r>
          </w:p>
        </w:tc>
      </w:tr>
      <w:tr w:rsidR="003225EC" w:rsidRPr="003225EC" w14:paraId="61ED69CC" w14:textId="77777777" w:rsidTr="003B147B">
        <w:trPr>
          <w:trHeight w:val="391"/>
        </w:trPr>
        <w:tc>
          <w:tcPr>
            <w:tcW w:w="2227" w:type="dxa"/>
            <w:vMerge/>
            <w:vAlign w:val="center"/>
          </w:tcPr>
          <w:p w14:paraId="49CDBF87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7539805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–27.2</w:t>
            </w: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%***</w:t>
            </w:r>
          </w:p>
        </w:tc>
        <w:tc>
          <w:tcPr>
            <w:tcW w:w="3883" w:type="dxa"/>
            <w:gridSpan w:val="2"/>
            <w:vAlign w:val="center"/>
          </w:tcPr>
          <w:p w14:paraId="39FDBC2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–27.9%***</w:t>
            </w:r>
          </w:p>
        </w:tc>
        <w:tc>
          <w:tcPr>
            <w:tcW w:w="3887" w:type="dxa"/>
            <w:gridSpan w:val="2"/>
            <w:vAlign w:val="center"/>
          </w:tcPr>
          <w:p w14:paraId="5628450A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–31.1%</w:t>
            </w:r>
          </w:p>
        </w:tc>
      </w:tr>
      <w:tr w:rsidR="003225EC" w:rsidRPr="003225EC" w14:paraId="2CA175A8" w14:textId="77777777" w:rsidTr="003B147B">
        <w:trPr>
          <w:trHeight w:val="391"/>
        </w:trPr>
        <w:tc>
          <w:tcPr>
            <w:tcW w:w="2227" w:type="dxa"/>
            <w:vMerge w:val="restart"/>
            <w:vAlign w:val="center"/>
            <w:hideMark/>
          </w:tcPr>
          <w:p w14:paraId="6C0096CA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Emergency department</w:t>
            </w:r>
          </w:p>
        </w:tc>
        <w:tc>
          <w:tcPr>
            <w:tcW w:w="1941" w:type="dxa"/>
            <w:vAlign w:val="center"/>
          </w:tcPr>
          <w:p w14:paraId="6DA5C1DC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0.96</w:t>
            </w:r>
          </w:p>
        </w:tc>
        <w:tc>
          <w:tcPr>
            <w:tcW w:w="1942" w:type="dxa"/>
            <w:vAlign w:val="center"/>
          </w:tcPr>
          <w:p w14:paraId="0B0B0624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1941" w:type="dxa"/>
            <w:vAlign w:val="center"/>
          </w:tcPr>
          <w:p w14:paraId="40F7583D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0.96</w:t>
            </w:r>
          </w:p>
        </w:tc>
        <w:tc>
          <w:tcPr>
            <w:tcW w:w="1942" w:type="dxa"/>
            <w:vAlign w:val="center"/>
          </w:tcPr>
          <w:p w14:paraId="6C00E8BC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1941" w:type="dxa"/>
            <w:vAlign w:val="center"/>
          </w:tcPr>
          <w:p w14:paraId="79ED668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1.22</w:t>
            </w:r>
          </w:p>
        </w:tc>
        <w:tc>
          <w:tcPr>
            <w:tcW w:w="1946" w:type="dxa"/>
            <w:vAlign w:val="center"/>
          </w:tcPr>
          <w:p w14:paraId="23847C4E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0.67</w:t>
            </w:r>
          </w:p>
        </w:tc>
      </w:tr>
      <w:tr w:rsidR="003225EC" w:rsidRPr="003225EC" w14:paraId="1B759B46" w14:textId="77777777" w:rsidTr="003B147B">
        <w:trPr>
          <w:trHeight w:val="391"/>
        </w:trPr>
        <w:tc>
          <w:tcPr>
            <w:tcW w:w="2227" w:type="dxa"/>
            <w:vMerge/>
            <w:vAlign w:val="center"/>
          </w:tcPr>
          <w:p w14:paraId="492B8626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25C62AA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–52.1</w:t>
            </w: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%***</w:t>
            </w:r>
          </w:p>
        </w:tc>
        <w:tc>
          <w:tcPr>
            <w:tcW w:w="3883" w:type="dxa"/>
            <w:gridSpan w:val="2"/>
            <w:vAlign w:val="center"/>
          </w:tcPr>
          <w:p w14:paraId="3E5F5A7B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–53.1</w:t>
            </w: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  <w:r w:rsidRPr="003225EC">
              <w:rPr>
                <w:rFonts w:ascii="Arial" w:hAnsi="Arial" w:cs="Arial"/>
                <w:sz w:val="18"/>
                <w:szCs w:val="18"/>
              </w:rPr>
              <w:t>***</w:t>
            </w:r>
          </w:p>
        </w:tc>
        <w:tc>
          <w:tcPr>
            <w:tcW w:w="3887" w:type="dxa"/>
            <w:gridSpan w:val="2"/>
            <w:vAlign w:val="center"/>
          </w:tcPr>
          <w:p w14:paraId="6B1EE64A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–45.1%</w:t>
            </w:r>
          </w:p>
        </w:tc>
      </w:tr>
      <w:tr w:rsidR="003225EC" w:rsidRPr="003225EC" w14:paraId="141246FD" w14:textId="77777777" w:rsidTr="003B147B">
        <w:trPr>
          <w:trHeight w:val="391"/>
        </w:trPr>
        <w:tc>
          <w:tcPr>
            <w:tcW w:w="2227" w:type="dxa"/>
            <w:vMerge w:val="restart"/>
            <w:vAlign w:val="center"/>
            <w:hideMark/>
          </w:tcPr>
          <w:p w14:paraId="09D27F9C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 xml:space="preserve">Inpatient hospitalization </w:t>
            </w:r>
          </w:p>
        </w:tc>
        <w:tc>
          <w:tcPr>
            <w:tcW w:w="1941" w:type="dxa"/>
            <w:vAlign w:val="center"/>
          </w:tcPr>
          <w:p w14:paraId="6B763978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0.30</w:t>
            </w:r>
          </w:p>
        </w:tc>
        <w:tc>
          <w:tcPr>
            <w:tcW w:w="1942" w:type="dxa"/>
            <w:vAlign w:val="center"/>
          </w:tcPr>
          <w:p w14:paraId="31879A78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941" w:type="dxa"/>
            <w:vAlign w:val="center"/>
          </w:tcPr>
          <w:p w14:paraId="3A3DBA6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0.31</w:t>
            </w:r>
          </w:p>
        </w:tc>
        <w:tc>
          <w:tcPr>
            <w:tcW w:w="1942" w:type="dxa"/>
            <w:vAlign w:val="center"/>
          </w:tcPr>
          <w:p w14:paraId="6D24957F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1941" w:type="dxa"/>
            <w:vAlign w:val="center"/>
          </w:tcPr>
          <w:p w14:paraId="2F881D0D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946" w:type="dxa"/>
            <w:vAlign w:val="center"/>
          </w:tcPr>
          <w:p w14:paraId="13CF5591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  <w:tr w:rsidR="003225EC" w:rsidRPr="003225EC" w14:paraId="446A432E" w14:textId="77777777" w:rsidTr="003B147B">
        <w:trPr>
          <w:trHeight w:val="391"/>
        </w:trPr>
        <w:tc>
          <w:tcPr>
            <w:tcW w:w="2227" w:type="dxa"/>
            <w:vMerge/>
            <w:vAlign w:val="center"/>
          </w:tcPr>
          <w:p w14:paraId="1C3A0AF0" w14:textId="77777777" w:rsidR="003225EC" w:rsidRPr="003225EC" w:rsidRDefault="003225EC" w:rsidP="003225EC">
            <w:pPr>
              <w:spacing w:after="0"/>
              <w:ind w:left="3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83" w:type="dxa"/>
            <w:gridSpan w:val="2"/>
            <w:vAlign w:val="center"/>
          </w:tcPr>
          <w:p w14:paraId="79C26769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–36.7</w:t>
            </w: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%*</w:t>
            </w:r>
          </w:p>
        </w:tc>
        <w:tc>
          <w:tcPr>
            <w:tcW w:w="3883" w:type="dxa"/>
            <w:gridSpan w:val="2"/>
            <w:vAlign w:val="center"/>
          </w:tcPr>
          <w:p w14:paraId="32061943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–38.7</w:t>
            </w:r>
            <w:r w:rsidRPr="003225EC">
              <w:rPr>
                <w:rFonts w:ascii="Arial" w:hAnsi="Arial" w:cs="Arial"/>
                <w:color w:val="000000" w:themeColor="text1"/>
                <w:sz w:val="18"/>
                <w:szCs w:val="18"/>
              </w:rPr>
              <w:t>%</w:t>
            </w:r>
            <w:r w:rsidRPr="003225EC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3887" w:type="dxa"/>
            <w:gridSpan w:val="2"/>
            <w:vAlign w:val="center"/>
          </w:tcPr>
          <w:p w14:paraId="2F03EB65" w14:textId="77777777" w:rsidR="003225EC" w:rsidRPr="003225EC" w:rsidRDefault="003225EC" w:rsidP="003225E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5EC">
              <w:rPr>
                <w:rFonts w:ascii="Arial" w:hAnsi="Arial" w:cs="Arial"/>
                <w:sz w:val="18"/>
                <w:szCs w:val="18"/>
              </w:rPr>
              <w:t>NA</w:t>
            </w:r>
          </w:p>
        </w:tc>
      </w:tr>
    </w:tbl>
    <w:p w14:paraId="3BA00C1C" w14:textId="77777777" w:rsidR="003225EC" w:rsidRPr="003225EC" w:rsidRDefault="003225EC" w:rsidP="003225EC">
      <w:pPr>
        <w:tabs>
          <w:tab w:val="center" w:pos="4507"/>
          <w:tab w:val="right" w:pos="9029"/>
        </w:tabs>
        <w:spacing w:after="240" w:line="480" w:lineRule="auto"/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</w:pP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>*</w:t>
      </w:r>
      <w:r w:rsidRPr="00793B9C">
        <w:rPr>
          <w:rFonts w:ascii="Arial" w:eastAsia="Times New Roman" w:hAnsi="Arial" w:cs="Times New Roman"/>
          <w:bCs/>
          <w:i/>
          <w:iCs/>
          <w:kern w:val="0"/>
          <w:sz w:val="18"/>
          <w:szCs w:val="20"/>
          <w14:ligatures w14:val="none"/>
        </w:rPr>
        <w:t>P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 xml:space="preserve">&lt;0.05 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br/>
        <w:t>**</w:t>
      </w:r>
      <w:r w:rsidRPr="00793B9C">
        <w:rPr>
          <w:rFonts w:ascii="Arial" w:eastAsia="Times New Roman" w:hAnsi="Arial" w:cs="Times New Roman"/>
          <w:bCs/>
          <w:i/>
          <w:iCs/>
          <w:kern w:val="0"/>
          <w:sz w:val="18"/>
          <w:szCs w:val="20"/>
          <w14:ligatures w14:val="none"/>
        </w:rPr>
        <w:t>P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 xml:space="preserve">&lt;0.01 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br/>
        <w:t>***</w:t>
      </w:r>
      <w:r w:rsidRPr="00793B9C">
        <w:rPr>
          <w:rFonts w:ascii="Arial" w:eastAsia="Times New Roman" w:hAnsi="Arial" w:cs="Times New Roman"/>
          <w:bCs/>
          <w:i/>
          <w:iCs/>
          <w:kern w:val="0"/>
          <w:sz w:val="18"/>
          <w:szCs w:val="20"/>
          <w14:ligatures w14:val="none"/>
        </w:rPr>
        <w:t>P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>&lt;0.0001</w:t>
      </w:r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br/>
        <w:t xml:space="preserve">GP, general practitioner; </w:t>
      </w:r>
      <w:proofErr w:type="spellStart"/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>mepo</w:t>
      </w:r>
      <w:proofErr w:type="spellEnd"/>
      <w:r w:rsidRPr="003225EC">
        <w:rPr>
          <w:rFonts w:ascii="Arial" w:eastAsiaTheme="minorEastAsia" w:hAnsi="Arial" w:cs="Times New Roman"/>
          <w:kern w:val="0"/>
          <w:sz w:val="18"/>
          <w:szCs w:val="20"/>
          <w14:ligatures w14:val="none"/>
        </w:rPr>
        <w:t>, mepolizumab; NA, not available; PSP, patient support program</w:t>
      </w:r>
    </w:p>
    <w:p w14:paraId="05FD6432" w14:textId="77777777" w:rsidR="003225EC" w:rsidRPr="003225EC" w:rsidRDefault="003225EC" w:rsidP="003225EC">
      <w:pPr>
        <w:spacing w:after="240" w:line="480" w:lineRule="auto"/>
        <w:rPr>
          <w:rFonts w:ascii="Arial" w:eastAsia="Times New Roman" w:hAnsi="Arial" w:cs="Times New Roman"/>
          <w:kern w:val="0"/>
          <w:sz w:val="24"/>
          <w:szCs w:val="20"/>
          <w14:ligatures w14:val="none"/>
        </w:rPr>
      </w:pPr>
    </w:p>
    <w:p w14:paraId="7F8A8A6B" w14:textId="77777777" w:rsidR="00D22CF2" w:rsidRDefault="00D22CF2"/>
    <w:sectPr w:rsidR="00D22CF2" w:rsidSect="003225E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1CDA7" w14:textId="77777777" w:rsidR="003E09FF" w:rsidRDefault="003E09FF">
      <w:pPr>
        <w:spacing w:after="0" w:line="240" w:lineRule="auto"/>
      </w:pPr>
      <w:r>
        <w:separator/>
      </w:r>
    </w:p>
  </w:endnote>
  <w:endnote w:type="continuationSeparator" w:id="0">
    <w:p w14:paraId="4B075940" w14:textId="77777777" w:rsidR="003E09FF" w:rsidRDefault="003E0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DE035" w14:textId="77777777" w:rsidR="003E09FF" w:rsidRDefault="003E09FF">
      <w:pPr>
        <w:spacing w:after="0" w:line="240" w:lineRule="auto"/>
      </w:pPr>
      <w:r>
        <w:separator/>
      </w:r>
    </w:p>
  </w:footnote>
  <w:footnote w:type="continuationSeparator" w:id="0">
    <w:p w14:paraId="471736F8" w14:textId="77777777" w:rsidR="003E09FF" w:rsidRDefault="003E0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EC"/>
    <w:rsid w:val="00214978"/>
    <w:rsid w:val="003225EC"/>
    <w:rsid w:val="00377F30"/>
    <w:rsid w:val="0039110C"/>
    <w:rsid w:val="003E09FF"/>
    <w:rsid w:val="00793B9C"/>
    <w:rsid w:val="00D22CF2"/>
    <w:rsid w:val="00ED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82B0"/>
  <w15:chartTrackingRefBased/>
  <w15:docId w15:val="{7016A6CA-E9C5-4E81-A509-E7338366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5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5EC"/>
  </w:style>
  <w:style w:type="table" w:styleId="TableClassic1">
    <w:name w:val="Table Classic 1"/>
    <w:basedOn w:val="TableNormal"/>
    <w:rsid w:val="003225EC"/>
    <w:pPr>
      <w:spacing w:after="24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225EC"/>
  </w:style>
  <w:style w:type="paragraph" w:styleId="Footer">
    <w:name w:val="footer"/>
    <w:basedOn w:val="Normal"/>
    <w:link w:val="FooterChar"/>
    <w:uiPriority w:val="99"/>
    <w:unhideWhenUsed/>
    <w:rsid w:val="00793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Azraa Khan</dc:creator>
  <cp:keywords/>
  <dc:description/>
  <cp:lastModifiedBy>Ashfield MedComms</cp:lastModifiedBy>
  <cp:revision>3</cp:revision>
  <dcterms:created xsi:type="dcterms:W3CDTF">2023-12-08T10:56:00Z</dcterms:created>
  <dcterms:modified xsi:type="dcterms:W3CDTF">2023-12-08T10:57:00Z</dcterms:modified>
</cp:coreProperties>
</file>