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B0748" w14:textId="100D357D" w:rsidR="001C6AD9" w:rsidRPr="001942EC" w:rsidRDefault="001C6AD9" w:rsidP="001D18CE">
      <w:pPr>
        <w:pageBreakBefore/>
        <w:outlineLvl w:val="0"/>
        <w:rPr>
          <w:b/>
        </w:rPr>
      </w:pPr>
      <w:r w:rsidRPr="00EC788A">
        <w:rPr>
          <w:rFonts w:eastAsiaTheme="minorEastAsia"/>
          <w:b/>
          <w:bCs/>
          <w:sz w:val="30"/>
          <w:szCs w:val="30"/>
        </w:rPr>
        <w:t xml:space="preserve">Additional file </w:t>
      </w:r>
      <w:r>
        <w:rPr>
          <w:rFonts w:eastAsiaTheme="minorEastAsia"/>
          <w:b/>
          <w:bCs/>
          <w:sz w:val="30"/>
          <w:szCs w:val="30"/>
        </w:rPr>
        <w:t>3</w:t>
      </w:r>
      <w:r w:rsidR="001D18CE">
        <w:rPr>
          <w:rFonts w:eastAsiaTheme="minorEastAsia"/>
          <w:b/>
          <w:bCs/>
          <w:sz w:val="30"/>
          <w:szCs w:val="30"/>
        </w:rPr>
        <w:br/>
      </w:r>
      <w:r w:rsidRPr="001942EC">
        <w:rPr>
          <w:rFonts w:eastAsiaTheme="minorEastAsia"/>
          <w:b/>
        </w:rPr>
        <w:t xml:space="preserve">Supplementary </w:t>
      </w:r>
      <w:r>
        <w:rPr>
          <w:rFonts w:eastAsiaTheme="minorEastAsia"/>
          <w:b/>
        </w:rPr>
        <w:t>T</w:t>
      </w:r>
      <w:r w:rsidRPr="001942EC">
        <w:rPr>
          <w:rFonts w:eastAsiaTheme="minorEastAsia"/>
          <w:b/>
        </w:rPr>
        <w:t xml:space="preserve">able 3. </w:t>
      </w:r>
      <w:r w:rsidRPr="001942EC">
        <w:rPr>
          <w:rFonts w:eastAsiaTheme="minorEastAsia"/>
          <w:bCs/>
        </w:rPr>
        <w:t xml:space="preserve">Mean number of real-world outcomes for the </w:t>
      </w:r>
      <w:r w:rsidRPr="001942EC">
        <w:rPr>
          <w:bCs/>
        </w:rPr>
        <w:t>provincial drug coverage adherent subpopulation</w:t>
      </w:r>
      <w:r>
        <w:rPr>
          <w:bCs/>
        </w:rPr>
        <w:t>s</w:t>
      </w:r>
      <w:r w:rsidRPr="001942EC">
        <w:rPr>
          <w:rFonts w:eastAsiaTheme="minorEastAsia"/>
          <w:bCs/>
        </w:rPr>
        <w:t xml:space="preserve"> following mepolizumab initiation</w:t>
      </w:r>
    </w:p>
    <w:tbl>
      <w:tblPr>
        <w:tblStyle w:val="TableClassic1"/>
        <w:tblW w:w="14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757"/>
        <w:gridCol w:w="1531"/>
        <w:gridCol w:w="1531"/>
        <w:gridCol w:w="1531"/>
        <w:gridCol w:w="1531"/>
        <w:gridCol w:w="1531"/>
        <w:gridCol w:w="1531"/>
        <w:gridCol w:w="1531"/>
        <w:gridCol w:w="1573"/>
      </w:tblGrid>
      <w:tr w:rsidR="001C6AD9" w:rsidRPr="001942EC" w14:paraId="49D53D03" w14:textId="77777777" w:rsidTr="003B147B">
        <w:trPr>
          <w:trHeight w:val="617"/>
        </w:trPr>
        <w:tc>
          <w:tcPr>
            <w:tcW w:w="0" w:type="dxa"/>
            <w:vMerge w:val="restart"/>
            <w:vAlign w:val="center"/>
          </w:tcPr>
          <w:p w14:paraId="3B133F2E" w14:textId="77777777" w:rsidR="001C6AD9" w:rsidRPr="001942EC" w:rsidRDefault="001C6AD9" w:rsidP="003B147B">
            <w:pPr>
              <w:spacing w:after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dxa"/>
            <w:gridSpan w:val="2"/>
            <w:vMerge w:val="restart"/>
            <w:vAlign w:val="center"/>
          </w:tcPr>
          <w:p w14:paraId="6C6BA27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14:paraId="7843EE57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14:paraId="611B746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14:paraId="754E0D9A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1942EC">
              <w:rPr>
                <w:rFonts w:cs="Arial"/>
                <w:b/>
                <w:bCs/>
                <w:sz w:val="20"/>
              </w:rPr>
              <w:t>Provincial drug coverage subset population</w:t>
            </w:r>
          </w:p>
          <w:p w14:paraId="4E6CB9E4" w14:textId="62D7D65A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20"/>
              </w:rPr>
              <w:t>(n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1942EC">
              <w:rPr>
                <w:rFonts w:cs="Arial"/>
                <w:b/>
                <w:bCs/>
                <w:sz w:val="20"/>
              </w:rPr>
              <w:t>=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1942EC">
              <w:rPr>
                <w:rFonts w:cs="Arial"/>
                <w:b/>
                <w:bCs/>
                <w:sz w:val="20"/>
              </w:rPr>
              <w:t>113)</w:t>
            </w:r>
          </w:p>
        </w:tc>
        <w:tc>
          <w:tcPr>
            <w:tcW w:w="0" w:type="dxa"/>
            <w:gridSpan w:val="6"/>
            <w:vAlign w:val="center"/>
          </w:tcPr>
          <w:p w14:paraId="3C243DDD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1942EC">
              <w:rPr>
                <w:rFonts w:cs="Arial"/>
                <w:b/>
                <w:bCs/>
                <w:sz w:val="20"/>
              </w:rPr>
              <w:t>Provincial drug coverage subset adherent subpopulation</w:t>
            </w:r>
          </w:p>
          <w:p w14:paraId="55661F8D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1942EC">
              <w:rPr>
                <w:rFonts w:cs="Arial"/>
                <w:sz w:val="20"/>
              </w:rPr>
              <w:t>(≥9 treatments in 12 months)</w:t>
            </w:r>
          </w:p>
        </w:tc>
      </w:tr>
      <w:tr w:rsidR="001C6AD9" w:rsidRPr="001942EC" w14:paraId="77FFBB50" w14:textId="77777777" w:rsidTr="003B147B">
        <w:trPr>
          <w:trHeight w:val="547"/>
        </w:trPr>
        <w:tc>
          <w:tcPr>
            <w:tcW w:w="1757" w:type="dxa"/>
            <w:vMerge/>
            <w:vAlign w:val="center"/>
            <w:hideMark/>
          </w:tcPr>
          <w:p w14:paraId="14927F4C" w14:textId="77777777" w:rsidR="001C6AD9" w:rsidRPr="001942EC" w:rsidRDefault="001C6AD9" w:rsidP="003B147B">
            <w:pPr>
              <w:spacing w:after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dxa"/>
            <w:gridSpan w:val="2"/>
            <w:vMerge/>
            <w:vAlign w:val="center"/>
          </w:tcPr>
          <w:p w14:paraId="532A4CF7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center"/>
          </w:tcPr>
          <w:p w14:paraId="18D78F14" w14:textId="77777777" w:rsidR="001C6AD9" w:rsidRPr="00641DE8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641DE8">
              <w:rPr>
                <w:rFonts w:cs="Arial"/>
                <w:b/>
                <w:bCs/>
                <w:sz w:val="20"/>
              </w:rPr>
              <w:t>All patients</w:t>
            </w:r>
          </w:p>
          <w:p w14:paraId="2098A299" w14:textId="7B199B5E" w:rsidR="001C6AD9" w:rsidRPr="00641DE8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641DE8">
              <w:rPr>
                <w:rFonts w:cs="Arial"/>
                <w:b/>
                <w:bCs/>
                <w:sz w:val="20"/>
              </w:rPr>
              <w:t>(n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=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103)</w:t>
            </w:r>
          </w:p>
        </w:tc>
        <w:tc>
          <w:tcPr>
            <w:tcW w:w="0" w:type="dxa"/>
            <w:gridSpan w:val="2"/>
            <w:vAlign w:val="center"/>
          </w:tcPr>
          <w:p w14:paraId="1AA28121" w14:textId="2E4BAD99" w:rsidR="001C6AD9" w:rsidRPr="00641DE8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641DE8">
              <w:rPr>
                <w:rFonts w:cs="Arial"/>
                <w:b/>
                <w:bCs/>
                <w:sz w:val="20"/>
              </w:rPr>
              <w:t>≥2 baseline exacerbations and ≥300 cells/µL (n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=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29)</w:t>
            </w:r>
          </w:p>
        </w:tc>
        <w:tc>
          <w:tcPr>
            <w:tcW w:w="0" w:type="dxa"/>
            <w:gridSpan w:val="2"/>
            <w:vAlign w:val="center"/>
          </w:tcPr>
          <w:p w14:paraId="674095A5" w14:textId="77777777" w:rsidR="001C6AD9" w:rsidRPr="00641DE8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641DE8">
              <w:rPr>
                <w:rFonts w:cs="Arial"/>
                <w:b/>
                <w:bCs/>
                <w:sz w:val="20"/>
              </w:rPr>
              <w:t>≥3 baseline exacerbations</w:t>
            </w:r>
          </w:p>
          <w:p w14:paraId="33B9BFCC" w14:textId="0E072C3C" w:rsidR="001C6AD9" w:rsidRPr="00641DE8" w:rsidRDefault="001C6AD9" w:rsidP="003B147B">
            <w:pPr>
              <w:spacing w:after="0"/>
              <w:jc w:val="center"/>
              <w:rPr>
                <w:rFonts w:cs="Arial"/>
                <w:sz w:val="20"/>
              </w:rPr>
            </w:pPr>
            <w:r w:rsidRPr="00641DE8">
              <w:rPr>
                <w:rFonts w:cs="Arial"/>
                <w:b/>
                <w:bCs/>
                <w:sz w:val="20"/>
              </w:rPr>
              <w:t>(n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=</w:t>
            </w:r>
            <w:r w:rsidR="001D18CE">
              <w:rPr>
                <w:rFonts w:cs="Arial"/>
                <w:b/>
                <w:bCs/>
                <w:sz w:val="20"/>
              </w:rPr>
              <w:t xml:space="preserve"> </w:t>
            </w:r>
            <w:r w:rsidRPr="00641DE8">
              <w:rPr>
                <w:rFonts w:cs="Arial"/>
                <w:b/>
                <w:bCs/>
                <w:sz w:val="20"/>
              </w:rPr>
              <w:t>26)</w:t>
            </w:r>
          </w:p>
        </w:tc>
      </w:tr>
      <w:tr w:rsidR="001C6AD9" w:rsidRPr="001942EC" w14:paraId="394791AD" w14:textId="77777777" w:rsidTr="003B147B">
        <w:trPr>
          <w:trHeight w:val="369"/>
        </w:trPr>
        <w:tc>
          <w:tcPr>
            <w:tcW w:w="1757" w:type="dxa"/>
            <w:vAlign w:val="center"/>
          </w:tcPr>
          <w:p w14:paraId="28C1F3D6" w14:textId="77777777" w:rsidR="001C6AD9" w:rsidRPr="001942EC" w:rsidRDefault="001C6AD9" w:rsidP="003B147B">
            <w:pPr>
              <w:spacing w:after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33B41150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1E09093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5BB39D68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14AA867C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6CF6058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353E2A7D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31" w:type="dxa"/>
            <w:vAlign w:val="center"/>
          </w:tcPr>
          <w:p w14:paraId="2CF0C45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573" w:type="dxa"/>
            <w:vAlign w:val="center"/>
          </w:tcPr>
          <w:p w14:paraId="2BAA248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1942EC">
              <w:rPr>
                <w:rFonts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</w:tr>
      <w:tr w:rsidR="001C6AD9" w:rsidRPr="001942EC" w14:paraId="2D2EC35A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</w:tcPr>
          <w:p w14:paraId="09AC7CC2" w14:textId="77777777" w:rsidR="001C6AD9" w:rsidRPr="001942EC" w:rsidRDefault="001C6AD9" w:rsidP="003B147B">
            <w:pPr>
              <w:spacing w:after="0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Exacerbations, n</w:t>
            </w:r>
          </w:p>
        </w:tc>
        <w:tc>
          <w:tcPr>
            <w:tcW w:w="0" w:type="dxa"/>
            <w:vAlign w:val="center"/>
          </w:tcPr>
          <w:p w14:paraId="393AC8F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1.71</w:t>
            </w:r>
          </w:p>
        </w:tc>
        <w:tc>
          <w:tcPr>
            <w:tcW w:w="0" w:type="dxa"/>
            <w:vAlign w:val="center"/>
          </w:tcPr>
          <w:p w14:paraId="1F3C5ED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0.95</w:t>
            </w:r>
          </w:p>
        </w:tc>
        <w:tc>
          <w:tcPr>
            <w:tcW w:w="0" w:type="dxa"/>
            <w:vAlign w:val="center"/>
          </w:tcPr>
          <w:p w14:paraId="6A0EE69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1.76</w:t>
            </w:r>
          </w:p>
        </w:tc>
        <w:tc>
          <w:tcPr>
            <w:tcW w:w="0" w:type="dxa"/>
            <w:vAlign w:val="center"/>
          </w:tcPr>
          <w:p w14:paraId="58B05D08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1.00</w:t>
            </w:r>
          </w:p>
        </w:tc>
        <w:tc>
          <w:tcPr>
            <w:tcW w:w="0" w:type="dxa"/>
            <w:vAlign w:val="center"/>
          </w:tcPr>
          <w:p w14:paraId="00EDEEA0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4.07</w:t>
            </w:r>
          </w:p>
        </w:tc>
        <w:tc>
          <w:tcPr>
            <w:tcW w:w="0" w:type="dxa"/>
            <w:vAlign w:val="center"/>
          </w:tcPr>
          <w:p w14:paraId="42E8271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1.69</w:t>
            </w:r>
          </w:p>
        </w:tc>
        <w:tc>
          <w:tcPr>
            <w:tcW w:w="0" w:type="dxa"/>
            <w:vAlign w:val="center"/>
          </w:tcPr>
          <w:p w14:paraId="5F31B68A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4.85</w:t>
            </w:r>
          </w:p>
        </w:tc>
        <w:tc>
          <w:tcPr>
            <w:tcW w:w="0" w:type="dxa"/>
            <w:vAlign w:val="center"/>
          </w:tcPr>
          <w:p w14:paraId="1134AF1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2.27</w:t>
            </w:r>
          </w:p>
        </w:tc>
      </w:tr>
      <w:tr w:rsidR="001C6AD9" w:rsidRPr="001942EC" w14:paraId="2C0AAAEF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76092909" w14:textId="77777777" w:rsidR="001C6AD9" w:rsidRPr="001942EC" w:rsidRDefault="001C6AD9" w:rsidP="003B147B">
            <w:pPr>
              <w:spacing w:after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58783A3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–44.4%***</w:t>
            </w:r>
          </w:p>
        </w:tc>
        <w:tc>
          <w:tcPr>
            <w:tcW w:w="3062" w:type="dxa"/>
            <w:gridSpan w:val="2"/>
            <w:vAlign w:val="center"/>
          </w:tcPr>
          <w:p w14:paraId="175DA127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–43.2%**</w:t>
            </w:r>
          </w:p>
        </w:tc>
        <w:tc>
          <w:tcPr>
            <w:tcW w:w="3062" w:type="dxa"/>
            <w:gridSpan w:val="2"/>
            <w:vAlign w:val="center"/>
          </w:tcPr>
          <w:p w14:paraId="7DFC1AD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–58.5%</w:t>
            </w:r>
          </w:p>
        </w:tc>
        <w:tc>
          <w:tcPr>
            <w:tcW w:w="3104" w:type="dxa"/>
            <w:gridSpan w:val="2"/>
            <w:vAlign w:val="center"/>
          </w:tcPr>
          <w:p w14:paraId="4B9EF430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–53.2%</w:t>
            </w:r>
          </w:p>
        </w:tc>
      </w:tr>
      <w:tr w:rsidR="001C6AD9" w:rsidRPr="001942EC" w14:paraId="7AA498F5" w14:textId="77777777" w:rsidTr="003B147B">
        <w:trPr>
          <w:trHeight w:val="369"/>
        </w:trPr>
        <w:tc>
          <w:tcPr>
            <w:tcW w:w="0" w:type="dxa"/>
            <w:gridSpan w:val="9"/>
            <w:vAlign w:val="center"/>
          </w:tcPr>
          <w:p w14:paraId="304C4FF8" w14:textId="77777777" w:rsidR="001C6AD9" w:rsidRPr="001942EC" w:rsidRDefault="001C6AD9" w:rsidP="003B147B">
            <w:pPr>
              <w:spacing w:after="0"/>
              <w:rPr>
                <w:rFonts w:cs="Arial"/>
                <w:color w:val="000000" w:themeColor="text1"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Asthma-related visits, n</w:t>
            </w:r>
          </w:p>
        </w:tc>
      </w:tr>
      <w:tr w:rsidR="001C6AD9" w:rsidRPr="001942EC" w14:paraId="6B3DE900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  <w:hideMark/>
          </w:tcPr>
          <w:p w14:paraId="178CF43B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GP</w:t>
            </w:r>
          </w:p>
        </w:tc>
        <w:tc>
          <w:tcPr>
            <w:tcW w:w="0" w:type="dxa"/>
            <w:vAlign w:val="center"/>
          </w:tcPr>
          <w:p w14:paraId="15822D6A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3.94</w:t>
            </w:r>
          </w:p>
        </w:tc>
        <w:tc>
          <w:tcPr>
            <w:tcW w:w="0" w:type="dxa"/>
            <w:vAlign w:val="center"/>
          </w:tcPr>
          <w:p w14:paraId="3E14F4E7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2.53</w:t>
            </w:r>
          </w:p>
        </w:tc>
        <w:tc>
          <w:tcPr>
            <w:tcW w:w="0" w:type="dxa"/>
            <w:vAlign w:val="center"/>
          </w:tcPr>
          <w:p w14:paraId="4504210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4.07</w:t>
            </w:r>
          </w:p>
        </w:tc>
        <w:tc>
          <w:tcPr>
            <w:tcW w:w="0" w:type="dxa"/>
            <w:vAlign w:val="center"/>
          </w:tcPr>
          <w:p w14:paraId="4A72EA18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2.59</w:t>
            </w:r>
          </w:p>
        </w:tc>
        <w:tc>
          <w:tcPr>
            <w:tcW w:w="0" w:type="dxa"/>
            <w:vAlign w:val="center"/>
          </w:tcPr>
          <w:p w14:paraId="358B868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6.45</w:t>
            </w:r>
          </w:p>
        </w:tc>
        <w:tc>
          <w:tcPr>
            <w:tcW w:w="0" w:type="dxa"/>
            <w:vAlign w:val="center"/>
          </w:tcPr>
          <w:p w14:paraId="44B5449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3.41</w:t>
            </w:r>
          </w:p>
        </w:tc>
        <w:tc>
          <w:tcPr>
            <w:tcW w:w="0" w:type="dxa"/>
            <w:vAlign w:val="center"/>
          </w:tcPr>
          <w:p w14:paraId="7914E9E8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7.62</w:t>
            </w:r>
          </w:p>
        </w:tc>
        <w:tc>
          <w:tcPr>
            <w:tcW w:w="0" w:type="dxa"/>
            <w:vAlign w:val="center"/>
          </w:tcPr>
          <w:p w14:paraId="325E6B0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4.12</w:t>
            </w:r>
          </w:p>
        </w:tc>
      </w:tr>
      <w:tr w:rsidR="001C6AD9" w:rsidRPr="001942EC" w14:paraId="6DC6F6B3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41209AF0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1AE4BF6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–35.8%***</w:t>
            </w:r>
          </w:p>
        </w:tc>
        <w:tc>
          <w:tcPr>
            <w:tcW w:w="3062" w:type="dxa"/>
            <w:gridSpan w:val="2"/>
            <w:vAlign w:val="center"/>
          </w:tcPr>
          <w:p w14:paraId="5490BB6C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–36.4%***</w:t>
            </w:r>
          </w:p>
        </w:tc>
        <w:tc>
          <w:tcPr>
            <w:tcW w:w="3062" w:type="dxa"/>
            <w:gridSpan w:val="2"/>
            <w:vAlign w:val="center"/>
          </w:tcPr>
          <w:p w14:paraId="4F72FD9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–47.1%</w:t>
            </w:r>
          </w:p>
        </w:tc>
        <w:tc>
          <w:tcPr>
            <w:tcW w:w="3104" w:type="dxa"/>
            <w:gridSpan w:val="2"/>
            <w:vAlign w:val="center"/>
          </w:tcPr>
          <w:p w14:paraId="0978790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–45.9%</w:t>
            </w:r>
          </w:p>
        </w:tc>
      </w:tr>
      <w:tr w:rsidR="001C6AD9" w:rsidRPr="001942EC" w14:paraId="37C47931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  <w:hideMark/>
          </w:tcPr>
          <w:p w14:paraId="04F31AFB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Specialist</w:t>
            </w:r>
          </w:p>
        </w:tc>
        <w:tc>
          <w:tcPr>
            <w:tcW w:w="0" w:type="dxa"/>
            <w:vAlign w:val="center"/>
          </w:tcPr>
          <w:p w14:paraId="7D5EBCA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4.95</w:t>
            </w:r>
          </w:p>
        </w:tc>
        <w:tc>
          <w:tcPr>
            <w:tcW w:w="0" w:type="dxa"/>
            <w:vAlign w:val="center"/>
          </w:tcPr>
          <w:p w14:paraId="3678A96A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3.65</w:t>
            </w:r>
          </w:p>
        </w:tc>
        <w:tc>
          <w:tcPr>
            <w:tcW w:w="0" w:type="dxa"/>
            <w:vAlign w:val="center"/>
          </w:tcPr>
          <w:p w14:paraId="4E08117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5.01</w:t>
            </w:r>
          </w:p>
        </w:tc>
        <w:tc>
          <w:tcPr>
            <w:tcW w:w="0" w:type="dxa"/>
            <w:vAlign w:val="center"/>
          </w:tcPr>
          <w:p w14:paraId="2692C06C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3.63</w:t>
            </w:r>
          </w:p>
        </w:tc>
        <w:tc>
          <w:tcPr>
            <w:tcW w:w="0" w:type="dxa"/>
            <w:vAlign w:val="center"/>
          </w:tcPr>
          <w:p w14:paraId="66ECBFE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6.34</w:t>
            </w:r>
          </w:p>
        </w:tc>
        <w:tc>
          <w:tcPr>
            <w:tcW w:w="0" w:type="dxa"/>
            <w:vAlign w:val="center"/>
          </w:tcPr>
          <w:p w14:paraId="238BFF5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4.52</w:t>
            </w:r>
          </w:p>
        </w:tc>
        <w:tc>
          <w:tcPr>
            <w:tcW w:w="0" w:type="dxa"/>
            <w:vAlign w:val="center"/>
          </w:tcPr>
          <w:p w14:paraId="4CCFFD2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6.85</w:t>
            </w:r>
          </w:p>
        </w:tc>
        <w:tc>
          <w:tcPr>
            <w:tcW w:w="0" w:type="dxa"/>
            <w:vAlign w:val="center"/>
          </w:tcPr>
          <w:p w14:paraId="622EC83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4.42</w:t>
            </w:r>
          </w:p>
        </w:tc>
      </w:tr>
      <w:tr w:rsidR="001C6AD9" w:rsidRPr="001942EC" w14:paraId="206E61E2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076A2D03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0F4D884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26.3%***</w:t>
            </w:r>
          </w:p>
        </w:tc>
        <w:tc>
          <w:tcPr>
            <w:tcW w:w="3062" w:type="dxa"/>
            <w:gridSpan w:val="2"/>
            <w:vAlign w:val="center"/>
          </w:tcPr>
          <w:p w14:paraId="2C71205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–27.5%***</w:t>
            </w:r>
          </w:p>
        </w:tc>
        <w:tc>
          <w:tcPr>
            <w:tcW w:w="3062" w:type="dxa"/>
            <w:gridSpan w:val="2"/>
            <w:vAlign w:val="center"/>
          </w:tcPr>
          <w:p w14:paraId="0AF2BE0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–28.7%</w:t>
            </w:r>
          </w:p>
        </w:tc>
        <w:tc>
          <w:tcPr>
            <w:tcW w:w="3104" w:type="dxa"/>
            <w:gridSpan w:val="2"/>
            <w:vAlign w:val="center"/>
          </w:tcPr>
          <w:p w14:paraId="1D7158F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–35.5%</w:t>
            </w:r>
          </w:p>
        </w:tc>
      </w:tr>
      <w:tr w:rsidR="001C6AD9" w:rsidRPr="001942EC" w14:paraId="1DD1A83D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  <w:hideMark/>
          </w:tcPr>
          <w:p w14:paraId="45ADDB64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Emergency department</w:t>
            </w:r>
          </w:p>
        </w:tc>
        <w:tc>
          <w:tcPr>
            <w:tcW w:w="0" w:type="dxa"/>
            <w:vAlign w:val="center"/>
          </w:tcPr>
          <w:p w14:paraId="39C65F5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1.12</w:t>
            </w:r>
          </w:p>
        </w:tc>
        <w:tc>
          <w:tcPr>
            <w:tcW w:w="0" w:type="dxa"/>
            <w:vAlign w:val="center"/>
          </w:tcPr>
          <w:p w14:paraId="0A43BE6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0.71</w:t>
            </w:r>
          </w:p>
        </w:tc>
        <w:tc>
          <w:tcPr>
            <w:tcW w:w="0" w:type="dxa"/>
            <w:vAlign w:val="center"/>
          </w:tcPr>
          <w:p w14:paraId="63EB772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1.17</w:t>
            </w:r>
          </w:p>
        </w:tc>
        <w:tc>
          <w:tcPr>
            <w:tcW w:w="0" w:type="dxa"/>
            <w:vAlign w:val="center"/>
          </w:tcPr>
          <w:p w14:paraId="5B475D9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0.72</w:t>
            </w:r>
          </w:p>
        </w:tc>
        <w:tc>
          <w:tcPr>
            <w:tcW w:w="0" w:type="dxa"/>
            <w:vAlign w:val="center"/>
          </w:tcPr>
          <w:p w14:paraId="5BDF950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2.10</w:t>
            </w:r>
          </w:p>
        </w:tc>
        <w:tc>
          <w:tcPr>
            <w:tcW w:w="0" w:type="dxa"/>
            <w:vAlign w:val="center"/>
          </w:tcPr>
          <w:p w14:paraId="2B64CF1D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1.45</w:t>
            </w:r>
          </w:p>
        </w:tc>
        <w:tc>
          <w:tcPr>
            <w:tcW w:w="0" w:type="dxa"/>
            <w:vAlign w:val="center"/>
          </w:tcPr>
          <w:p w14:paraId="556A4D6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3.23</w:t>
            </w:r>
          </w:p>
        </w:tc>
        <w:tc>
          <w:tcPr>
            <w:tcW w:w="0" w:type="dxa"/>
            <w:vAlign w:val="center"/>
          </w:tcPr>
          <w:p w14:paraId="6A280EE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2.00</w:t>
            </w:r>
          </w:p>
        </w:tc>
      </w:tr>
      <w:tr w:rsidR="001C6AD9" w:rsidRPr="001942EC" w14:paraId="55BE467E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0F2FF598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3DED7BF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36.6%*</w:t>
            </w:r>
          </w:p>
        </w:tc>
        <w:tc>
          <w:tcPr>
            <w:tcW w:w="3062" w:type="dxa"/>
            <w:gridSpan w:val="2"/>
            <w:vAlign w:val="center"/>
          </w:tcPr>
          <w:p w14:paraId="5ABAACD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–38.5</w:t>
            </w: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%</w:t>
            </w:r>
            <w:r w:rsidRPr="001942EC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3062" w:type="dxa"/>
            <w:gridSpan w:val="2"/>
            <w:vAlign w:val="center"/>
          </w:tcPr>
          <w:p w14:paraId="4684BD3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–31.0%</w:t>
            </w:r>
          </w:p>
        </w:tc>
        <w:tc>
          <w:tcPr>
            <w:tcW w:w="3104" w:type="dxa"/>
            <w:gridSpan w:val="2"/>
            <w:vAlign w:val="center"/>
          </w:tcPr>
          <w:p w14:paraId="6D5AF6E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–38.1%</w:t>
            </w:r>
          </w:p>
        </w:tc>
      </w:tr>
      <w:tr w:rsidR="001C6AD9" w:rsidRPr="001942EC" w14:paraId="387A7FFD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  <w:hideMark/>
          </w:tcPr>
          <w:p w14:paraId="7FA33C7E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lastRenderedPageBreak/>
              <w:t xml:space="preserve">Inpatient hospitalization </w:t>
            </w:r>
          </w:p>
        </w:tc>
        <w:tc>
          <w:tcPr>
            <w:tcW w:w="0" w:type="dxa"/>
            <w:vAlign w:val="center"/>
          </w:tcPr>
          <w:p w14:paraId="34549D1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0.45</w:t>
            </w:r>
          </w:p>
        </w:tc>
        <w:tc>
          <w:tcPr>
            <w:tcW w:w="0" w:type="dxa"/>
            <w:vAlign w:val="center"/>
          </w:tcPr>
          <w:p w14:paraId="2D1C5EB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0.27</w:t>
            </w:r>
          </w:p>
        </w:tc>
        <w:tc>
          <w:tcPr>
            <w:tcW w:w="0" w:type="dxa"/>
            <w:vAlign w:val="center"/>
          </w:tcPr>
          <w:p w14:paraId="346B668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0.49</w:t>
            </w:r>
          </w:p>
        </w:tc>
        <w:tc>
          <w:tcPr>
            <w:tcW w:w="0" w:type="dxa"/>
            <w:vAlign w:val="center"/>
          </w:tcPr>
          <w:p w14:paraId="174847A5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0.30</w:t>
            </w:r>
          </w:p>
        </w:tc>
        <w:tc>
          <w:tcPr>
            <w:tcW w:w="0" w:type="dxa"/>
            <w:vAlign w:val="center"/>
          </w:tcPr>
          <w:p w14:paraId="4AF1442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0.90</w:t>
            </w:r>
          </w:p>
        </w:tc>
        <w:tc>
          <w:tcPr>
            <w:tcW w:w="0" w:type="dxa"/>
            <w:vAlign w:val="center"/>
          </w:tcPr>
          <w:p w14:paraId="24D17E3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0.69</w:t>
            </w:r>
          </w:p>
        </w:tc>
        <w:tc>
          <w:tcPr>
            <w:tcW w:w="0" w:type="dxa"/>
            <w:vAlign w:val="center"/>
          </w:tcPr>
          <w:p w14:paraId="13E4C8B9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1.42</w:t>
            </w:r>
          </w:p>
        </w:tc>
        <w:tc>
          <w:tcPr>
            <w:tcW w:w="0" w:type="dxa"/>
            <w:vAlign w:val="center"/>
          </w:tcPr>
          <w:p w14:paraId="4AF51D8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0.96</w:t>
            </w:r>
          </w:p>
        </w:tc>
      </w:tr>
      <w:tr w:rsidR="001C6AD9" w:rsidRPr="001942EC" w14:paraId="192695B1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4E8CCC60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0A8952F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40.0%*</w:t>
            </w:r>
          </w:p>
        </w:tc>
        <w:tc>
          <w:tcPr>
            <w:tcW w:w="3062" w:type="dxa"/>
            <w:gridSpan w:val="2"/>
            <w:vAlign w:val="center"/>
          </w:tcPr>
          <w:p w14:paraId="513FE01C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–38.8</w:t>
            </w: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%</w:t>
            </w:r>
            <w:r w:rsidRPr="001942EC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3062" w:type="dxa"/>
            <w:gridSpan w:val="2"/>
            <w:vAlign w:val="center"/>
          </w:tcPr>
          <w:p w14:paraId="1A8575FB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–23.3%</w:t>
            </w:r>
          </w:p>
        </w:tc>
        <w:tc>
          <w:tcPr>
            <w:tcW w:w="3104" w:type="dxa"/>
            <w:gridSpan w:val="2"/>
            <w:vAlign w:val="center"/>
          </w:tcPr>
          <w:p w14:paraId="0D0BCF9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–32.4%</w:t>
            </w:r>
          </w:p>
        </w:tc>
      </w:tr>
      <w:tr w:rsidR="001C6AD9" w:rsidRPr="001942EC" w14:paraId="3126963A" w14:textId="77777777" w:rsidTr="003B147B">
        <w:trPr>
          <w:trHeight w:val="369"/>
        </w:trPr>
        <w:tc>
          <w:tcPr>
            <w:tcW w:w="0" w:type="dxa"/>
            <w:gridSpan w:val="9"/>
            <w:vAlign w:val="center"/>
          </w:tcPr>
          <w:p w14:paraId="78495AA0" w14:textId="77777777" w:rsidR="001C6AD9" w:rsidRPr="001942EC" w:rsidRDefault="001C6AD9" w:rsidP="003B147B">
            <w:pPr>
              <w:spacing w:after="0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b/>
                <w:bCs/>
                <w:sz w:val="18"/>
                <w:szCs w:val="18"/>
              </w:rPr>
              <w:t>Treatment claims, n</w:t>
            </w:r>
          </w:p>
        </w:tc>
      </w:tr>
      <w:tr w:rsidR="001C6AD9" w:rsidRPr="001942EC" w14:paraId="6CC8248D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</w:tcPr>
          <w:p w14:paraId="305DEA57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OCS</w:t>
            </w:r>
          </w:p>
        </w:tc>
        <w:tc>
          <w:tcPr>
            <w:tcW w:w="0" w:type="dxa"/>
            <w:vAlign w:val="center"/>
          </w:tcPr>
          <w:p w14:paraId="1DF3D915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4.77</w:t>
            </w:r>
          </w:p>
        </w:tc>
        <w:tc>
          <w:tcPr>
            <w:tcW w:w="0" w:type="dxa"/>
            <w:vAlign w:val="center"/>
          </w:tcPr>
          <w:p w14:paraId="2EDBCD6D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3.19</w:t>
            </w:r>
          </w:p>
        </w:tc>
        <w:tc>
          <w:tcPr>
            <w:tcW w:w="0" w:type="dxa"/>
            <w:vAlign w:val="center"/>
          </w:tcPr>
          <w:p w14:paraId="41649D6C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4.85</w:t>
            </w:r>
          </w:p>
        </w:tc>
        <w:tc>
          <w:tcPr>
            <w:tcW w:w="0" w:type="dxa"/>
            <w:vAlign w:val="center"/>
          </w:tcPr>
          <w:p w14:paraId="4BF8155F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3.21</w:t>
            </w:r>
          </w:p>
        </w:tc>
        <w:tc>
          <w:tcPr>
            <w:tcW w:w="0" w:type="dxa"/>
            <w:vAlign w:val="center"/>
          </w:tcPr>
          <w:p w14:paraId="0758AEE3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6.10</w:t>
            </w:r>
          </w:p>
        </w:tc>
        <w:tc>
          <w:tcPr>
            <w:tcW w:w="0" w:type="dxa"/>
            <w:vAlign w:val="center"/>
          </w:tcPr>
          <w:p w14:paraId="7039F7FA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3.83</w:t>
            </w:r>
          </w:p>
        </w:tc>
        <w:tc>
          <w:tcPr>
            <w:tcW w:w="0" w:type="dxa"/>
            <w:vAlign w:val="center"/>
          </w:tcPr>
          <w:p w14:paraId="7AEB36E4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6.65</w:t>
            </w:r>
          </w:p>
        </w:tc>
        <w:tc>
          <w:tcPr>
            <w:tcW w:w="0" w:type="dxa"/>
            <w:vAlign w:val="center"/>
          </w:tcPr>
          <w:p w14:paraId="2CA5B972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4.38</w:t>
            </w:r>
          </w:p>
        </w:tc>
      </w:tr>
      <w:tr w:rsidR="001C6AD9" w:rsidRPr="001942EC" w14:paraId="042D11F4" w14:textId="77777777" w:rsidTr="003B147B">
        <w:trPr>
          <w:trHeight w:val="369"/>
        </w:trPr>
        <w:tc>
          <w:tcPr>
            <w:tcW w:w="1757" w:type="dxa"/>
            <w:vMerge/>
            <w:vAlign w:val="center"/>
          </w:tcPr>
          <w:p w14:paraId="552F22C4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0C55A8A0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33.1%***</w:t>
            </w:r>
          </w:p>
        </w:tc>
        <w:tc>
          <w:tcPr>
            <w:tcW w:w="3062" w:type="dxa"/>
            <w:gridSpan w:val="2"/>
            <w:vAlign w:val="center"/>
          </w:tcPr>
          <w:p w14:paraId="4D32B96C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33.8%**</w:t>
            </w:r>
          </w:p>
        </w:tc>
        <w:tc>
          <w:tcPr>
            <w:tcW w:w="3062" w:type="dxa"/>
            <w:gridSpan w:val="2"/>
            <w:vAlign w:val="center"/>
          </w:tcPr>
          <w:p w14:paraId="2E00400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–37.2%</w:t>
            </w:r>
          </w:p>
        </w:tc>
        <w:tc>
          <w:tcPr>
            <w:tcW w:w="3104" w:type="dxa"/>
            <w:gridSpan w:val="2"/>
            <w:vAlign w:val="center"/>
          </w:tcPr>
          <w:p w14:paraId="5AA4ED3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–34.1%</w:t>
            </w:r>
          </w:p>
        </w:tc>
      </w:tr>
      <w:tr w:rsidR="001C6AD9" w:rsidRPr="001942EC" w14:paraId="333D153D" w14:textId="77777777" w:rsidTr="003B147B">
        <w:trPr>
          <w:trHeight w:val="369"/>
        </w:trPr>
        <w:tc>
          <w:tcPr>
            <w:tcW w:w="0" w:type="dxa"/>
            <w:vMerge w:val="restart"/>
            <w:vAlign w:val="center"/>
          </w:tcPr>
          <w:p w14:paraId="50166F3E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SABA</w:t>
            </w:r>
          </w:p>
        </w:tc>
        <w:tc>
          <w:tcPr>
            <w:tcW w:w="0" w:type="dxa"/>
            <w:vAlign w:val="center"/>
          </w:tcPr>
          <w:p w14:paraId="07B680CF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1942EC">
              <w:rPr>
                <w:rFonts w:cs="Arial"/>
                <w:color w:val="000000" w:themeColor="text1"/>
                <w:sz w:val="18"/>
                <w:szCs w:val="18"/>
              </w:rPr>
              <w:t>4.96</w:t>
            </w:r>
          </w:p>
        </w:tc>
        <w:tc>
          <w:tcPr>
            <w:tcW w:w="0" w:type="dxa"/>
            <w:vAlign w:val="center"/>
          </w:tcPr>
          <w:p w14:paraId="7F782C29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4.04</w:t>
            </w:r>
          </w:p>
        </w:tc>
        <w:tc>
          <w:tcPr>
            <w:tcW w:w="0" w:type="dxa"/>
            <w:vAlign w:val="center"/>
          </w:tcPr>
          <w:p w14:paraId="40430C1E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5.11</w:t>
            </w:r>
          </w:p>
        </w:tc>
        <w:tc>
          <w:tcPr>
            <w:tcW w:w="0" w:type="dxa"/>
            <w:vAlign w:val="center"/>
          </w:tcPr>
          <w:p w14:paraId="6734B20A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4.08</w:t>
            </w:r>
          </w:p>
        </w:tc>
        <w:tc>
          <w:tcPr>
            <w:tcW w:w="0" w:type="dxa"/>
            <w:vAlign w:val="center"/>
          </w:tcPr>
          <w:p w14:paraId="6B9F0CFC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6.10</w:t>
            </w:r>
          </w:p>
        </w:tc>
        <w:tc>
          <w:tcPr>
            <w:tcW w:w="0" w:type="dxa"/>
            <w:vAlign w:val="center"/>
          </w:tcPr>
          <w:p w14:paraId="4FC21A34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4.59</w:t>
            </w:r>
          </w:p>
        </w:tc>
        <w:tc>
          <w:tcPr>
            <w:tcW w:w="0" w:type="dxa"/>
            <w:vAlign w:val="center"/>
          </w:tcPr>
          <w:p w14:paraId="64742411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6.50</w:t>
            </w:r>
          </w:p>
        </w:tc>
        <w:tc>
          <w:tcPr>
            <w:tcW w:w="0" w:type="dxa"/>
            <w:vAlign w:val="center"/>
          </w:tcPr>
          <w:p w14:paraId="56987E96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4.81</w:t>
            </w:r>
          </w:p>
        </w:tc>
      </w:tr>
      <w:tr w:rsidR="001C6AD9" w:rsidRPr="001942EC" w14:paraId="0AD5A00C" w14:textId="77777777" w:rsidTr="003B147B">
        <w:trPr>
          <w:trHeight w:val="322"/>
        </w:trPr>
        <w:tc>
          <w:tcPr>
            <w:tcW w:w="1757" w:type="dxa"/>
            <w:vMerge/>
            <w:vAlign w:val="center"/>
          </w:tcPr>
          <w:p w14:paraId="49648958" w14:textId="77777777" w:rsidR="001C6AD9" w:rsidRPr="001942EC" w:rsidRDefault="001C6AD9" w:rsidP="003B147B">
            <w:pPr>
              <w:spacing w:after="0"/>
              <w:ind w:left="306"/>
              <w:rPr>
                <w:rFonts w:cs="Arial"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vAlign w:val="center"/>
          </w:tcPr>
          <w:p w14:paraId="30F5DA0C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18.6%**</w:t>
            </w:r>
          </w:p>
        </w:tc>
        <w:tc>
          <w:tcPr>
            <w:tcW w:w="3062" w:type="dxa"/>
            <w:gridSpan w:val="2"/>
            <w:vAlign w:val="center"/>
          </w:tcPr>
          <w:p w14:paraId="62BAD978" w14:textId="77777777" w:rsidR="001C6AD9" w:rsidRPr="001942EC" w:rsidRDefault="001C6AD9" w:rsidP="003B147B">
            <w:pPr>
              <w:spacing w:after="0"/>
              <w:jc w:val="center"/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</w:pPr>
            <w:r w:rsidRPr="001942EC">
              <w:rPr>
                <w:rFonts w:cs="Arial"/>
                <w:sz w:val="18"/>
                <w:szCs w:val="18"/>
              </w:rPr>
              <w:t>–</w:t>
            </w:r>
            <w:r w:rsidRPr="001942EC">
              <w:rPr>
                <w:rFonts w:eastAsiaTheme="minorEastAsia" w:cs="Arial"/>
                <w:color w:val="000000"/>
                <w:kern w:val="24"/>
                <w:sz w:val="18"/>
                <w:szCs w:val="18"/>
              </w:rPr>
              <w:t>20.2%**</w:t>
            </w:r>
          </w:p>
        </w:tc>
        <w:tc>
          <w:tcPr>
            <w:tcW w:w="3062" w:type="dxa"/>
            <w:gridSpan w:val="2"/>
            <w:vAlign w:val="center"/>
          </w:tcPr>
          <w:p w14:paraId="3535CC00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1942EC">
              <w:rPr>
                <w:rFonts w:cs="Arial"/>
                <w:sz w:val="18"/>
                <w:szCs w:val="18"/>
              </w:rPr>
              <w:t>–24.8%</w:t>
            </w:r>
          </w:p>
        </w:tc>
        <w:tc>
          <w:tcPr>
            <w:tcW w:w="3104" w:type="dxa"/>
            <w:gridSpan w:val="2"/>
            <w:vAlign w:val="center"/>
          </w:tcPr>
          <w:p w14:paraId="6BDFFC0E" w14:textId="77777777" w:rsidR="001C6AD9" w:rsidRPr="001942EC" w:rsidRDefault="001C6AD9" w:rsidP="003B147B">
            <w:pPr>
              <w:spacing w:after="0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1942EC">
              <w:rPr>
                <w:rFonts w:cs="Arial"/>
                <w:sz w:val="18"/>
                <w:szCs w:val="18"/>
              </w:rPr>
              <w:t>–26.0%</w:t>
            </w:r>
          </w:p>
        </w:tc>
      </w:tr>
    </w:tbl>
    <w:p w14:paraId="4069A2AF" w14:textId="77777777" w:rsidR="001C6AD9" w:rsidRPr="001942EC" w:rsidRDefault="001C6AD9" w:rsidP="001C6AD9">
      <w:pPr>
        <w:tabs>
          <w:tab w:val="center" w:pos="4507"/>
          <w:tab w:val="right" w:pos="9029"/>
        </w:tabs>
        <w:rPr>
          <w:rFonts w:eastAsiaTheme="minorEastAsia"/>
          <w:sz w:val="18"/>
        </w:rPr>
      </w:pPr>
      <w:r w:rsidRPr="001942EC">
        <w:rPr>
          <w:rFonts w:eastAsiaTheme="minorEastAsia"/>
          <w:sz w:val="18"/>
        </w:rPr>
        <w:t>*</w:t>
      </w:r>
      <w:r w:rsidRPr="001D18CE">
        <w:rPr>
          <w:bCs/>
          <w:i/>
          <w:iCs/>
          <w:sz w:val="18"/>
        </w:rPr>
        <w:t>P</w:t>
      </w:r>
      <w:r w:rsidRPr="001942EC">
        <w:rPr>
          <w:rFonts w:eastAsiaTheme="minorEastAsia"/>
          <w:sz w:val="18"/>
        </w:rPr>
        <w:t xml:space="preserve">&lt;0.05 </w:t>
      </w:r>
      <w:r>
        <w:rPr>
          <w:rFonts w:eastAsiaTheme="minorEastAsia"/>
          <w:sz w:val="18"/>
        </w:rPr>
        <w:br/>
      </w:r>
      <w:r w:rsidRPr="001942EC">
        <w:rPr>
          <w:rFonts w:eastAsiaTheme="minorEastAsia"/>
          <w:sz w:val="18"/>
        </w:rPr>
        <w:t>**</w:t>
      </w:r>
      <w:r w:rsidRPr="001D18CE">
        <w:rPr>
          <w:bCs/>
          <w:i/>
          <w:iCs/>
          <w:sz w:val="18"/>
        </w:rPr>
        <w:t>P</w:t>
      </w:r>
      <w:r w:rsidRPr="001942EC">
        <w:rPr>
          <w:rFonts w:eastAsiaTheme="minorEastAsia"/>
          <w:sz w:val="18"/>
        </w:rPr>
        <w:t xml:space="preserve">&lt;0.01 </w:t>
      </w:r>
      <w:r>
        <w:rPr>
          <w:rFonts w:eastAsiaTheme="minorEastAsia"/>
          <w:sz w:val="18"/>
        </w:rPr>
        <w:br/>
      </w:r>
      <w:r w:rsidRPr="001942EC">
        <w:rPr>
          <w:rFonts w:eastAsiaTheme="minorEastAsia"/>
          <w:sz w:val="18"/>
        </w:rPr>
        <w:t>***</w:t>
      </w:r>
      <w:r w:rsidRPr="001D18CE">
        <w:rPr>
          <w:bCs/>
          <w:i/>
          <w:iCs/>
          <w:sz w:val="18"/>
        </w:rPr>
        <w:t>P</w:t>
      </w:r>
      <w:r w:rsidRPr="001942EC">
        <w:rPr>
          <w:rFonts w:eastAsiaTheme="minorEastAsia"/>
          <w:sz w:val="18"/>
        </w:rPr>
        <w:t>&lt;0.0001</w:t>
      </w:r>
      <w:r w:rsidRPr="001942EC">
        <w:rPr>
          <w:rFonts w:eastAsiaTheme="minorEastAsia"/>
          <w:sz w:val="18"/>
        </w:rPr>
        <w:br/>
        <w:t xml:space="preserve">GP, general practitioner; </w:t>
      </w:r>
      <w:proofErr w:type="spellStart"/>
      <w:r w:rsidRPr="001942EC">
        <w:rPr>
          <w:rFonts w:eastAsiaTheme="minorEastAsia"/>
          <w:sz w:val="18"/>
        </w:rPr>
        <w:t>mepo</w:t>
      </w:r>
      <w:proofErr w:type="spellEnd"/>
      <w:r w:rsidRPr="001942EC">
        <w:rPr>
          <w:rFonts w:eastAsiaTheme="minorEastAsia"/>
          <w:sz w:val="18"/>
        </w:rPr>
        <w:t xml:space="preserve">, mepolizumab; OCS, oral corticosteroid; SABA, short-acting </w:t>
      </w:r>
      <w:r w:rsidRPr="001942EC">
        <w:rPr>
          <w:rFonts w:eastAsiaTheme="minorEastAsia" w:cs="Arial"/>
          <w:sz w:val="18"/>
        </w:rPr>
        <w:t>β</w:t>
      </w:r>
      <w:r w:rsidRPr="001942EC">
        <w:rPr>
          <w:rFonts w:eastAsiaTheme="minorEastAsia"/>
          <w:sz w:val="18"/>
        </w:rPr>
        <w:t>-agonist</w:t>
      </w:r>
    </w:p>
    <w:p w14:paraId="5D4488D6" w14:textId="77777777" w:rsidR="00D22CF2" w:rsidRDefault="00D22CF2"/>
    <w:sectPr w:rsidR="00D22CF2" w:rsidSect="001D18CE">
      <w:pgSz w:w="16838" w:h="11906" w:orient="landscape" w:code="9"/>
      <w:pgMar w:top="1440" w:right="1440" w:bottom="1440" w:left="1440" w:header="706" w:footer="70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D9"/>
    <w:rsid w:val="001C6AD9"/>
    <w:rsid w:val="001D18CE"/>
    <w:rsid w:val="00214978"/>
    <w:rsid w:val="00377F30"/>
    <w:rsid w:val="0039110C"/>
    <w:rsid w:val="00483B55"/>
    <w:rsid w:val="00D2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4FE0E"/>
  <w15:chartTrackingRefBased/>
  <w15:docId w15:val="{55F48D19-81C7-47EC-AB8F-3CF9D8AF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AD9"/>
    <w:pPr>
      <w:spacing w:after="240" w:line="48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1C6AD9"/>
    <w:pPr>
      <w:spacing w:after="24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C6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Azraa Khan</dc:creator>
  <cp:keywords/>
  <dc:description/>
  <cp:lastModifiedBy>Ashfield MedComms</cp:lastModifiedBy>
  <cp:revision>3</cp:revision>
  <dcterms:created xsi:type="dcterms:W3CDTF">2023-12-08T10:58:00Z</dcterms:created>
  <dcterms:modified xsi:type="dcterms:W3CDTF">2023-12-08T10:59:00Z</dcterms:modified>
</cp:coreProperties>
</file>