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271CD" w14:textId="77777777" w:rsidR="007240D9" w:rsidRPr="00A8208F" w:rsidRDefault="007240D9" w:rsidP="007240D9">
      <w:pPr>
        <w:rPr>
          <w:b/>
          <w:bCs/>
        </w:rPr>
      </w:pPr>
      <w:r w:rsidRPr="007973C8">
        <w:rPr>
          <w:b/>
          <w:bCs/>
        </w:rPr>
        <w:t xml:space="preserve">SUPPLEMENTARY DATA </w:t>
      </w:r>
    </w:p>
    <w:p w14:paraId="30E4C9DF" w14:textId="77777777" w:rsidR="007240D9" w:rsidRDefault="007240D9" w:rsidP="007240D9">
      <w:pPr>
        <w:rPr>
          <w:b/>
          <w:bCs/>
        </w:rPr>
      </w:pPr>
    </w:p>
    <w:p w14:paraId="5421485A" w14:textId="77777777" w:rsidR="007240D9" w:rsidRDefault="007240D9" w:rsidP="007240D9">
      <w:r>
        <w:rPr>
          <w:b/>
          <w:bCs/>
        </w:rPr>
        <w:t xml:space="preserve">Supplementary Data 1. </w:t>
      </w:r>
      <w:r>
        <w:t xml:space="preserve">Definition of </w:t>
      </w:r>
      <w:r w:rsidRPr="00686479">
        <w:t>People of Childbearing Potential</w:t>
      </w:r>
    </w:p>
    <w:p w14:paraId="1BE18475" w14:textId="77777777" w:rsidR="007240D9" w:rsidRDefault="007240D9" w:rsidP="007240D9">
      <w:pPr>
        <w:rPr>
          <w:b/>
          <w:bCs/>
        </w:rPr>
      </w:pPr>
    </w:p>
    <w:p w14:paraId="35A3353A" w14:textId="77777777" w:rsidR="007240D9" w:rsidRDefault="007240D9" w:rsidP="007240D9">
      <w:pPr>
        <w:rPr>
          <w:lang w:val="en-GB"/>
        </w:rPr>
      </w:pPr>
      <w:r>
        <w:rPr>
          <w:b/>
          <w:bCs/>
        </w:rPr>
        <w:t xml:space="preserve">Supplementary Data 2: </w:t>
      </w:r>
      <w:r w:rsidRPr="007973C8">
        <w:rPr>
          <w:lang w:val="en-GB"/>
        </w:rPr>
        <w:t>Exclusion Criteria</w:t>
      </w:r>
    </w:p>
    <w:p w14:paraId="513DB8CD" w14:textId="77777777" w:rsidR="007240D9" w:rsidRDefault="007240D9" w:rsidP="007240D9">
      <w:pPr>
        <w:rPr>
          <w:lang w:val="en-GB"/>
        </w:rPr>
      </w:pPr>
    </w:p>
    <w:p w14:paraId="47E77C4B" w14:textId="77777777" w:rsidR="007240D9" w:rsidRDefault="007240D9" w:rsidP="007240D9">
      <w:pPr>
        <w:rPr>
          <w:b/>
          <w:bCs/>
          <w:lang w:val="en-GB"/>
        </w:rPr>
      </w:pPr>
      <w:r>
        <w:rPr>
          <w:b/>
          <w:bCs/>
        </w:rPr>
        <w:t xml:space="preserve">Supplementary Data 3: </w:t>
      </w:r>
      <w:r w:rsidRPr="007973C8">
        <w:rPr>
          <w:lang w:val="en-GB"/>
        </w:rPr>
        <w:t>Medication Washout Periods</w:t>
      </w:r>
    </w:p>
    <w:p w14:paraId="169831B3" w14:textId="77777777" w:rsidR="007240D9" w:rsidRDefault="007240D9" w:rsidP="007240D9">
      <w:pPr>
        <w:rPr>
          <w:b/>
          <w:bCs/>
          <w:u w:val="single"/>
          <w:lang w:val="en-GB"/>
        </w:rPr>
      </w:pPr>
    </w:p>
    <w:p w14:paraId="67B75B72" w14:textId="77777777" w:rsidR="007240D9" w:rsidRDefault="007240D9" w:rsidP="007240D9">
      <w:pPr>
        <w:rPr>
          <w:b/>
          <w:bCs/>
        </w:rPr>
      </w:pPr>
      <w:r>
        <w:rPr>
          <w:b/>
          <w:bCs/>
        </w:rPr>
        <w:t>Supplementary Data 4</w:t>
      </w:r>
      <w:r w:rsidRPr="00A13D2D">
        <w:rPr>
          <w:b/>
          <w:bCs/>
        </w:rPr>
        <w:t xml:space="preserve">: </w:t>
      </w:r>
      <w:r w:rsidRPr="007973C8">
        <w:t>Skin Prick Testing</w:t>
      </w:r>
      <w:r w:rsidRPr="00A13D2D">
        <w:rPr>
          <w:b/>
          <w:bCs/>
        </w:rPr>
        <w:t xml:space="preserve"> </w:t>
      </w:r>
    </w:p>
    <w:p w14:paraId="003BFFD5" w14:textId="77777777" w:rsidR="007240D9" w:rsidRDefault="007240D9" w:rsidP="007240D9">
      <w:pPr>
        <w:rPr>
          <w:b/>
          <w:bCs/>
        </w:rPr>
      </w:pPr>
    </w:p>
    <w:p w14:paraId="18D23292" w14:textId="70D4D625" w:rsidR="007240D9" w:rsidRDefault="007240D9" w:rsidP="007240D9">
      <w:pPr>
        <w:rPr>
          <w:b/>
          <w:bCs/>
        </w:rPr>
      </w:pPr>
      <w:r>
        <w:rPr>
          <w:b/>
          <w:bCs/>
        </w:rPr>
        <w:t>Figure S1.</w:t>
      </w:r>
      <w:r w:rsidRPr="00A13D2D">
        <w:rPr>
          <w:b/>
          <w:bCs/>
        </w:rPr>
        <w:t xml:space="preserve"> </w:t>
      </w:r>
      <w:r w:rsidRPr="009F6F06">
        <w:t xml:space="preserve">Participants </w:t>
      </w:r>
      <w:r w:rsidR="009C72EA">
        <w:t xml:space="preserve">responded </w:t>
      </w:r>
      <w:r w:rsidRPr="009F6F06">
        <w:t xml:space="preserve">similarly between </w:t>
      </w:r>
      <w:r>
        <w:t>Sessions.</w:t>
      </w:r>
    </w:p>
    <w:p w14:paraId="52EADA9D" w14:textId="77777777" w:rsidR="007240D9" w:rsidRDefault="007240D9" w:rsidP="007240D9">
      <w:pPr>
        <w:rPr>
          <w:b/>
          <w:bCs/>
        </w:rPr>
      </w:pPr>
    </w:p>
    <w:p w14:paraId="16D19D80" w14:textId="77777777" w:rsidR="007240D9" w:rsidRDefault="007240D9" w:rsidP="007240D9">
      <w:pPr>
        <w:rPr>
          <w:b/>
          <w:bCs/>
        </w:rPr>
      </w:pPr>
      <w:r w:rsidRPr="00723CF0">
        <w:rPr>
          <w:b/>
          <w:bCs/>
        </w:rPr>
        <w:t xml:space="preserve">Figure S2. </w:t>
      </w:r>
      <w:r w:rsidRPr="00723CF0">
        <w:t>Allergic participants subcategorizations showed no significant differences in Total Nasal Symptom Scores.</w:t>
      </w:r>
      <w:r w:rsidRPr="00723CF0">
        <w:rPr>
          <w:b/>
          <w:bCs/>
        </w:rPr>
        <w:t xml:space="preserve"> </w:t>
      </w:r>
      <w:r>
        <w:rPr>
          <w:b/>
          <w:bCs/>
        </w:rPr>
        <w:br w:type="page"/>
      </w:r>
    </w:p>
    <w:p w14:paraId="0293E2BD" w14:textId="77777777" w:rsidR="007240D9" w:rsidRDefault="007240D9" w:rsidP="007240D9">
      <w:r>
        <w:rPr>
          <w:b/>
          <w:bCs/>
        </w:rPr>
        <w:lastRenderedPageBreak/>
        <w:t xml:space="preserve">Supplementary Data 1. </w:t>
      </w:r>
      <w:r>
        <w:t xml:space="preserve">Definition of </w:t>
      </w:r>
      <w:r w:rsidRPr="00686479">
        <w:t>People of Childbearing Potential</w:t>
      </w:r>
    </w:p>
    <w:p w14:paraId="7E6E18B7" w14:textId="77777777" w:rsidR="007240D9" w:rsidRDefault="007240D9" w:rsidP="007240D9">
      <w:pPr>
        <w:rPr>
          <w:b/>
          <w:bCs/>
        </w:rPr>
      </w:pPr>
    </w:p>
    <w:p w14:paraId="60B71D31" w14:textId="77777777" w:rsidR="007240D9" w:rsidRPr="00C42EEB" w:rsidRDefault="007240D9" w:rsidP="007240D9">
      <w:pPr>
        <w:spacing w:line="276" w:lineRule="auto"/>
        <w:jc w:val="both"/>
        <w:rPr>
          <w:rFonts w:cs="Arial"/>
          <w:szCs w:val="24"/>
        </w:rPr>
      </w:pPr>
      <w:r w:rsidRPr="00C42EEB">
        <w:rPr>
          <w:rFonts w:cs="Arial"/>
          <w:szCs w:val="24"/>
        </w:rPr>
        <w:t xml:space="preserve">A </w:t>
      </w:r>
      <w:r>
        <w:rPr>
          <w:rFonts w:cs="Arial"/>
          <w:szCs w:val="24"/>
        </w:rPr>
        <w:t>person</w:t>
      </w:r>
      <w:r w:rsidRPr="00C42EEB">
        <w:rPr>
          <w:rFonts w:cs="Arial"/>
          <w:szCs w:val="24"/>
        </w:rPr>
        <w:t xml:space="preserve"> is considered to be of childbearing potential if </w:t>
      </w:r>
      <w:r>
        <w:rPr>
          <w:rFonts w:cs="Arial"/>
          <w:szCs w:val="24"/>
        </w:rPr>
        <w:t>they possess functional female reproductive organs,</w:t>
      </w:r>
      <w:r w:rsidRPr="00C42EEB">
        <w:rPr>
          <w:rFonts w:cs="Arial"/>
          <w:szCs w:val="24"/>
        </w:rPr>
        <w:t xml:space="preserve"> has experienced menarche</w:t>
      </w:r>
      <w:r>
        <w:rPr>
          <w:rFonts w:cs="Arial"/>
          <w:szCs w:val="24"/>
        </w:rPr>
        <w:t>,</w:t>
      </w:r>
      <w:r w:rsidRPr="00C42EEB">
        <w:rPr>
          <w:rFonts w:cs="Arial"/>
          <w:szCs w:val="24"/>
        </w:rPr>
        <w:t xml:space="preserve"> has not undergone successful surgical sterilization (hysterectomy, bilateral tubal ligation or oophorectomy)</w:t>
      </w:r>
      <w:r>
        <w:rPr>
          <w:rFonts w:cs="Arial"/>
          <w:szCs w:val="24"/>
        </w:rPr>
        <w:t>,</w:t>
      </w:r>
      <w:r w:rsidRPr="00C42EEB">
        <w:rPr>
          <w:rFonts w:cs="Arial"/>
          <w:szCs w:val="24"/>
        </w:rPr>
        <w:t xml:space="preserve"> or is not post-menopausal. A </w:t>
      </w:r>
      <w:r>
        <w:rPr>
          <w:rFonts w:cs="Arial"/>
          <w:szCs w:val="24"/>
        </w:rPr>
        <w:t>person</w:t>
      </w:r>
      <w:r w:rsidRPr="00C42EEB">
        <w:rPr>
          <w:rFonts w:cs="Arial"/>
          <w:szCs w:val="24"/>
        </w:rPr>
        <w:t xml:space="preserve"> is considered to be post-menopausal if amenorrheal for 1 or more consecutive years.</w:t>
      </w:r>
    </w:p>
    <w:p w14:paraId="6BE7C32E" w14:textId="77777777" w:rsidR="007240D9" w:rsidRPr="00C42EEB" w:rsidRDefault="007240D9" w:rsidP="007240D9">
      <w:pPr>
        <w:tabs>
          <w:tab w:val="left" w:pos="3454"/>
        </w:tabs>
        <w:spacing w:line="276" w:lineRule="auto"/>
        <w:jc w:val="both"/>
        <w:rPr>
          <w:rFonts w:cs="Arial"/>
          <w:szCs w:val="24"/>
        </w:rPr>
      </w:pPr>
    </w:p>
    <w:p w14:paraId="3537A882" w14:textId="77777777" w:rsidR="007240D9" w:rsidRPr="009273A8" w:rsidRDefault="007240D9" w:rsidP="007240D9">
      <w:pPr>
        <w:spacing w:line="276" w:lineRule="auto"/>
        <w:jc w:val="both"/>
        <w:rPr>
          <w:rFonts w:cs="Arial"/>
          <w:szCs w:val="24"/>
        </w:rPr>
      </w:pPr>
      <w:r>
        <w:rPr>
          <w:rFonts w:cs="Arial"/>
          <w:szCs w:val="24"/>
        </w:rPr>
        <w:t>People</w:t>
      </w:r>
      <w:r w:rsidRPr="00C42EEB">
        <w:rPr>
          <w:rFonts w:cs="Arial"/>
          <w:szCs w:val="24"/>
        </w:rPr>
        <w:t xml:space="preserve"> of childbearing potential must use an effective method of birth control during the study. These may include oral, transdermal or injectable contraceptives, intrauterine devices or double-barrier methods (diaphragms, condoms plus spermicides), abstinence or a non-heterosexual lifestyle, or </w:t>
      </w:r>
      <w:r>
        <w:t xml:space="preserve">those </w:t>
      </w:r>
      <w:r w:rsidRPr="00C42EEB">
        <w:rPr>
          <w:rFonts w:cs="Arial"/>
          <w:szCs w:val="24"/>
        </w:rPr>
        <w:t>whose partners are sterile (</w:t>
      </w:r>
      <w:r>
        <w:rPr>
          <w:rFonts w:cs="Arial"/>
          <w:szCs w:val="24"/>
        </w:rPr>
        <w:t>e.g.,</w:t>
      </w:r>
      <w:r w:rsidRPr="00C42EEB">
        <w:rPr>
          <w:rFonts w:cs="Arial"/>
          <w:szCs w:val="24"/>
        </w:rPr>
        <w:t xml:space="preserve"> vasectomized for at least 60 days). </w:t>
      </w:r>
      <w:r>
        <w:rPr>
          <w:b/>
          <w:bCs/>
        </w:rPr>
        <w:br w:type="page"/>
      </w:r>
    </w:p>
    <w:p w14:paraId="3348532D" w14:textId="77777777" w:rsidR="007240D9" w:rsidRDefault="007240D9" w:rsidP="007240D9">
      <w:pPr>
        <w:rPr>
          <w:lang w:val="en-GB"/>
        </w:rPr>
      </w:pPr>
      <w:r>
        <w:rPr>
          <w:b/>
          <w:bCs/>
        </w:rPr>
        <w:lastRenderedPageBreak/>
        <w:t xml:space="preserve">Supplementary Data 2: </w:t>
      </w:r>
      <w:r w:rsidRPr="007973C8">
        <w:rPr>
          <w:lang w:val="en-GB"/>
        </w:rPr>
        <w:t>Exclusion Criteria</w:t>
      </w:r>
    </w:p>
    <w:p w14:paraId="78ABB7EA" w14:textId="77777777" w:rsidR="007240D9" w:rsidRPr="00C42EEB" w:rsidRDefault="007240D9" w:rsidP="007240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jc w:val="both"/>
        <w:rPr>
          <w:rFonts w:cs="Arial"/>
          <w:spacing w:val="-2"/>
          <w:szCs w:val="24"/>
          <w:lang w:val="en-GB"/>
        </w:rPr>
      </w:pPr>
    </w:p>
    <w:p w14:paraId="6EBB92A7" w14:textId="77777777" w:rsidR="007240D9" w:rsidRPr="00C42EEB" w:rsidRDefault="007240D9" w:rsidP="007240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Cs w:val="24"/>
          <w:lang w:val="en-GB"/>
        </w:rPr>
      </w:pPr>
      <w:r w:rsidRPr="00C42EEB">
        <w:rPr>
          <w:rFonts w:cs="Arial"/>
          <w:spacing w:val="-2"/>
          <w:szCs w:val="24"/>
          <w:lang w:val="en-GB"/>
        </w:rPr>
        <w:t>Participants</w:t>
      </w:r>
      <w:r w:rsidRPr="00C42EEB" w:rsidDel="00981A3C">
        <w:rPr>
          <w:rFonts w:cs="Arial"/>
          <w:spacing w:val="-2"/>
          <w:szCs w:val="24"/>
          <w:lang w:val="en-GB"/>
        </w:rPr>
        <w:t xml:space="preserve"> </w:t>
      </w:r>
      <w:r w:rsidRPr="00C42EEB">
        <w:rPr>
          <w:rFonts w:cs="Arial"/>
          <w:spacing w:val="-2"/>
          <w:szCs w:val="24"/>
          <w:lang w:val="en-GB"/>
        </w:rPr>
        <w:t xml:space="preserve">presenting with any of the following will </w:t>
      </w:r>
      <w:r w:rsidRPr="00C42EEB">
        <w:rPr>
          <w:rFonts w:cs="Arial"/>
          <w:spacing w:val="-2"/>
          <w:szCs w:val="24"/>
          <w:u w:val="single"/>
          <w:lang w:val="en-GB"/>
        </w:rPr>
        <w:t>not</w:t>
      </w:r>
      <w:r w:rsidRPr="00C42EEB">
        <w:rPr>
          <w:rFonts w:cs="Arial"/>
          <w:spacing w:val="-2"/>
          <w:szCs w:val="24"/>
          <w:lang w:val="en-GB"/>
        </w:rPr>
        <w:t xml:space="preserve"> be included in the study:</w:t>
      </w:r>
    </w:p>
    <w:p w14:paraId="2CF5FA3E" w14:textId="77777777" w:rsidR="007240D9" w:rsidRPr="00C42EEB" w:rsidRDefault="007240D9" w:rsidP="007240D9">
      <w:pPr>
        <w:jc w:val="both"/>
        <w:rPr>
          <w:szCs w:val="24"/>
        </w:rPr>
      </w:pPr>
    </w:p>
    <w:p w14:paraId="738DF3D0"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has abnormalities detected on physical examination considered by the investigator to be clinically significant and limiting to the study’s participation.</w:t>
      </w:r>
    </w:p>
    <w:p w14:paraId="27CF63DB"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 xml:space="preserve">has </w:t>
      </w:r>
      <w:r>
        <w:rPr>
          <w:rFonts w:cs="Arial"/>
          <w:szCs w:val="24"/>
        </w:rPr>
        <w:t>a</w:t>
      </w:r>
      <w:r w:rsidRPr="002662EB">
        <w:rPr>
          <w:rFonts w:cs="Arial"/>
          <w:szCs w:val="24"/>
        </w:rPr>
        <w:t xml:space="preserve"> history of any disease or disorder that, in the judgement of the investigator, would impact on participant’s safety or the results of the study.</w:t>
      </w:r>
    </w:p>
    <w:p w14:paraId="5A36949C" w14:textId="77777777" w:rsidR="007240D9" w:rsidRPr="00C42EEB" w:rsidRDefault="007240D9" w:rsidP="007240D9">
      <w:pPr>
        <w:numPr>
          <w:ilvl w:val="0"/>
          <w:numId w:val="1"/>
        </w:numPr>
        <w:jc w:val="both"/>
        <w:rPr>
          <w:rFonts w:cs="Arial"/>
          <w:szCs w:val="24"/>
        </w:rPr>
      </w:pPr>
      <w:r w:rsidRPr="00C42EEB">
        <w:rPr>
          <w:rFonts w:cs="Arial"/>
          <w:szCs w:val="24"/>
        </w:rPr>
        <w:t>Participant has a significant history of alcohol or drug abuse</w:t>
      </w:r>
      <w:r>
        <w:rPr>
          <w:rFonts w:cs="Arial"/>
          <w:szCs w:val="24"/>
        </w:rPr>
        <w:t xml:space="preserve"> in the judgment of the Principal Investigator or delegate</w:t>
      </w:r>
      <w:r w:rsidRPr="00C42EEB">
        <w:rPr>
          <w:rFonts w:cs="Arial"/>
          <w:szCs w:val="24"/>
        </w:rPr>
        <w:t xml:space="preserve">. </w:t>
      </w:r>
    </w:p>
    <w:p w14:paraId="7AF00C85"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that is pregnant, lactating, or actively trying to become pregnant.</w:t>
      </w:r>
    </w:p>
    <w:p w14:paraId="661D4113"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is unable to comply with the washout periods for restricted medications (</w:t>
      </w:r>
      <w:r>
        <w:rPr>
          <w:rFonts w:cs="Arial"/>
          <w:szCs w:val="24"/>
        </w:rPr>
        <w:t xml:space="preserve">Refer to </w:t>
      </w:r>
      <w:r w:rsidRPr="00723CF0">
        <w:rPr>
          <w:rFonts w:cs="Arial"/>
          <w:b/>
          <w:bCs/>
          <w:szCs w:val="24"/>
        </w:rPr>
        <w:t>Supplementary Data 3: Medication Washout Periods</w:t>
      </w:r>
      <w:r w:rsidRPr="00C42EEB">
        <w:rPr>
          <w:rFonts w:cs="Arial"/>
          <w:szCs w:val="24"/>
        </w:rPr>
        <w:t>).</w:t>
      </w:r>
    </w:p>
    <w:p w14:paraId="0B56725D"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 xml:space="preserve">has signs/symptoms of active seasonal allergic rhinitis or is allergic to a seasonal allergen that is present in the outdoor environment during the time of the </w:t>
      </w:r>
      <w:r>
        <w:rPr>
          <w:rFonts w:cs="Arial"/>
          <w:szCs w:val="24"/>
        </w:rPr>
        <w:t>SPAC-EEU</w:t>
      </w:r>
      <w:r w:rsidRPr="00C42EEB">
        <w:rPr>
          <w:rFonts w:cs="Arial"/>
          <w:szCs w:val="24"/>
        </w:rPr>
        <w:t xml:space="preserve"> exposure visit</w:t>
      </w:r>
      <w:r>
        <w:rPr>
          <w:rFonts w:cs="Arial"/>
          <w:szCs w:val="24"/>
        </w:rPr>
        <w:t xml:space="preserve"> and which the Principal Investigator judges would impact the outcome of the study</w:t>
      </w:r>
    </w:p>
    <w:p w14:paraId="0E6E01F3"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has any structural nasal abnormalities or nasal polyps on examination, a history of frequent nasal bleeding, or nasal surgery within the previous 3 months</w:t>
      </w:r>
      <w:r>
        <w:rPr>
          <w:rFonts w:cs="Arial"/>
          <w:szCs w:val="24"/>
        </w:rPr>
        <w:t xml:space="preserve"> before screening, </w:t>
      </w:r>
      <w:r>
        <w:t xml:space="preserve">as determined by the </w:t>
      </w:r>
      <w:r>
        <w:rPr>
          <w:rFonts w:cs="Arial"/>
          <w:szCs w:val="24"/>
        </w:rPr>
        <w:t xml:space="preserve">Principal Investigator </w:t>
      </w:r>
      <w:r>
        <w:t>to potentially interfere with study outcomes</w:t>
      </w:r>
      <w:r w:rsidRPr="00C42EEB">
        <w:rPr>
          <w:rFonts w:cs="Arial"/>
          <w:szCs w:val="24"/>
        </w:rPr>
        <w:t>.</w:t>
      </w:r>
    </w:p>
    <w:p w14:paraId="2D4D888B"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 xml:space="preserve">has experienced an upper or lower respiratory infection within 2 weeks prior to </w:t>
      </w:r>
      <w:r>
        <w:rPr>
          <w:rFonts w:cs="Arial"/>
          <w:szCs w:val="24"/>
        </w:rPr>
        <w:t>the</w:t>
      </w:r>
      <w:r w:rsidRPr="00C42EEB">
        <w:rPr>
          <w:rFonts w:cs="Arial"/>
          <w:szCs w:val="24"/>
        </w:rPr>
        <w:t xml:space="preserve"> challenge visit.</w:t>
      </w:r>
    </w:p>
    <w:p w14:paraId="127BF7FE" w14:textId="77777777" w:rsidR="007240D9" w:rsidRPr="00C42EEB" w:rsidRDefault="007240D9" w:rsidP="007240D9">
      <w:pPr>
        <w:numPr>
          <w:ilvl w:val="0"/>
          <w:numId w:val="1"/>
        </w:numPr>
        <w:jc w:val="both"/>
        <w:rPr>
          <w:rFonts w:cs="Arial"/>
          <w:szCs w:val="24"/>
        </w:rPr>
      </w:pPr>
      <w:r w:rsidRPr="00C42EEB">
        <w:rPr>
          <w:rFonts w:cs="Arial"/>
          <w:szCs w:val="24"/>
        </w:rPr>
        <w:t xml:space="preserve">Participants with asthma requiring the use of a short-acting beta agonist greater than twice a week (unless for viral or exercise induced asthma) or with severe asthma requiring maintenance high dose of inhaled or oral corticosteroids or biologic therapy (Omalizumab/Mepolizumab/Resilizumab). </w:t>
      </w:r>
    </w:p>
    <w:p w14:paraId="38E5874B" w14:textId="77777777" w:rsidR="007240D9" w:rsidRPr="00C42EEB" w:rsidRDefault="007240D9" w:rsidP="007240D9">
      <w:pPr>
        <w:numPr>
          <w:ilvl w:val="0"/>
          <w:numId w:val="1"/>
        </w:numPr>
        <w:jc w:val="both"/>
        <w:rPr>
          <w:rFonts w:cs="Arial"/>
          <w:szCs w:val="24"/>
        </w:rPr>
      </w:pPr>
      <w:r w:rsidRPr="00C42EEB">
        <w:rPr>
          <w:rFonts w:cs="Arial"/>
          <w:szCs w:val="24"/>
        </w:rPr>
        <w:t xml:space="preserve">Participant has a history of cat allergen induced asthma, </w:t>
      </w:r>
      <w:r>
        <w:rPr>
          <w:rFonts w:cs="Arial"/>
          <w:szCs w:val="24"/>
        </w:rPr>
        <w:t>unless well controlled on low dose inhaled corticosteroid or PRN inhaled corticosteroid/long-acting beta-agonist or as per Principal Investigator discretion</w:t>
      </w:r>
      <w:r w:rsidRPr="00C42EEB">
        <w:rPr>
          <w:rFonts w:cs="Arial"/>
          <w:szCs w:val="24"/>
        </w:rPr>
        <w:t>.</w:t>
      </w:r>
    </w:p>
    <w:p w14:paraId="58840EAD"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 xml:space="preserve">is currently receiving cat allergen specific immunotherapy or concluded a course of cat immunotherapy in the last 3 years. </w:t>
      </w:r>
    </w:p>
    <w:p w14:paraId="5D33F928"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 xml:space="preserve">has a history of positive test results for to HIV, Tuberculosis (not due to vaccination), Hepatitis B (not due to vaccination) or Hepatitis C. </w:t>
      </w:r>
    </w:p>
    <w:p w14:paraId="2DEA6C78"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has received an investigational product within the previous 30 days.</w:t>
      </w:r>
    </w:p>
    <w:p w14:paraId="154FF184" w14:textId="77777777" w:rsidR="007240D9" w:rsidRPr="00C42EEB" w:rsidRDefault="007240D9" w:rsidP="007240D9">
      <w:pPr>
        <w:numPr>
          <w:ilvl w:val="0"/>
          <w:numId w:val="1"/>
        </w:numPr>
        <w:jc w:val="both"/>
        <w:rPr>
          <w:rFonts w:cs="Arial"/>
          <w:szCs w:val="24"/>
        </w:rPr>
      </w:pPr>
      <w:r w:rsidRPr="00C42EEB">
        <w:rPr>
          <w:rFonts w:cs="Arial"/>
          <w:szCs w:val="24"/>
        </w:rPr>
        <w:t>Participant</w:t>
      </w:r>
      <w:r w:rsidRPr="00C42EEB" w:rsidDel="00981A3C">
        <w:rPr>
          <w:rFonts w:cs="Arial"/>
          <w:szCs w:val="24"/>
        </w:rPr>
        <w:t xml:space="preserve"> </w:t>
      </w:r>
      <w:r w:rsidRPr="00C42EEB">
        <w:rPr>
          <w:rFonts w:cs="Arial"/>
          <w:szCs w:val="24"/>
        </w:rPr>
        <w:t>is unable and/or unlikely to comprehend and/or follow the protocol over the duration of the study.</w:t>
      </w:r>
    </w:p>
    <w:p w14:paraId="36F11817" w14:textId="77777777" w:rsidR="007240D9" w:rsidRDefault="007240D9" w:rsidP="007240D9">
      <w:pPr>
        <w:numPr>
          <w:ilvl w:val="0"/>
          <w:numId w:val="1"/>
        </w:numPr>
        <w:jc w:val="both"/>
        <w:rPr>
          <w:rFonts w:cs="Arial"/>
          <w:szCs w:val="24"/>
        </w:rPr>
      </w:pPr>
      <w:r w:rsidRPr="00C42EEB">
        <w:rPr>
          <w:rFonts w:cs="Arial"/>
          <w:szCs w:val="24"/>
        </w:rPr>
        <w:t xml:space="preserve">Participant is unwilling to attend study visits or adhere to the study protocol, in the judgement of the investigator. </w:t>
      </w:r>
    </w:p>
    <w:p w14:paraId="5A35FA9A" w14:textId="77777777" w:rsidR="007240D9" w:rsidRDefault="007240D9" w:rsidP="007240D9">
      <w:pPr>
        <w:numPr>
          <w:ilvl w:val="0"/>
          <w:numId w:val="1"/>
        </w:numPr>
        <w:jc w:val="both"/>
        <w:rPr>
          <w:rFonts w:cs="Arial"/>
          <w:szCs w:val="24"/>
        </w:rPr>
      </w:pPr>
      <w:bookmarkStart w:id="0" w:name="_Hlk113481773"/>
      <w:r>
        <w:rPr>
          <w:rFonts w:cs="Arial"/>
          <w:szCs w:val="24"/>
        </w:rPr>
        <w:t>Participant exhibits any signs or symptoms of COVID-19 or has a positive test.</w:t>
      </w:r>
    </w:p>
    <w:p w14:paraId="63DBD463" w14:textId="77777777" w:rsidR="007240D9" w:rsidRDefault="007240D9" w:rsidP="007240D9">
      <w:pPr>
        <w:numPr>
          <w:ilvl w:val="0"/>
          <w:numId w:val="1"/>
        </w:numPr>
        <w:jc w:val="both"/>
        <w:rPr>
          <w:rFonts w:cs="Arial"/>
          <w:szCs w:val="24"/>
        </w:rPr>
      </w:pPr>
      <w:r>
        <w:rPr>
          <w:rFonts w:cs="Arial"/>
          <w:szCs w:val="24"/>
        </w:rPr>
        <w:t>TNSS&gt;/= 4 at baseline visit 2 as per PI judgement.*</w:t>
      </w:r>
    </w:p>
    <w:p w14:paraId="036FD021" w14:textId="77777777" w:rsidR="007240D9" w:rsidRDefault="007240D9" w:rsidP="007240D9">
      <w:pPr>
        <w:ind w:left="720"/>
        <w:jc w:val="both"/>
        <w:rPr>
          <w:rFonts w:cs="Arial"/>
          <w:szCs w:val="24"/>
        </w:rPr>
      </w:pPr>
    </w:p>
    <w:p w14:paraId="7390469F" w14:textId="77777777" w:rsidR="007240D9" w:rsidRPr="00ED5BA6" w:rsidRDefault="007240D9" w:rsidP="007240D9">
      <w:pPr>
        <w:jc w:val="both"/>
        <w:rPr>
          <w:rFonts w:cs="Arial"/>
          <w:szCs w:val="24"/>
        </w:rPr>
      </w:pPr>
      <w:r>
        <w:rPr>
          <w:rFonts w:cs="Arial"/>
          <w:szCs w:val="24"/>
        </w:rPr>
        <w:t>* If TNSS &gt;/= 4 at baseline, participant may be re-booked if space available.</w:t>
      </w:r>
      <w:bookmarkEnd w:id="0"/>
      <w:r>
        <w:rPr>
          <w:b/>
          <w:bCs/>
        </w:rPr>
        <w:br w:type="page"/>
      </w:r>
    </w:p>
    <w:p w14:paraId="00F22A4A" w14:textId="77777777" w:rsidR="007240D9" w:rsidRDefault="007240D9" w:rsidP="007240D9">
      <w:pPr>
        <w:rPr>
          <w:b/>
          <w:bCs/>
          <w:lang w:val="en-GB"/>
        </w:rPr>
      </w:pPr>
      <w:r>
        <w:rPr>
          <w:b/>
          <w:bCs/>
        </w:rPr>
        <w:lastRenderedPageBreak/>
        <w:t xml:space="preserve">Supplementary Data 3: </w:t>
      </w:r>
      <w:r w:rsidRPr="007973C8">
        <w:rPr>
          <w:lang w:val="en-GB"/>
        </w:rPr>
        <w:t>Medication Washout Periods</w:t>
      </w:r>
    </w:p>
    <w:p w14:paraId="654D1B58" w14:textId="77777777" w:rsidR="007240D9" w:rsidRDefault="007240D9" w:rsidP="007240D9">
      <w:pPr>
        <w:rPr>
          <w:b/>
          <w:bCs/>
          <w:u w:val="single"/>
          <w:lang w:val="en-GB"/>
        </w:rPr>
      </w:pPr>
    </w:p>
    <w:p w14:paraId="5A1EDD3A" w14:textId="77777777" w:rsidR="007240D9" w:rsidRPr="00C42EEB" w:rsidRDefault="007240D9" w:rsidP="007240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jc w:val="both"/>
        <w:rPr>
          <w:rFonts w:cs="Arial"/>
          <w:spacing w:val="-2"/>
          <w:szCs w:val="24"/>
          <w:lang w:val="en-GB"/>
        </w:rPr>
      </w:pPr>
      <w:r w:rsidRPr="00F367C5">
        <w:rPr>
          <w:lang w:val="en-GB"/>
        </w:rPr>
        <w:t xml:space="preserve">Restricted Medications: </w:t>
      </w:r>
      <w:r w:rsidRPr="00C42EEB">
        <w:rPr>
          <w:rFonts w:cs="Arial"/>
          <w:spacing w:val="-2"/>
          <w:szCs w:val="24"/>
          <w:lang w:val="en-GB"/>
        </w:rPr>
        <w:t>All medications, including herbal, homeopathic, naturopathic and other dietary supplements, taken by the participant from 30 days prior to Screening through until the end of the study will be documented.  The reported medications will be reviewed and evaluated by the Principal Investigator or designee to determine if they affect the participant’s eligibility to participate in the study.</w:t>
      </w:r>
    </w:p>
    <w:p w14:paraId="6D19F2B4" w14:textId="77777777" w:rsidR="007240D9" w:rsidRPr="00F367C5" w:rsidRDefault="007240D9" w:rsidP="007240D9">
      <w:pPr>
        <w:rPr>
          <w:lang w:val="en-GB"/>
        </w:rPr>
      </w:pPr>
    </w:p>
    <w:tbl>
      <w:tblPr>
        <w:tblW w:w="8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5"/>
        <w:gridCol w:w="3961"/>
      </w:tblGrid>
      <w:tr w:rsidR="007240D9" w:rsidRPr="004E053F" w14:paraId="72CD3D77" w14:textId="77777777" w:rsidTr="00AB2809">
        <w:trPr>
          <w:trHeight w:val="469"/>
          <w:jc w:val="center"/>
        </w:trPr>
        <w:tc>
          <w:tcPr>
            <w:tcW w:w="4525" w:type="dxa"/>
            <w:vAlign w:val="center"/>
          </w:tcPr>
          <w:p w14:paraId="1780CE2B" w14:textId="77777777" w:rsidR="007240D9" w:rsidRPr="004E053F" w:rsidRDefault="007240D9" w:rsidP="00AB2809">
            <w:pPr>
              <w:rPr>
                <w:b/>
              </w:rPr>
            </w:pPr>
            <w:r w:rsidRPr="004E053F">
              <w:rPr>
                <w:b/>
              </w:rPr>
              <w:t>Medication</w:t>
            </w:r>
          </w:p>
        </w:tc>
        <w:tc>
          <w:tcPr>
            <w:tcW w:w="3961" w:type="dxa"/>
            <w:vAlign w:val="center"/>
          </w:tcPr>
          <w:p w14:paraId="4371F4F4" w14:textId="77777777" w:rsidR="007240D9" w:rsidRPr="004E053F" w:rsidRDefault="007240D9" w:rsidP="00AB2809">
            <w:pPr>
              <w:jc w:val="center"/>
              <w:rPr>
                <w:b/>
              </w:rPr>
            </w:pPr>
            <w:r w:rsidRPr="004E053F">
              <w:rPr>
                <w:b/>
              </w:rPr>
              <w:t>Duration of Washout prior to</w:t>
            </w:r>
          </w:p>
          <w:p w14:paraId="05CF0A5D" w14:textId="77777777" w:rsidR="007240D9" w:rsidRPr="004E053F" w:rsidRDefault="007240D9" w:rsidP="00AB2809">
            <w:pPr>
              <w:jc w:val="center"/>
              <w:rPr>
                <w:b/>
              </w:rPr>
            </w:pPr>
            <w:r>
              <w:rPr>
                <w:b/>
              </w:rPr>
              <w:t>Cat Allergen</w:t>
            </w:r>
            <w:r w:rsidRPr="004E053F">
              <w:rPr>
                <w:b/>
              </w:rPr>
              <w:t xml:space="preserve"> Exposure Visit</w:t>
            </w:r>
          </w:p>
        </w:tc>
      </w:tr>
      <w:tr w:rsidR="007240D9" w:rsidRPr="004E053F" w14:paraId="558A1890" w14:textId="77777777" w:rsidTr="00AB2809">
        <w:trPr>
          <w:trHeight w:val="244"/>
          <w:jc w:val="center"/>
        </w:trPr>
        <w:tc>
          <w:tcPr>
            <w:tcW w:w="4525" w:type="dxa"/>
            <w:vAlign w:val="center"/>
          </w:tcPr>
          <w:p w14:paraId="46BBFA76" w14:textId="77777777" w:rsidR="007240D9" w:rsidRPr="004E053F" w:rsidRDefault="007240D9" w:rsidP="00AB2809">
            <w:pPr>
              <w:rPr>
                <w:lang w:val="sv-SE"/>
              </w:rPr>
            </w:pPr>
            <w:r w:rsidRPr="004E053F">
              <w:rPr>
                <w:lang w:val="sv-SE"/>
              </w:rPr>
              <w:t>Beta-blockers</w:t>
            </w:r>
          </w:p>
        </w:tc>
        <w:tc>
          <w:tcPr>
            <w:tcW w:w="3961" w:type="dxa"/>
            <w:vAlign w:val="center"/>
          </w:tcPr>
          <w:p w14:paraId="34846100" w14:textId="77777777" w:rsidR="007240D9" w:rsidRPr="004E053F" w:rsidRDefault="007240D9" w:rsidP="00AB2809">
            <w:pPr>
              <w:jc w:val="center"/>
            </w:pPr>
            <w:r w:rsidRPr="004E053F">
              <w:t>NOT PERMITTED</w:t>
            </w:r>
          </w:p>
        </w:tc>
      </w:tr>
      <w:tr w:rsidR="007240D9" w:rsidRPr="004E053F" w14:paraId="16C7DA77" w14:textId="77777777" w:rsidTr="00AB2809">
        <w:trPr>
          <w:trHeight w:val="223"/>
          <w:jc w:val="center"/>
        </w:trPr>
        <w:tc>
          <w:tcPr>
            <w:tcW w:w="4525" w:type="dxa"/>
            <w:vAlign w:val="center"/>
          </w:tcPr>
          <w:p w14:paraId="2DDD24CE" w14:textId="77777777" w:rsidR="007240D9" w:rsidRPr="004E053F" w:rsidRDefault="007240D9" w:rsidP="00AB2809">
            <w:pPr>
              <w:rPr>
                <w:lang w:val="sv-SE"/>
              </w:rPr>
            </w:pPr>
            <w:r>
              <w:t>Decongestants (oral and topical)</w:t>
            </w:r>
          </w:p>
        </w:tc>
        <w:tc>
          <w:tcPr>
            <w:tcW w:w="3961" w:type="dxa"/>
            <w:vAlign w:val="center"/>
          </w:tcPr>
          <w:p w14:paraId="17D9BA2C" w14:textId="77777777" w:rsidR="007240D9" w:rsidRPr="004E053F" w:rsidRDefault="007240D9" w:rsidP="00AB2809">
            <w:pPr>
              <w:jc w:val="center"/>
            </w:pPr>
            <w:r w:rsidRPr="004E053F">
              <w:t>48 hours</w:t>
            </w:r>
          </w:p>
        </w:tc>
      </w:tr>
      <w:tr w:rsidR="007240D9" w:rsidRPr="004E053F" w14:paraId="796E36CA" w14:textId="77777777" w:rsidTr="00AB2809">
        <w:trPr>
          <w:trHeight w:val="469"/>
          <w:jc w:val="center"/>
        </w:trPr>
        <w:tc>
          <w:tcPr>
            <w:tcW w:w="4525" w:type="dxa"/>
            <w:vAlign w:val="center"/>
          </w:tcPr>
          <w:p w14:paraId="0C14CEB7" w14:textId="77777777" w:rsidR="007240D9" w:rsidRPr="004E053F" w:rsidRDefault="007240D9" w:rsidP="00AB2809">
            <w:r w:rsidRPr="004E053F">
              <w:t>Short-Acting Antihistamines (e</w:t>
            </w:r>
            <w:r>
              <w:t>.</w:t>
            </w:r>
            <w:r w:rsidRPr="004E053F">
              <w:t>g. Diphenhydramine)</w:t>
            </w:r>
          </w:p>
        </w:tc>
        <w:tc>
          <w:tcPr>
            <w:tcW w:w="3961" w:type="dxa"/>
            <w:vAlign w:val="center"/>
          </w:tcPr>
          <w:p w14:paraId="154B00E6" w14:textId="77777777" w:rsidR="007240D9" w:rsidRPr="004E053F" w:rsidRDefault="007240D9" w:rsidP="00AB2809">
            <w:pPr>
              <w:jc w:val="center"/>
            </w:pPr>
            <w:r w:rsidRPr="004E053F">
              <w:t>*3 days</w:t>
            </w:r>
          </w:p>
        </w:tc>
      </w:tr>
      <w:tr w:rsidR="007240D9" w:rsidRPr="004E053F" w14:paraId="245A6277" w14:textId="77777777" w:rsidTr="00AB2809">
        <w:trPr>
          <w:trHeight w:val="715"/>
          <w:jc w:val="center"/>
        </w:trPr>
        <w:tc>
          <w:tcPr>
            <w:tcW w:w="4525" w:type="dxa"/>
            <w:vAlign w:val="center"/>
          </w:tcPr>
          <w:p w14:paraId="1438EF47" w14:textId="77777777" w:rsidR="007240D9" w:rsidRPr="004E053F" w:rsidRDefault="007240D9" w:rsidP="00AB2809">
            <w:r w:rsidRPr="004E053F">
              <w:t>Anti-allergic eye drops (ocular antihistamines, decongestants and cromoglycates)</w:t>
            </w:r>
          </w:p>
        </w:tc>
        <w:tc>
          <w:tcPr>
            <w:tcW w:w="3961" w:type="dxa"/>
            <w:vAlign w:val="center"/>
          </w:tcPr>
          <w:p w14:paraId="67402F10" w14:textId="77777777" w:rsidR="007240D9" w:rsidRPr="004E053F" w:rsidRDefault="007240D9" w:rsidP="00AB2809">
            <w:pPr>
              <w:jc w:val="center"/>
            </w:pPr>
            <w:r>
              <w:t xml:space="preserve">3 </w:t>
            </w:r>
            <w:r w:rsidRPr="004E053F">
              <w:t>days</w:t>
            </w:r>
          </w:p>
        </w:tc>
      </w:tr>
      <w:tr w:rsidR="007240D9" w:rsidRPr="004E053F" w14:paraId="480E6BA5" w14:textId="77777777" w:rsidTr="00AB2809">
        <w:trPr>
          <w:trHeight w:val="1389"/>
          <w:jc w:val="center"/>
        </w:trPr>
        <w:tc>
          <w:tcPr>
            <w:tcW w:w="4525" w:type="dxa"/>
            <w:vAlign w:val="center"/>
          </w:tcPr>
          <w:p w14:paraId="3A80270D" w14:textId="77777777" w:rsidR="007240D9" w:rsidRPr="004E053F" w:rsidRDefault="007240D9" w:rsidP="00AB2809">
            <w:r w:rsidRPr="004E053F">
              <w:t>Long-Acting Antihistamines (eg. fexofenadine, loratadine, cetirizine) – note that H2 antagonists (e.g. Zantac, ranitidine) are not considered antihistamines for the purposes of this study</w:t>
            </w:r>
          </w:p>
        </w:tc>
        <w:tc>
          <w:tcPr>
            <w:tcW w:w="3961" w:type="dxa"/>
            <w:vAlign w:val="center"/>
          </w:tcPr>
          <w:p w14:paraId="616703EC" w14:textId="77777777" w:rsidR="007240D9" w:rsidRPr="004E053F" w:rsidRDefault="007240D9" w:rsidP="00AB2809">
            <w:pPr>
              <w:jc w:val="center"/>
            </w:pPr>
            <w:r w:rsidRPr="004E053F">
              <w:t>*5 days</w:t>
            </w:r>
          </w:p>
        </w:tc>
      </w:tr>
      <w:tr w:rsidR="007240D9" w:rsidRPr="004E053F" w14:paraId="12AA2B39" w14:textId="77777777" w:rsidTr="00AB2809">
        <w:trPr>
          <w:trHeight w:val="244"/>
          <w:jc w:val="center"/>
        </w:trPr>
        <w:tc>
          <w:tcPr>
            <w:tcW w:w="4525" w:type="dxa"/>
            <w:vAlign w:val="center"/>
          </w:tcPr>
          <w:p w14:paraId="6C447CE5" w14:textId="77777777" w:rsidR="007240D9" w:rsidRPr="004E053F" w:rsidRDefault="007240D9" w:rsidP="00AB2809">
            <w:r>
              <w:t>Intranasal a</w:t>
            </w:r>
            <w:r w:rsidRPr="004E053F">
              <w:t>nticholinergics</w:t>
            </w:r>
          </w:p>
        </w:tc>
        <w:tc>
          <w:tcPr>
            <w:tcW w:w="3961" w:type="dxa"/>
            <w:vAlign w:val="center"/>
          </w:tcPr>
          <w:p w14:paraId="1A7842DF" w14:textId="77777777" w:rsidR="007240D9" w:rsidRPr="004E053F" w:rsidRDefault="007240D9" w:rsidP="00AB2809">
            <w:pPr>
              <w:jc w:val="center"/>
            </w:pPr>
            <w:r>
              <w:t>3</w:t>
            </w:r>
            <w:r w:rsidRPr="004E053F">
              <w:t xml:space="preserve"> days</w:t>
            </w:r>
          </w:p>
        </w:tc>
      </w:tr>
      <w:tr w:rsidR="007240D9" w:rsidRPr="004E053F" w14:paraId="5A2EB0BB" w14:textId="77777777" w:rsidTr="00AB2809">
        <w:trPr>
          <w:trHeight w:val="469"/>
          <w:jc w:val="center"/>
        </w:trPr>
        <w:tc>
          <w:tcPr>
            <w:tcW w:w="4525" w:type="dxa"/>
            <w:vAlign w:val="center"/>
          </w:tcPr>
          <w:p w14:paraId="2548E4C1" w14:textId="77777777" w:rsidR="007240D9" w:rsidRPr="004E053F" w:rsidRDefault="007240D9" w:rsidP="00AB2809">
            <w:r w:rsidRPr="004E053F">
              <w:t xml:space="preserve">Intranasal corticosteroids (eg. </w:t>
            </w:r>
            <w:r>
              <w:t>budesonide</w:t>
            </w:r>
            <w:r w:rsidRPr="004E053F">
              <w:t>, fluticasone</w:t>
            </w:r>
            <w:r>
              <w:t xml:space="preserve"> etc.</w:t>
            </w:r>
            <w:r w:rsidRPr="004E053F">
              <w:t>)</w:t>
            </w:r>
          </w:p>
        </w:tc>
        <w:tc>
          <w:tcPr>
            <w:tcW w:w="3961" w:type="dxa"/>
            <w:vAlign w:val="center"/>
          </w:tcPr>
          <w:p w14:paraId="787C78AE" w14:textId="77777777" w:rsidR="007240D9" w:rsidRPr="004E053F" w:rsidRDefault="007240D9" w:rsidP="00AB2809">
            <w:pPr>
              <w:jc w:val="center"/>
            </w:pPr>
            <w:r w:rsidRPr="004E053F">
              <w:t>**14 days</w:t>
            </w:r>
          </w:p>
        </w:tc>
      </w:tr>
      <w:tr w:rsidR="007240D9" w:rsidRPr="004E053F" w14:paraId="161676DA" w14:textId="77777777" w:rsidTr="00AB2809">
        <w:trPr>
          <w:trHeight w:val="469"/>
          <w:jc w:val="center"/>
        </w:trPr>
        <w:tc>
          <w:tcPr>
            <w:tcW w:w="4525" w:type="dxa"/>
            <w:vAlign w:val="center"/>
          </w:tcPr>
          <w:p w14:paraId="4C3EEA26" w14:textId="77777777" w:rsidR="007240D9" w:rsidRPr="004E053F" w:rsidRDefault="007240D9" w:rsidP="00AB2809">
            <w:r>
              <w:t>High dose inhaled corticosteroids (eg fluticasone propionate &gt;500ug or equivalent)</w:t>
            </w:r>
          </w:p>
        </w:tc>
        <w:tc>
          <w:tcPr>
            <w:tcW w:w="3961" w:type="dxa"/>
            <w:vAlign w:val="center"/>
          </w:tcPr>
          <w:p w14:paraId="24A98315" w14:textId="77777777" w:rsidR="007240D9" w:rsidRPr="004E053F" w:rsidRDefault="007240D9" w:rsidP="00AB2809">
            <w:pPr>
              <w:jc w:val="center"/>
            </w:pPr>
            <w:r>
              <w:t>14 days</w:t>
            </w:r>
          </w:p>
        </w:tc>
      </w:tr>
      <w:tr w:rsidR="007240D9" w:rsidRPr="004E053F" w14:paraId="1F47B674" w14:textId="77777777" w:rsidTr="00AB2809">
        <w:trPr>
          <w:trHeight w:val="244"/>
          <w:jc w:val="center"/>
        </w:trPr>
        <w:tc>
          <w:tcPr>
            <w:tcW w:w="4525" w:type="dxa"/>
            <w:vAlign w:val="center"/>
          </w:tcPr>
          <w:p w14:paraId="76DA41D7" w14:textId="77777777" w:rsidR="007240D9" w:rsidRPr="004E053F" w:rsidRDefault="007240D9" w:rsidP="00AB2809">
            <w:r>
              <w:t>Mast cell stabilizers</w:t>
            </w:r>
          </w:p>
        </w:tc>
        <w:tc>
          <w:tcPr>
            <w:tcW w:w="3961" w:type="dxa"/>
            <w:vAlign w:val="center"/>
          </w:tcPr>
          <w:p w14:paraId="2E1CBB3C" w14:textId="77777777" w:rsidR="007240D9" w:rsidRPr="004E053F" w:rsidRDefault="007240D9" w:rsidP="00AB2809">
            <w:pPr>
              <w:jc w:val="center"/>
            </w:pPr>
            <w:r>
              <w:t>5</w:t>
            </w:r>
            <w:r w:rsidRPr="004E053F">
              <w:t xml:space="preserve"> days</w:t>
            </w:r>
          </w:p>
        </w:tc>
      </w:tr>
      <w:tr w:rsidR="007240D9" w:rsidRPr="004E053F" w14:paraId="19B8C8FD" w14:textId="77777777" w:rsidTr="00AB2809">
        <w:trPr>
          <w:trHeight w:val="223"/>
          <w:jc w:val="center"/>
        </w:trPr>
        <w:tc>
          <w:tcPr>
            <w:tcW w:w="4525" w:type="dxa"/>
            <w:vAlign w:val="center"/>
          </w:tcPr>
          <w:p w14:paraId="1D2F48D3" w14:textId="77777777" w:rsidR="007240D9" w:rsidRPr="004E053F" w:rsidRDefault="007240D9" w:rsidP="00AB2809">
            <w:r w:rsidRPr="004E053F">
              <w:t>Leukotriene inhibitors</w:t>
            </w:r>
          </w:p>
        </w:tc>
        <w:tc>
          <w:tcPr>
            <w:tcW w:w="3961" w:type="dxa"/>
            <w:vAlign w:val="center"/>
          </w:tcPr>
          <w:p w14:paraId="3A098179" w14:textId="77777777" w:rsidR="007240D9" w:rsidRPr="004E053F" w:rsidRDefault="007240D9" w:rsidP="00AB2809">
            <w:pPr>
              <w:jc w:val="center"/>
            </w:pPr>
            <w:r w:rsidRPr="004E053F">
              <w:t>14 days</w:t>
            </w:r>
          </w:p>
        </w:tc>
      </w:tr>
      <w:tr w:rsidR="007240D9" w:rsidRPr="004E053F" w14:paraId="4866BCCD" w14:textId="77777777" w:rsidTr="00AB2809">
        <w:trPr>
          <w:trHeight w:val="490"/>
          <w:jc w:val="center"/>
        </w:trPr>
        <w:tc>
          <w:tcPr>
            <w:tcW w:w="4525" w:type="dxa"/>
            <w:vAlign w:val="center"/>
          </w:tcPr>
          <w:p w14:paraId="61035711" w14:textId="77777777" w:rsidR="007240D9" w:rsidRPr="004E053F" w:rsidRDefault="007240D9" w:rsidP="00AB2809">
            <w:r w:rsidRPr="004E053F">
              <w:t>Tricyclic Antidepressants and Monoamine oxidase inhibitors</w:t>
            </w:r>
          </w:p>
        </w:tc>
        <w:tc>
          <w:tcPr>
            <w:tcW w:w="3961" w:type="dxa"/>
            <w:vAlign w:val="center"/>
          </w:tcPr>
          <w:p w14:paraId="58301A1D" w14:textId="77777777" w:rsidR="007240D9" w:rsidRPr="004E053F" w:rsidRDefault="007240D9" w:rsidP="00AB2809">
            <w:pPr>
              <w:jc w:val="center"/>
            </w:pPr>
            <w:r>
              <w:t>NOT PERMITTED</w:t>
            </w:r>
          </w:p>
        </w:tc>
      </w:tr>
      <w:tr w:rsidR="007240D9" w:rsidRPr="004E053F" w14:paraId="1EE79394" w14:textId="77777777" w:rsidTr="00AB2809">
        <w:trPr>
          <w:trHeight w:val="223"/>
          <w:jc w:val="center"/>
        </w:trPr>
        <w:tc>
          <w:tcPr>
            <w:tcW w:w="4525" w:type="dxa"/>
            <w:vAlign w:val="center"/>
          </w:tcPr>
          <w:p w14:paraId="2865DE63" w14:textId="77777777" w:rsidR="007240D9" w:rsidRPr="004E053F" w:rsidRDefault="007240D9" w:rsidP="00AB2809">
            <w:r w:rsidRPr="004E053F">
              <w:t>Systemic corticosteroids (oral)</w:t>
            </w:r>
          </w:p>
        </w:tc>
        <w:tc>
          <w:tcPr>
            <w:tcW w:w="3961" w:type="dxa"/>
            <w:vAlign w:val="center"/>
          </w:tcPr>
          <w:p w14:paraId="6711549A" w14:textId="77777777" w:rsidR="007240D9" w:rsidRPr="004E053F" w:rsidRDefault="007240D9" w:rsidP="00AB2809">
            <w:pPr>
              <w:jc w:val="center"/>
            </w:pPr>
            <w:r w:rsidRPr="004E053F">
              <w:t>30 days</w:t>
            </w:r>
          </w:p>
        </w:tc>
      </w:tr>
      <w:tr w:rsidR="007240D9" w:rsidRPr="004E053F" w14:paraId="45B3C7F9" w14:textId="77777777" w:rsidTr="00AB2809">
        <w:trPr>
          <w:trHeight w:val="244"/>
          <w:jc w:val="center"/>
        </w:trPr>
        <w:tc>
          <w:tcPr>
            <w:tcW w:w="4525" w:type="dxa"/>
            <w:vAlign w:val="center"/>
          </w:tcPr>
          <w:p w14:paraId="3515635E" w14:textId="77777777" w:rsidR="007240D9" w:rsidRPr="004E053F" w:rsidRDefault="007240D9" w:rsidP="00AB2809">
            <w:r>
              <w:t>Injectable</w:t>
            </w:r>
            <w:r w:rsidRPr="004E053F">
              <w:t xml:space="preserve"> corticosteroids</w:t>
            </w:r>
          </w:p>
        </w:tc>
        <w:tc>
          <w:tcPr>
            <w:tcW w:w="3961" w:type="dxa"/>
            <w:vAlign w:val="center"/>
          </w:tcPr>
          <w:p w14:paraId="1091D562" w14:textId="77777777" w:rsidR="007240D9" w:rsidRPr="004E053F" w:rsidRDefault="007240D9" w:rsidP="00AB2809">
            <w:pPr>
              <w:jc w:val="center"/>
            </w:pPr>
            <w:r w:rsidRPr="004E053F">
              <w:t>60 days</w:t>
            </w:r>
          </w:p>
        </w:tc>
      </w:tr>
      <w:tr w:rsidR="007240D9" w:rsidRPr="004E053F" w14:paraId="5BDBFA89" w14:textId="77777777" w:rsidTr="00AB2809">
        <w:trPr>
          <w:trHeight w:val="244"/>
          <w:jc w:val="center"/>
        </w:trPr>
        <w:tc>
          <w:tcPr>
            <w:tcW w:w="4525" w:type="dxa"/>
            <w:vAlign w:val="center"/>
          </w:tcPr>
          <w:p w14:paraId="1D0B7E37" w14:textId="77777777" w:rsidR="007240D9" w:rsidRPr="004E053F" w:rsidRDefault="007240D9" w:rsidP="00AB2809">
            <w:r w:rsidRPr="004E053F">
              <w:t>Biologics</w:t>
            </w:r>
          </w:p>
        </w:tc>
        <w:tc>
          <w:tcPr>
            <w:tcW w:w="3961" w:type="dxa"/>
            <w:vAlign w:val="center"/>
          </w:tcPr>
          <w:p w14:paraId="5CF5C6E4" w14:textId="77777777" w:rsidR="007240D9" w:rsidRPr="004E053F" w:rsidRDefault="007240D9" w:rsidP="00AB2809">
            <w:pPr>
              <w:jc w:val="center"/>
            </w:pPr>
            <w:r w:rsidRPr="004E053F">
              <w:t>6 months</w:t>
            </w:r>
          </w:p>
        </w:tc>
      </w:tr>
      <w:tr w:rsidR="007240D9" w:rsidRPr="004E053F" w14:paraId="584C763B" w14:textId="77777777" w:rsidTr="00AB2809">
        <w:trPr>
          <w:trHeight w:val="244"/>
          <w:jc w:val="center"/>
        </w:trPr>
        <w:tc>
          <w:tcPr>
            <w:tcW w:w="4525" w:type="dxa"/>
            <w:vAlign w:val="center"/>
          </w:tcPr>
          <w:p w14:paraId="21272E37" w14:textId="77777777" w:rsidR="007240D9" w:rsidRPr="004E053F" w:rsidRDefault="007240D9" w:rsidP="00AB2809">
            <w:r>
              <w:t>Tobacco and/or marijuana</w:t>
            </w:r>
          </w:p>
        </w:tc>
        <w:tc>
          <w:tcPr>
            <w:tcW w:w="3961" w:type="dxa"/>
            <w:vAlign w:val="center"/>
          </w:tcPr>
          <w:p w14:paraId="7724C2A7" w14:textId="77777777" w:rsidR="007240D9" w:rsidRPr="004E053F" w:rsidRDefault="007240D9" w:rsidP="00AB2809">
            <w:pPr>
              <w:jc w:val="center"/>
            </w:pPr>
            <w:r>
              <w:t>12 hours</w:t>
            </w:r>
          </w:p>
        </w:tc>
      </w:tr>
    </w:tbl>
    <w:p w14:paraId="08608F20" w14:textId="77777777" w:rsidR="007240D9" w:rsidRDefault="007240D9" w:rsidP="007240D9">
      <w:pPr>
        <w:rPr>
          <w:b/>
          <w:bCs/>
        </w:rPr>
      </w:pPr>
      <w:r>
        <w:rPr>
          <w:b/>
          <w:bCs/>
        </w:rPr>
        <w:br w:type="page"/>
      </w:r>
    </w:p>
    <w:p w14:paraId="7B5F825B" w14:textId="77777777" w:rsidR="007240D9" w:rsidRDefault="007240D9" w:rsidP="007240D9">
      <w:pPr>
        <w:rPr>
          <w:b/>
          <w:bCs/>
        </w:rPr>
      </w:pPr>
      <w:bookmarkStart w:id="1" w:name="_Hlk113481543"/>
      <w:r>
        <w:rPr>
          <w:b/>
          <w:bCs/>
        </w:rPr>
        <w:lastRenderedPageBreak/>
        <w:t>Supplementary Data 4</w:t>
      </w:r>
      <w:r w:rsidRPr="00A13D2D">
        <w:rPr>
          <w:b/>
          <w:bCs/>
        </w:rPr>
        <w:t xml:space="preserve">: </w:t>
      </w:r>
      <w:r w:rsidRPr="007973C8">
        <w:t>Skin Prick Testing</w:t>
      </w:r>
      <w:r w:rsidRPr="00A13D2D">
        <w:rPr>
          <w:b/>
          <w:bCs/>
        </w:rPr>
        <w:t xml:space="preserve"> </w:t>
      </w:r>
    </w:p>
    <w:p w14:paraId="1A18E50E" w14:textId="77777777" w:rsidR="007240D9" w:rsidRDefault="007240D9" w:rsidP="007240D9">
      <w:pPr>
        <w:spacing w:line="276" w:lineRule="auto"/>
        <w:jc w:val="both"/>
        <w:rPr>
          <w:rFonts w:cs="Arial"/>
          <w:szCs w:val="24"/>
        </w:rPr>
      </w:pPr>
    </w:p>
    <w:p w14:paraId="481817A3" w14:textId="77777777" w:rsidR="007240D9" w:rsidRDefault="007240D9" w:rsidP="007240D9">
      <w:pPr>
        <w:spacing w:line="276" w:lineRule="auto"/>
        <w:jc w:val="both"/>
        <w:rPr>
          <w:rFonts w:cs="Arial"/>
          <w:szCs w:val="24"/>
        </w:rPr>
      </w:pPr>
      <w:r w:rsidRPr="0068083E">
        <w:rPr>
          <w:rFonts w:cs="Arial"/>
          <w:szCs w:val="24"/>
        </w:rPr>
        <w:t xml:space="preserve">Skin </w:t>
      </w:r>
      <w:r>
        <w:rPr>
          <w:rFonts w:cs="Arial"/>
          <w:szCs w:val="24"/>
        </w:rPr>
        <w:t xml:space="preserve">prick testing was </w:t>
      </w:r>
      <w:r w:rsidRPr="0068083E">
        <w:rPr>
          <w:rFonts w:cs="Arial"/>
          <w:szCs w:val="24"/>
        </w:rPr>
        <w:t xml:space="preserve">performed to determine </w:t>
      </w:r>
      <w:r>
        <w:rPr>
          <w:rFonts w:cs="Arial"/>
          <w:szCs w:val="24"/>
        </w:rPr>
        <w:t>the participant’s allergic history, if not on file from the 12 months prior to Screening</w:t>
      </w:r>
      <w:r w:rsidRPr="0068083E">
        <w:rPr>
          <w:rFonts w:cs="Arial"/>
          <w:szCs w:val="24"/>
        </w:rPr>
        <w:t xml:space="preserve">. This testing </w:t>
      </w:r>
      <w:r>
        <w:rPr>
          <w:rFonts w:cs="Arial"/>
          <w:szCs w:val="24"/>
        </w:rPr>
        <w:t xml:space="preserve">was </w:t>
      </w:r>
      <w:r w:rsidRPr="0068083E">
        <w:rPr>
          <w:rFonts w:cs="Arial"/>
          <w:szCs w:val="24"/>
        </w:rPr>
        <w:t xml:space="preserve">done following </w:t>
      </w:r>
      <w:r>
        <w:rPr>
          <w:rFonts w:cs="Arial"/>
          <w:szCs w:val="24"/>
        </w:rPr>
        <w:t>our research group’s</w:t>
      </w:r>
      <w:r w:rsidRPr="0068083E">
        <w:rPr>
          <w:rFonts w:cs="Arial"/>
          <w:szCs w:val="24"/>
        </w:rPr>
        <w:t xml:space="preserve"> Standard Operating Procedures</w:t>
      </w:r>
      <w:r>
        <w:rPr>
          <w:rFonts w:cs="Arial"/>
          <w:szCs w:val="24"/>
        </w:rPr>
        <w:t xml:space="preserve">, administered </w:t>
      </w:r>
      <w:r w:rsidRPr="009F7FD2">
        <w:rPr>
          <w:rFonts w:cs="Arial"/>
          <w:szCs w:val="24"/>
        </w:rPr>
        <w:t>using sterile plastic bifurcated Duotip-Test II devices</w:t>
      </w:r>
      <w:r w:rsidRPr="0068083E">
        <w:rPr>
          <w:rFonts w:cs="Arial"/>
          <w:szCs w:val="24"/>
        </w:rPr>
        <w:t>.</w:t>
      </w:r>
      <w:r>
        <w:rPr>
          <w:rFonts w:cs="Arial"/>
          <w:szCs w:val="24"/>
        </w:rPr>
        <w:t xml:space="preserve"> In addition to a histamine positive control and a glycerin phenol-saline negative control, the test panel included the following allergens: Standardized Cat Hair (</w:t>
      </w:r>
      <w:r w:rsidRPr="00DB69C0">
        <w:rPr>
          <w:rFonts w:cs="Arial"/>
          <w:szCs w:val="24"/>
        </w:rPr>
        <w:t>Hollister-Stier; 10,000 BAU/mL</w:t>
      </w:r>
      <w:r>
        <w:rPr>
          <w:rFonts w:cs="Arial"/>
          <w:szCs w:val="24"/>
        </w:rPr>
        <w:t>), Birch (</w:t>
      </w:r>
      <w:r w:rsidRPr="00DB69C0">
        <w:rPr>
          <w:rFonts w:cs="Arial"/>
          <w:szCs w:val="24"/>
        </w:rPr>
        <w:t>ALK-Abelló; weight per volume (w/v) 1:20</w:t>
      </w:r>
      <w:r>
        <w:rPr>
          <w:rFonts w:cs="Arial"/>
          <w:szCs w:val="24"/>
        </w:rPr>
        <w:t>), Timothy Grass (</w:t>
      </w:r>
      <w:r w:rsidRPr="00EB0CB3">
        <w:rPr>
          <w:rFonts w:cs="Arial"/>
          <w:szCs w:val="24"/>
        </w:rPr>
        <w:t>ALK-Abelló; 100,000 bioequivalent allergy units (B</w:t>
      </w:r>
      <w:r>
        <w:rPr>
          <w:rFonts w:cs="Arial"/>
          <w:szCs w:val="24"/>
        </w:rPr>
        <w:t>AU</w:t>
      </w:r>
      <w:r w:rsidRPr="00EB0CB3">
        <w:rPr>
          <w:rFonts w:cs="Arial"/>
          <w:szCs w:val="24"/>
        </w:rPr>
        <w:t>)/mL</w:t>
      </w:r>
      <w:r>
        <w:rPr>
          <w:rFonts w:cs="Arial"/>
          <w:szCs w:val="24"/>
        </w:rPr>
        <w:t>), Short Ragweed (</w:t>
      </w:r>
      <w:r w:rsidRPr="00DB69C0">
        <w:rPr>
          <w:rFonts w:cs="Arial"/>
          <w:szCs w:val="24"/>
        </w:rPr>
        <w:t>ALK-Abelló; w/v 1:20</w:t>
      </w:r>
      <w:r>
        <w:rPr>
          <w:rFonts w:cs="Arial"/>
          <w:szCs w:val="24"/>
        </w:rPr>
        <w:t>), D. pteronyssinus, D. farinae (</w:t>
      </w:r>
      <w:r w:rsidRPr="00EB0CB3">
        <w:rPr>
          <w:rFonts w:cs="Arial"/>
          <w:szCs w:val="24"/>
        </w:rPr>
        <w:t>ALK-Abelló; 10,000 AU/mL</w:t>
      </w:r>
      <w:r>
        <w:rPr>
          <w:rFonts w:cs="Arial"/>
          <w:szCs w:val="24"/>
        </w:rPr>
        <w:t>), Dog Epithelium (</w:t>
      </w:r>
      <w:r w:rsidRPr="001A344F">
        <w:rPr>
          <w:rFonts w:cs="Arial"/>
          <w:szCs w:val="24"/>
        </w:rPr>
        <w:t>ALK-Abelló; w/v 1:20</w:t>
      </w:r>
      <w:r>
        <w:rPr>
          <w:rFonts w:cs="Arial"/>
          <w:szCs w:val="24"/>
        </w:rPr>
        <w:t xml:space="preserve">), and </w:t>
      </w:r>
      <w:r w:rsidRPr="00913655">
        <w:rPr>
          <w:rFonts w:cs="Arial"/>
          <w:szCs w:val="24"/>
        </w:rPr>
        <w:t>Mold Mix</w:t>
      </w:r>
      <w:r>
        <w:rPr>
          <w:rFonts w:cs="Arial"/>
          <w:szCs w:val="24"/>
        </w:rPr>
        <w:t xml:space="preserve"> (</w:t>
      </w:r>
      <w:r w:rsidRPr="001A344F">
        <w:rPr>
          <w:rFonts w:cs="Arial"/>
          <w:szCs w:val="24"/>
        </w:rPr>
        <w:t>ALK-Abelló; w/v 1:20</w:t>
      </w:r>
      <w:r>
        <w:rPr>
          <w:rFonts w:cs="Arial"/>
          <w:szCs w:val="24"/>
        </w:rPr>
        <w:t xml:space="preserve">). </w:t>
      </w:r>
      <w:bookmarkEnd w:id="1"/>
    </w:p>
    <w:p w14:paraId="5F4FA1FA" w14:textId="77777777" w:rsidR="007240D9" w:rsidRDefault="007240D9" w:rsidP="007240D9">
      <w:pPr>
        <w:rPr>
          <w:rFonts w:cs="Arial"/>
          <w:szCs w:val="24"/>
        </w:rPr>
      </w:pPr>
      <w:r>
        <w:rPr>
          <w:rFonts w:cs="Arial"/>
          <w:szCs w:val="24"/>
        </w:rPr>
        <w:br w:type="page"/>
      </w:r>
    </w:p>
    <w:p w14:paraId="0D05E4E4" w14:textId="77777777" w:rsidR="007240D9" w:rsidRDefault="007240D9" w:rsidP="007240D9">
      <w:pPr>
        <w:pStyle w:val="Caption"/>
        <w:keepNext/>
        <w:rPr>
          <w:rFonts w:cs="Arial"/>
          <w:i w:val="0"/>
          <w:iCs w:val="0"/>
          <w:color w:val="auto"/>
          <w:sz w:val="22"/>
          <w:szCs w:val="24"/>
        </w:rPr>
      </w:pPr>
    </w:p>
    <w:p w14:paraId="362AB5FA" w14:textId="77777777" w:rsidR="007240D9" w:rsidRDefault="007240D9" w:rsidP="007240D9">
      <w:pPr>
        <w:pStyle w:val="Caption"/>
        <w:keepNext/>
        <w:rPr>
          <w:rFonts w:cs="Arial"/>
          <w:i w:val="0"/>
          <w:iCs w:val="0"/>
          <w:color w:val="auto"/>
          <w:sz w:val="22"/>
          <w:szCs w:val="24"/>
        </w:rPr>
      </w:pPr>
      <w:r>
        <w:rPr>
          <w:rFonts w:cs="Arial"/>
          <w:i w:val="0"/>
          <w:iCs w:val="0"/>
          <w:color w:val="auto"/>
          <w:sz w:val="22"/>
          <w:szCs w:val="24"/>
        </w:rPr>
        <w:object w:dxaOrig="9266" w:dyaOrig="14678" w14:anchorId="0EFF1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5pt;height:538pt" o:ole="" filled="t">
            <v:imagedata r:id="rId5" o:title=""/>
          </v:shape>
          <o:OLEObject Type="Embed" ProgID="Prism10.Document" ShapeID="_x0000_i1025" DrawAspect="Content" ObjectID="_1804401564" r:id="rId6"/>
        </w:object>
      </w:r>
    </w:p>
    <w:p w14:paraId="1F9405AC" w14:textId="77777777" w:rsidR="007240D9" w:rsidRPr="00723CF0" w:rsidRDefault="007240D9" w:rsidP="007240D9">
      <w:pPr>
        <w:pStyle w:val="Caption"/>
        <w:keepNext/>
        <w:rPr>
          <w:rFonts w:cs="Arial"/>
          <w:i w:val="0"/>
          <w:iCs w:val="0"/>
          <w:color w:val="auto"/>
          <w:sz w:val="22"/>
          <w:szCs w:val="24"/>
        </w:rPr>
      </w:pPr>
      <w:bookmarkStart w:id="2" w:name="_Ref191219237"/>
    </w:p>
    <w:p w14:paraId="0CAA66C3" w14:textId="77777777" w:rsidR="007240D9" w:rsidRPr="00723CF0" w:rsidRDefault="007240D9" w:rsidP="007240D9">
      <w:pPr>
        <w:pStyle w:val="Caption"/>
        <w:rPr>
          <w:rFonts w:cs="Arial"/>
          <w:i w:val="0"/>
          <w:iCs w:val="0"/>
          <w:color w:val="auto"/>
          <w:sz w:val="22"/>
          <w:szCs w:val="24"/>
        </w:rPr>
      </w:pPr>
      <w:bookmarkStart w:id="3" w:name="_Ref191219801"/>
      <w:r w:rsidRPr="00800F10">
        <w:rPr>
          <w:rFonts w:cs="Arial"/>
          <w:b/>
          <w:i w:val="0"/>
          <w:iCs w:val="0"/>
          <w:color w:val="auto"/>
          <w:sz w:val="22"/>
          <w:szCs w:val="24"/>
        </w:rPr>
        <w:t xml:space="preserve">Figure </w:t>
      </w:r>
      <w:bookmarkEnd w:id="3"/>
      <w:r w:rsidRPr="00800F10">
        <w:rPr>
          <w:rFonts w:cs="Arial"/>
          <w:b/>
          <w:i w:val="0"/>
          <w:iCs w:val="0"/>
          <w:color w:val="auto"/>
          <w:sz w:val="22"/>
          <w:szCs w:val="24"/>
        </w:rPr>
        <w:t>S1. Participants responded similarly between Sessions.</w:t>
      </w:r>
      <w:r w:rsidRPr="00723CF0">
        <w:rPr>
          <w:rFonts w:cs="Arial"/>
          <w:i w:val="0"/>
          <w:iCs w:val="0"/>
          <w:color w:val="auto"/>
          <w:sz w:val="22"/>
          <w:szCs w:val="24"/>
        </w:rPr>
        <w:t xml:space="preserve"> No significant differences in average Total Nasal Symptom Scores (A, B) and Safety Scores (C) between matching participants in Session 1 and 2. Repeated measures two-way ANOVA with Sidak’s multiple comparisons test. Error bars are SEM. </w:t>
      </w:r>
    </w:p>
    <w:bookmarkEnd w:id="2"/>
    <w:p w14:paraId="00350110" w14:textId="77777777" w:rsidR="007240D9" w:rsidRDefault="007240D9" w:rsidP="007240D9">
      <w:pPr>
        <w:keepNext/>
        <w:spacing w:line="259" w:lineRule="auto"/>
        <w:jc w:val="center"/>
      </w:pPr>
    </w:p>
    <w:p w14:paraId="0C767B76" w14:textId="77777777" w:rsidR="007240D9" w:rsidRPr="00723CF0" w:rsidRDefault="007240D9" w:rsidP="007240D9">
      <w:pPr>
        <w:keepNext/>
        <w:spacing w:line="259" w:lineRule="auto"/>
      </w:pPr>
      <w:r>
        <w:object w:dxaOrig="11093" w:dyaOrig="14033" w14:anchorId="6B96128C">
          <v:shape id="_x0000_i1026" type="#_x0000_t75" style="width:468pt;height:590pt" o:ole="" filled="t">
            <v:imagedata r:id="rId7" o:title=""/>
          </v:shape>
          <o:OLEObject Type="Embed" ProgID="Prism10.Document" ShapeID="_x0000_i1026" DrawAspect="Content" ObjectID="_1804401565" r:id="rId8"/>
        </w:object>
      </w:r>
      <w:bookmarkStart w:id="4" w:name="_Ref190417847"/>
      <w:r w:rsidRPr="0090429C">
        <w:rPr>
          <w:b/>
        </w:rPr>
        <w:t>Figur</w:t>
      </w:r>
      <w:bookmarkEnd w:id="4"/>
      <w:r w:rsidRPr="0090429C">
        <w:rPr>
          <w:b/>
        </w:rPr>
        <w:t>e S2. Allergic participants subcategorizations showed no significant differences in Total Nasal Symptom Scores.</w:t>
      </w:r>
      <w:r w:rsidRPr="00723CF0">
        <w:t xml:space="preserve"> No significant differences in allergic participants were observed when stratifying by biological sex assigned at birth (A), self-reported asthma (B), self-reported </w:t>
      </w:r>
      <w:r w:rsidRPr="00723CF0">
        <w:lastRenderedPageBreak/>
        <w:t>drug allergies (C), self-reported food allergies (D), smokers of tobacco/e-cigarettes/marijuana (E), the presence of a cat at home (F), and medication usage (G). p&gt;0.05, Repeated measures two-way ANOVA with Sidak’s multiple comparisons test. Error bars are SEM.</w:t>
      </w:r>
    </w:p>
    <w:p w14:paraId="386B1DA2" w14:textId="77777777" w:rsidR="007240D9" w:rsidRDefault="007240D9" w:rsidP="007240D9">
      <w:pPr>
        <w:spacing w:line="276" w:lineRule="auto"/>
        <w:jc w:val="both"/>
      </w:pPr>
    </w:p>
    <w:p w14:paraId="26396F2E" w14:textId="77777777" w:rsidR="00E66C49" w:rsidRDefault="00E66C49"/>
    <w:sectPr w:rsidR="00E66C49" w:rsidSect="007240D9">
      <w:pgSz w:w="12240" w:h="15840"/>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5420E"/>
    <w:multiLevelType w:val="hybridMultilevel"/>
    <w:tmpl w:val="C7B2B55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23555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49"/>
    <w:rsid w:val="006A1526"/>
    <w:rsid w:val="007240D9"/>
    <w:rsid w:val="009C72EA"/>
    <w:rsid w:val="009F4AA6"/>
    <w:rsid w:val="00E66C49"/>
    <w:rsid w:val="00EE46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C0782D"/>
  <w15:chartTrackingRefBased/>
  <w15:docId w15:val="{9C11075D-7ED9-4886-AF63-6058E711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0D9"/>
    <w:pPr>
      <w:spacing w:after="0" w:line="240" w:lineRule="auto"/>
    </w:pPr>
    <w:rPr>
      <w:rFonts w:ascii="Arial" w:hAnsi="Arial"/>
      <w:kern w:val="0"/>
      <w:sz w:val="22"/>
      <w:szCs w:val="22"/>
      <w14:ligatures w14:val="none"/>
    </w:rPr>
  </w:style>
  <w:style w:type="paragraph" w:styleId="Heading1">
    <w:name w:val="heading 1"/>
    <w:basedOn w:val="Normal"/>
    <w:next w:val="Normal"/>
    <w:link w:val="Heading1Char"/>
    <w:uiPriority w:val="9"/>
    <w:qFormat/>
    <w:rsid w:val="00E66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C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C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C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C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C49"/>
    <w:rPr>
      <w:rFonts w:eastAsiaTheme="majorEastAsia" w:cstheme="majorBidi"/>
      <w:color w:val="272727" w:themeColor="text1" w:themeTint="D8"/>
    </w:rPr>
  </w:style>
  <w:style w:type="paragraph" w:styleId="Title">
    <w:name w:val="Title"/>
    <w:basedOn w:val="Normal"/>
    <w:next w:val="Normal"/>
    <w:link w:val="TitleChar"/>
    <w:uiPriority w:val="10"/>
    <w:qFormat/>
    <w:rsid w:val="00E66C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C49"/>
    <w:pPr>
      <w:spacing w:before="160"/>
      <w:jc w:val="center"/>
    </w:pPr>
    <w:rPr>
      <w:i/>
      <w:iCs/>
      <w:color w:val="404040" w:themeColor="text1" w:themeTint="BF"/>
    </w:rPr>
  </w:style>
  <w:style w:type="character" w:customStyle="1" w:styleId="QuoteChar">
    <w:name w:val="Quote Char"/>
    <w:basedOn w:val="DefaultParagraphFont"/>
    <w:link w:val="Quote"/>
    <w:uiPriority w:val="29"/>
    <w:rsid w:val="00E66C49"/>
    <w:rPr>
      <w:i/>
      <w:iCs/>
      <w:color w:val="404040" w:themeColor="text1" w:themeTint="BF"/>
    </w:rPr>
  </w:style>
  <w:style w:type="paragraph" w:styleId="ListParagraph">
    <w:name w:val="List Paragraph"/>
    <w:basedOn w:val="Normal"/>
    <w:uiPriority w:val="34"/>
    <w:qFormat/>
    <w:rsid w:val="00E66C49"/>
    <w:pPr>
      <w:ind w:left="720"/>
      <w:contextualSpacing/>
    </w:pPr>
  </w:style>
  <w:style w:type="character" w:styleId="IntenseEmphasis">
    <w:name w:val="Intense Emphasis"/>
    <w:basedOn w:val="DefaultParagraphFont"/>
    <w:uiPriority w:val="21"/>
    <w:qFormat/>
    <w:rsid w:val="00E66C49"/>
    <w:rPr>
      <w:i/>
      <w:iCs/>
      <w:color w:val="0F4761" w:themeColor="accent1" w:themeShade="BF"/>
    </w:rPr>
  </w:style>
  <w:style w:type="paragraph" w:styleId="IntenseQuote">
    <w:name w:val="Intense Quote"/>
    <w:basedOn w:val="Normal"/>
    <w:next w:val="Normal"/>
    <w:link w:val="IntenseQuoteChar"/>
    <w:uiPriority w:val="30"/>
    <w:qFormat/>
    <w:rsid w:val="00E66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C49"/>
    <w:rPr>
      <w:i/>
      <w:iCs/>
      <w:color w:val="0F4761" w:themeColor="accent1" w:themeShade="BF"/>
    </w:rPr>
  </w:style>
  <w:style w:type="character" w:styleId="IntenseReference">
    <w:name w:val="Intense Reference"/>
    <w:basedOn w:val="DefaultParagraphFont"/>
    <w:uiPriority w:val="32"/>
    <w:qFormat/>
    <w:rsid w:val="00E66C49"/>
    <w:rPr>
      <w:b/>
      <w:bCs/>
      <w:smallCaps/>
      <w:color w:val="0F4761" w:themeColor="accent1" w:themeShade="BF"/>
      <w:spacing w:val="5"/>
    </w:rPr>
  </w:style>
  <w:style w:type="paragraph" w:styleId="Caption">
    <w:name w:val="caption"/>
    <w:basedOn w:val="Normal"/>
    <w:next w:val="Normal"/>
    <w:uiPriority w:val="35"/>
    <w:unhideWhenUsed/>
    <w:qFormat/>
    <w:rsid w:val="007240D9"/>
    <w:pPr>
      <w:spacing w:after="200"/>
    </w:pPr>
    <w:rPr>
      <w:i/>
      <w:iCs/>
      <w:color w:val="0E2841" w:themeColor="text2"/>
      <w:sz w:val="18"/>
      <w:szCs w:val="18"/>
    </w:rPr>
  </w:style>
  <w:style w:type="character" w:styleId="LineNumber">
    <w:name w:val="line number"/>
    <w:basedOn w:val="DefaultParagraphFont"/>
    <w:uiPriority w:val="99"/>
    <w:semiHidden/>
    <w:unhideWhenUsed/>
    <w:rsid w:val="00724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1070</Words>
  <Characters>6100</Characters>
  <Application>Microsoft Office Word</Application>
  <DocSecurity>0</DocSecurity>
  <Lines>50</Lines>
  <Paragraphs>14</Paragraphs>
  <ScaleCrop>false</ScaleCrop>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Lubnaa Hossenbaccus</dc:creator>
  <cp:keywords/>
  <dc:description/>
  <cp:lastModifiedBy>Lubnaa Hossenbaccus</cp:lastModifiedBy>
  <cp:revision>4</cp:revision>
  <dcterms:created xsi:type="dcterms:W3CDTF">2025-03-25T13:51:00Z</dcterms:created>
  <dcterms:modified xsi:type="dcterms:W3CDTF">2025-03-25T13:53:00Z</dcterms:modified>
</cp:coreProperties>
</file>