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58C" w:rsidRDefault="00BC258C" w:rsidP="00BC258C">
      <w:pPr>
        <w:tabs>
          <w:tab w:val="left" w:pos="567"/>
        </w:tabs>
        <w:spacing w:line="480" w:lineRule="auto"/>
        <w:jc w:val="both"/>
        <w:rPr>
          <w:rFonts w:cs="Calibri"/>
          <w:color w:val="000000"/>
        </w:rPr>
      </w:pPr>
      <w:r w:rsidRPr="00BC258C">
        <w:rPr>
          <w:rFonts w:cs="Calibri"/>
          <w:b/>
          <w:color w:val="000000"/>
        </w:rPr>
        <w:t>Additional file</w:t>
      </w:r>
    </w:p>
    <w:p w:rsidR="00C45292" w:rsidRPr="00AD6F4E" w:rsidRDefault="00C45292" w:rsidP="00BC258C">
      <w:pPr>
        <w:tabs>
          <w:tab w:val="left" w:pos="567"/>
        </w:tabs>
        <w:spacing w:line="480" w:lineRule="auto"/>
        <w:jc w:val="both"/>
        <w:rPr>
          <w:color w:val="000000" w:themeColor="text1"/>
        </w:rPr>
      </w:pPr>
      <w:r w:rsidRPr="00AD6F4E">
        <w:rPr>
          <w:b/>
          <w:color w:val="000000" w:themeColor="text1"/>
        </w:rPr>
        <w:t>Table</w:t>
      </w:r>
      <w:r w:rsidRPr="00AD6F4E">
        <w:rPr>
          <w:color w:val="000000" w:themeColor="text1"/>
        </w:rPr>
        <w:t xml:space="preserve"> </w:t>
      </w:r>
      <w:r w:rsidRPr="00AD6F4E">
        <w:rPr>
          <w:b/>
          <w:color w:val="000000" w:themeColor="text1"/>
        </w:rPr>
        <w:t>S</w:t>
      </w:r>
      <w:r w:rsidR="00107F21">
        <w:rPr>
          <w:b/>
          <w:color w:val="000000" w:themeColor="text1"/>
        </w:rPr>
        <w:t>3</w:t>
      </w:r>
      <w:r w:rsidRPr="00AD6F4E">
        <w:rPr>
          <w:color w:val="000000" w:themeColor="text1"/>
        </w:rPr>
        <w:t xml:space="preserve">: Overview of literature on developmental staging of reptiles, including what staging methods were used and their associated author/s. The stages are based on each paper’s respective system. Where possible, any details regarding the timing of genital development was included. Only papers describing development under normal conditions with no experimental manipulations were included. Any papers that were not written in English with no translation were omitted. It should be noted that often a sexual characteristic was described for the first time, but this was not necessarily the earliest stage of development. Such instances are marked with an asterisk. </w:t>
      </w:r>
      <w:r w:rsidR="00AF3323" w:rsidRPr="009E1178">
        <w:rPr>
          <w:color w:val="000000" w:themeColor="text1"/>
        </w:rPr>
        <w:t>NA</w:t>
      </w:r>
      <w:r w:rsidR="00AF3323" w:rsidRPr="00AD6F4E">
        <w:rPr>
          <w:color w:val="000000" w:themeColor="text1"/>
        </w:rPr>
        <w:t xml:space="preserve"> denotes no sexual characteristics were described, while N denotes that male characteristics were included but femal</w:t>
      </w:r>
      <w:r w:rsidR="00AF3323">
        <w:rPr>
          <w:color w:val="000000" w:themeColor="text1"/>
        </w:rPr>
        <w:t xml:space="preserve">e characteristics were excluded, and </w:t>
      </w:r>
      <w:r w:rsidR="00AF3323" w:rsidRPr="00AD6F4E">
        <w:rPr>
          <w:color w:val="000000" w:themeColor="text1"/>
        </w:rPr>
        <w:t>dpo denotes days post-oviposition.</w:t>
      </w:r>
      <w:r w:rsidR="00AF3323">
        <w:rPr>
          <w:color w:val="000000" w:themeColor="text1"/>
        </w:rPr>
        <w:t xml:space="preserve"> </w:t>
      </w:r>
      <w:r w:rsidR="009E1178" w:rsidRPr="009E1178">
        <w:rPr>
          <w:color w:val="FF0000"/>
        </w:rPr>
        <w:t xml:space="preserve">Where possible, stage at oviposition </w:t>
      </w:r>
      <w:r w:rsidR="00AF3323">
        <w:rPr>
          <w:color w:val="FF0000"/>
        </w:rPr>
        <w:t xml:space="preserve">(SAO) </w:t>
      </w:r>
      <w:r w:rsidR="009E1178" w:rsidRPr="009E1178">
        <w:rPr>
          <w:color w:val="FF0000"/>
        </w:rPr>
        <w:t xml:space="preserve">is recorded, with an approximation to </w:t>
      </w:r>
      <w:r w:rsidR="009E1178" w:rsidRPr="009E1178">
        <w:rPr>
          <w:i/>
          <w:color w:val="FF0000"/>
        </w:rPr>
        <w:t>P.</w:t>
      </w:r>
      <w:r w:rsidR="00545021">
        <w:rPr>
          <w:i/>
          <w:color w:val="FF0000"/>
        </w:rPr>
        <w:t xml:space="preserve"> </w:t>
      </w:r>
      <w:r w:rsidR="009E1178" w:rsidRPr="009E1178">
        <w:rPr>
          <w:i/>
          <w:color w:val="FF0000"/>
        </w:rPr>
        <w:t>vitticeps</w:t>
      </w:r>
      <w:r w:rsidR="009E1178" w:rsidRPr="009E1178">
        <w:rPr>
          <w:color w:val="FF0000"/>
        </w:rPr>
        <w:t xml:space="preserve"> </w:t>
      </w:r>
      <w:r w:rsidR="00AF3323">
        <w:rPr>
          <w:color w:val="FF0000"/>
        </w:rPr>
        <w:t>SAO</w:t>
      </w:r>
      <w:r w:rsidR="009E1178" w:rsidRPr="009E1178">
        <w:rPr>
          <w:color w:val="FF0000"/>
        </w:rPr>
        <w:t xml:space="preserve"> in brackets.</w:t>
      </w:r>
      <w:r w:rsidR="00AF3323">
        <w:rPr>
          <w:color w:val="FF0000"/>
        </w:rPr>
        <w:t xml:space="preserve"> NA denotes that this information was not applicable</w:t>
      </w:r>
      <w:r w:rsidR="00545021">
        <w:rPr>
          <w:color w:val="FF0000"/>
        </w:rPr>
        <w:t xml:space="preserve"> (e.g. </w:t>
      </w:r>
      <w:r w:rsidR="00AF3323">
        <w:rPr>
          <w:color w:val="FF0000"/>
        </w:rPr>
        <w:t>becaus</w:t>
      </w:r>
      <w:bookmarkStart w:id="0" w:name="_GoBack"/>
      <w:bookmarkEnd w:id="0"/>
      <w:r w:rsidR="00AF3323">
        <w:rPr>
          <w:color w:val="FF0000"/>
        </w:rPr>
        <w:t>e the species is viviparous</w:t>
      </w:r>
      <w:r w:rsidR="00545021">
        <w:rPr>
          <w:color w:val="FF0000"/>
        </w:rPr>
        <w:t>)</w:t>
      </w:r>
      <w:r w:rsidR="00AF3323">
        <w:rPr>
          <w:color w:val="FF0000"/>
        </w:rPr>
        <w:t>.</w:t>
      </w:r>
      <w:r w:rsidR="009E1178" w:rsidRPr="009E1178">
        <w:rPr>
          <w:color w:val="FF0000"/>
        </w:rPr>
        <w:t xml:space="preserve"> </w:t>
      </w:r>
      <w:r w:rsidR="00AF3323">
        <w:rPr>
          <w:color w:val="FF0000"/>
        </w:rPr>
        <w:t xml:space="preserve">NR denotes the SAO was not reported. </w:t>
      </w:r>
    </w:p>
    <w:p w:rsidR="00C45292" w:rsidRPr="00AD6F4E" w:rsidRDefault="00C45292" w:rsidP="00BC05C0">
      <w:pPr>
        <w:jc w:val="both"/>
        <w:rPr>
          <w:color w:val="000000" w:themeColor="text1"/>
        </w:rPr>
      </w:pPr>
    </w:p>
    <w:tbl>
      <w:tblPr>
        <w:tblStyle w:val="PlainTable21"/>
        <w:tblW w:w="5000" w:type="pct"/>
        <w:tblLayout w:type="fixed"/>
        <w:tblLook w:val="04A0"/>
      </w:tblPr>
      <w:tblGrid>
        <w:gridCol w:w="1931"/>
        <w:gridCol w:w="1297"/>
        <w:gridCol w:w="1442"/>
        <w:gridCol w:w="1163"/>
        <w:gridCol w:w="1163"/>
        <w:gridCol w:w="954"/>
        <w:gridCol w:w="1292"/>
      </w:tblGrid>
      <w:tr w:rsidR="00AE0885" w:rsidRPr="00AD6F4E" w:rsidTr="00AE0885">
        <w:trPr>
          <w:cnfStyle w:val="100000000000"/>
          <w:trHeight w:val="843"/>
        </w:trPr>
        <w:tc>
          <w:tcPr>
            <w:cnfStyle w:val="001000000000"/>
            <w:tcW w:w="1045" w:type="pct"/>
          </w:tcPr>
          <w:p w:rsidR="00AE0885" w:rsidRPr="00230D82" w:rsidRDefault="00AE0885" w:rsidP="00B25866">
            <w:pPr>
              <w:rPr>
                <w:color w:val="000000" w:themeColor="text1"/>
              </w:rPr>
            </w:pPr>
            <w:bookmarkStart w:id="1" w:name="_Hlk481053514"/>
            <w:r w:rsidRPr="00230D82">
              <w:rPr>
                <w:color w:val="000000" w:themeColor="text1"/>
              </w:rPr>
              <w:t>Author</w:t>
            </w:r>
          </w:p>
        </w:tc>
        <w:tc>
          <w:tcPr>
            <w:tcW w:w="702" w:type="pct"/>
          </w:tcPr>
          <w:p w:rsidR="00AE0885" w:rsidRPr="00AD6F4E" w:rsidRDefault="00AE0885" w:rsidP="00B25866">
            <w:pPr>
              <w:cnfStyle w:val="100000000000"/>
              <w:rPr>
                <w:color w:val="000000" w:themeColor="text1"/>
              </w:rPr>
            </w:pPr>
            <w:r w:rsidRPr="00AD6F4E">
              <w:rPr>
                <w:color w:val="000000" w:themeColor="text1"/>
              </w:rPr>
              <w:t>Species</w:t>
            </w:r>
          </w:p>
        </w:tc>
        <w:tc>
          <w:tcPr>
            <w:tcW w:w="780" w:type="pct"/>
          </w:tcPr>
          <w:p w:rsidR="00AE0885" w:rsidRPr="00AD6F4E" w:rsidRDefault="00AE0885" w:rsidP="00B25866">
            <w:pPr>
              <w:cnfStyle w:val="100000000000"/>
              <w:rPr>
                <w:color w:val="000000" w:themeColor="text1"/>
              </w:rPr>
            </w:pPr>
            <w:r w:rsidRPr="00AD6F4E">
              <w:rPr>
                <w:color w:val="000000" w:themeColor="text1"/>
              </w:rPr>
              <w:t>Staging Methodology</w:t>
            </w:r>
          </w:p>
        </w:tc>
        <w:tc>
          <w:tcPr>
            <w:tcW w:w="629" w:type="pct"/>
          </w:tcPr>
          <w:p w:rsidR="00AE0885" w:rsidRPr="00545021" w:rsidRDefault="00AE0885" w:rsidP="00B25866">
            <w:pPr>
              <w:cnfStyle w:val="100000000000"/>
              <w:rPr>
                <w:color w:val="FF0000"/>
              </w:rPr>
            </w:pPr>
            <w:r w:rsidRPr="00545021">
              <w:rPr>
                <w:color w:val="FF0000"/>
              </w:rPr>
              <w:t xml:space="preserve">Stage at </w:t>
            </w:r>
            <w:r w:rsidR="009E1178" w:rsidRPr="00545021">
              <w:rPr>
                <w:color w:val="FF0000"/>
              </w:rPr>
              <w:t>Oviposition</w:t>
            </w:r>
          </w:p>
        </w:tc>
        <w:tc>
          <w:tcPr>
            <w:tcW w:w="629" w:type="pct"/>
          </w:tcPr>
          <w:p w:rsidR="00AE0885" w:rsidRPr="00AD6F4E" w:rsidRDefault="00AE0885" w:rsidP="00B25866">
            <w:pPr>
              <w:cnfStyle w:val="100000000000"/>
              <w:rPr>
                <w:color w:val="000000" w:themeColor="text1"/>
              </w:rPr>
            </w:pPr>
            <w:r w:rsidRPr="00AD6F4E">
              <w:rPr>
                <w:color w:val="000000" w:themeColor="text1"/>
              </w:rPr>
              <w:t>Genital</w:t>
            </w:r>
          </w:p>
          <w:p w:rsidR="00AE0885" w:rsidRPr="00AD6F4E" w:rsidRDefault="00AE0885" w:rsidP="00B25866">
            <w:pPr>
              <w:cnfStyle w:val="100000000000"/>
              <w:rPr>
                <w:color w:val="000000" w:themeColor="text1"/>
              </w:rPr>
            </w:pPr>
            <w:r w:rsidRPr="00AD6F4E">
              <w:rPr>
                <w:color w:val="000000" w:themeColor="text1"/>
              </w:rPr>
              <w:t>Character</w:t>
            </w:r>
          </w:p>
        </w:tc>
        <w:tc>
          <w:tcPr>
            <w:tcW w:w="516" w:type="pct"/>
          </w:tcPr>
          <w:p w:rsidR="00AE0885" w:rsidRPr="00AD6F4E" w:rsidRDefault="00AE0885" w:rsidP="00B25866">
            <w:pPr>
              <w:cnfStyle w:val="100000000000"/>
              <w:rPr>
                <w:color w:val="000000" w:themeColor="text1"/>
              </w:rPr>
            </w:pPr>
            <w:r w:rsidRPr="00AD6F4E">
              <w:rPr>
                <w:color w:val="000000" w:themeColor="text1"/>
              </w:rPr>
              <w:t>Stage/</w:t>
            </w:r>
            <w:r>
              <w:rPr>
                <w:color w:val="000000" w:themeColor="text1"/>
              </w:rPr>
              <w:t xml:space="preserve"> </w:t>
            </w:r>
            <w:r w:rsidRPr="00AD6F4E">
              <w:rPr>
                <w:color w:val="000000" w:themeColor="text1"/>
              </w:rPr>
              <w:t>dpo</w:t>
            </w:r>
          </w:p>
        </w:tc>
        <w:tc>
          <w:tcPr>
            <w:tcW w:w="699" w:type="pct"/>
          </w:tcPr>
          <w:p w:rsidR="00AE0885" w:rsidRDefault="00AE0885" w:rsidP="00B25866">
            <w:pPr>
              <w:cnfStyle w:val="100000000000"/>
              <w:rPr>
                <w:color w:val="000000" w:themeColor="text1"/>
              </w:rPr>
            </w:pPr>
            <w:r>
              <w:rPr>
                <w:color w:val="000000" w:themeColor="text1"/>
              </w:rPr>
              <w:t>Female data?</w:t>
            </w:r>
          </w:p>
          <w:p w:rsidR="00AE0885" w:rsidRPr="00AD6F4E" w:rsidRDefault="00AE0885" w:rsidP="00B25866">
            <w:pPr>
              <w:cnfStyle w:val="100000000000"/>
              <w:rPr>
                <w:color w:val="000000" w:themeColor="text1"/>
              </w:rPr>
            </w:pPr>
            <w:r w:rsidRPr="00AD6F4E">
              <w:rPr>
                <w:color w:val="000000" w:themeColor="text1"/>
              </w:rPr>
              <w:t>(Y/N</w:t>
            </w:r>
            <w:r>
              <w:rPr>
                <w:color w:val="000000" w:themeColor="text1"/>
              </w:rPr>
              <w:t>/NA</w:t>
            </w:r>
            <w:r w:rsidRPr="00AD6F4E">
              <w:rPr>
                <w:color w:val="000000" w:themeColor="text1"/>
              </w:rPr>
              <w:t>)</w:t>
            </w:r>
          </w:p>
        </w:tc>
      </w:tr>
      <w:tr w:rsidR="00AE0885" w:rsidRPr="00AD6F4E" w:rsidTr="00AE0885">
        <w:trPr>
          <w:cnfStyle w:val="000000100000"/>
          <w:trHeight w:val="1383"/>
        </w:trPr>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Dufaure and Hubert 1961</w:t>
            </w:r>
          </w:p>
        </w:tc>
        <w:tc>
          <w:tcPr>
            <w:tcW w:w="702" w:type="pct"/>
          </w:tcPr>
          <w:p w:rsidR="00AE0885" w:rsidRPr="00AD6F4E" w:rsidRDefault="00AE0885" w:rsidP="00B25866">
            <w:pPr>
              <w:cnfStyle w:val="000000100000"/>
              <w:rPr>
                <w:rFonts w:eastAsia="Times New Roman"/>
                <w:i/>
                <w:iCs/>
                <w:color w:val="000000" w:themeColor="text1"/>
              </w:rPr>
            </w:pPr>
            <w:r w:rsidRPr="00AD6F4E">
              <w:rPr>
                <w:rFonts w:eastAsia="Times New Roman"/>
                <w:i/>
                <w:iCs/>
                <w:color w:val="000000" w:themeColor="text1"/>
              </w:rPr>
              <w:t xml:space="preserve">Lacerta vivipara </w:t>
            </w:r>
          </w:p>
          <w:p w:rsidR="00AE0885" w:rsidRPr="00AD6F4E" w:rsidRDefault="00AE0885" w:rsidP="00B25866">
            <w:pPr>
              <w:cnfStyle w:val="000000100000"/>
              <w:rPr>
                <w:i/>
                <w:iCs/>
                <w:color w:val="000000" w:themeColor="text1"/>
              </w:rPr>
            </w:pPr>
          </w:p>
        </w:tc>
        <w:tc>
          <w:tcPr>
            <w:tcW w:w="780" w:type="pct"/>
          </w:tcPr>
          <w:p w:rsidR="00AE0885" w:rsidRPr="00AD6F4E" w:rsidRDefault="00AE0885" w:rsidP="00B25866">
            <w:pPr>
              <w:cnfStyle w:val="000000100000"/>
              <w:rPr>
                <w:color w:val="000000" w:themeColor="text1"/>
              </w:rPr>
            </w:pPr>
            <w:r w:rsidRPr="00AD6F4E">
              <w:rPr>
                <w:color w:val="000000" w:themeColor="text1"/>
              </w:rPr>
              <w:t>Developed new system</w:t>
            </w:r>
          </w:p>
        </w:tc>
        <w:tc>
          <w:tcPr>
            <w:tcW w:w="629" w:type="pct"/>
          </w:tcPr>
          <w:p w:rsidR="00AE0885" w:rsidRPr="00545021" w:rsidRDefault="00AE0885" w:rsidP="00B25866">
            <w:pPr>
              <w:widowControl w:val="0"/>
              <w:autoSpaceDE w:val="0"/>
              <w:autoSpaceDN w:val="0"/>
              <w:adjustRightInd w:val="0"/>
              <w:spacing w:line="260" w:lineRule="atLeast"/>
              <w:cnfStyle w:val="0000001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 xml:space="preserve">Early penis development </w:t>
            </w:r>
          </w:p>
          <w:p w:rsidR="00AE0885" w:rsidRPr="00AD6F4E" w:rsidRDefault="00AE0885" w:rsidP="00B25866">
            <w:pPr>
              <w:cnfStyle w:val="000000100000"/>
            </w:pPr>
          </w:p>
          <w:p w:rsidR="00AE0885" w:rsidRPr="00AD6F4E" w:rsidRDefault="00AE0885" w:rsidP="00B25866">
            <w:pPr>
              <w:cnfStyle w:val="000000100000"/>
            </w:pPr>
          </w:p>
        </w:tc>
        <w:tc>
          <w:tcPr>
            <w:tcW w:w="516" w:type="pct"/>
          </w:tcPr>
          <w:p w:rsidR="00AE0885" w:rsidRPr="00AD6F4E" w:rsidRDefault="00AE0885" w:rsidP="00B25866">
            <w:pPr>
              <w:cnfStyle w:val="000000100000"/>
              <w:rPr>
                <w:color w:val="000000" w:themeColor="text1"/>
              </w:rPr>
            </w:pPr>
            <w:r w:rsidRPr="00AD6F4E">
              <w:rPr>
                <w:color w:val="000000" w:themeColor="text1"/>
              </w:rPr>
              <w:t>Stage 31</w:t>
            </w:r>
          </w:p>
        </w:tc>
        <w:tc>
          <w:tcPr>
            <w:tcW w:w="699" w:type="pct"/>
          </w:tcPr>
          <w:p w:rsidR="00AE0885" w:rsidRPr="00AD6F4E" w:rsidRDefault="00AE0885" w:rsidP="00B25866">
            <w:pPr>
              <w:cnfStyle w:val="000000100000"/>
              <w:rPr>
                <w:color w:val="000000" w:themeColor="text1"/>
                <w:highlight w:val="yellow"/>
              </w:rPr>
            </w:pPr>
            <w:r w:rsidRPr="00AD6F4E">
              <w:rPr>
                <w:color w:val="000000" w:themeColor="text1"/>
              </w:rPr>
              <w:t>Y</w:t>
            </w:r>
          </w:p>
        </w:tc>
      </w:tr>
      <w:tr w:rsidR="00AE0885" w:rsidRPr="00AD6F4E" w:rsidTr="00AE0885">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Zehr 1962</w:t>
            </w:r>
          </w:p>
        </w:tc>
        <w:tc>
          <w:tcPr>
            <w:tcW w:w="702" w:type="pct"/>
          </w:tcPr>
          <w:p w:rsidR="00AE0885" w:rsidRPr="00AD6F4E" w:rsidRDefault="00AE0885" w:rsidP="00B25866">
            <w:pPr>
              <w:cnfStyle w:val="000000000000"/>
              <w:rPr>
                <w:rFonts w:eastAsia="Times New Roman"/>
                <w:i/>
                <w:iCs/>
                <w:color w:val="000000" w:themeColor="text1"/>
              </w:rPr>
            </w:pPr>
            <w:r w:rsidRPr="00AD6F4E">
              <w:rPr>
                <w:rFonts w:eastAsia="Times New Roman"/>
                <w:i/>
                <w:iCs/>
                <w:color w:val="000000" w:themeColor="text1"/>
              </w:rPr>
              <w:t>Thamnophis sirtalis sirtalis</w:t>
            </w:r>
          </w:p>
        </w:tc>
        <w:tc>
          <w:tcPr>
            <w:tcW w:w="780" w:type="pct"/>
          </w:tcPr>
          <w:p w:rsidR="00AE0885" w:rsidRPr="00AD6F4E" w:rsidRDefault="00AE0885" w:rsidP="00B25866">
            <w:pPr>
              <w:cnfStyle w:val="000000000000"/>
              <w:rPr>
                <w:color w:val="000000" w:themeColor="text1"/>
              </w:rPr>
            </w:pPr>
            <w:r w:rsidRPr="00AD6F4E">
              <w:rPr>
                <w:color w:val="000000" w:themeColor="text1"/>
              </w:rPr>
              <w:t>Developed new system</w:t>
            </w:r>
          </w:p>
        </w:tc>
        <w:tc>
          <w:tcPr>
            <w:tcW w:w="629" w:type="pct"/>
          </w:tcPr>
          <w:p w:rsidR="00AE0885" w:rsidRPr="00545021" w:rsidRDefault="00AE0885" w:rsidP="00B25866">
            <w:pPr>
              <w:widowControl w:val="0"/>
              <w:autoSpaceDE w:val="0"/>
              <w:autoSpaceDN w:val="0"/>
              <w:adjustRightInd w:val="0"/>
              <w:spacing w:line="260" w:lineRule="atLeast"/>
              <w:cnfStyle w:val="0000000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Cloacal mound can be seen</w:t>
            </w:r>
          </w:p>
        </w:tc>
        <w:tc>
          <w:tcPr>
            <w:tcW w:w="516" w:type="pct"/>
          </w:tcPr>
          <w:p w:rsidR="00AE0885" w:rsidRPr="00AD6F4E" w:rsidRDefault="00AE0885" w:rsidP="00B25866">
            <w:pPr>
              <w:cnfStyle w:val="000000000000"/>
              <w:rPr>
                <w:color w:val="000000" w:themeColor="text1"/>
              </w:rPr>
            </w:pPr>
            <w:r w:rsidRPr="00AD6F4E">
              <w:rPr>
                <w:color w:val="000000" w:themeColor="text1"/>
              </w:rPr>
              <w:t>Stage 23</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rFonts w:eastAsia="Times New Roman"/>
                <w:bCs w:val="0"/>
                <w:color w:val="000000" w:themeColor="text1"/>
              </w:rPr>
            </w:pPr>
            <w:r w:rsidRPr="00230D82">
              <w:rPr>
                <w:bCs w:val="0"/>
                <w:color w:val="000000" w:themeColor="text1"/>
              </w:rPr>
              <w:t>Hubert and Dufaure 1968</w:t>
            </w:r>
          </w:p>
        </w:tc>
        <w:tc>
          <w:tcPr>
            <w:tcW w:w="702" w:type="pct"/>
          </w:tcPr>
          <w:p w:rsidR="00AE0885" w:rsidRPr="00AD6F4E" w:rsidRDefault="00AE0885" w:rsidP="00B25866">
            <w:pPr>
              <w:cnfStyle w:val="000000100000"/>
              <w:rPr>
                <w:rFonts w:eastAsia="Times New Roman"/>
                <w:i/>
                <w:iCs/>
                <w:color w:val="000000" w:themeColor="text1"/>
              </w:rPr>
            </w:pPr>
            <w:r w:rsidRPr="00AD6F4E">
              <w:rPr>
                <w:rFonts w:eastAsia="Times New Roman"/>
                <w:i/>
                <w:iCs/>
                <w:color w:val="000000" w:themeColor="text1"/>
              </w:rPr>
              <w:t xml:space="preserve">Vipera aspis </w:t>
            </w:r>
          </w:p>
        </w:tc>
        <w:tc>
          <w:tcPr>
            <w:tcW w:w="780" w:type="pct"/>
          </w:tcPr>
          <w:p w:rsidR="00AE0885" w:rsidRPr="00AD6F4E" w:rsidRDefault="00AE0885" w:rsidP="00B25866">
            <w:pPr>
              <w:cnfStyle w:val="000000100000"/>
              <w:rPr>
                <w:color w:val="000000" w:themeColor="text1"/>
              </w:rPr>
            </w:pPr>
            <w:r w:rsidRPr="00AD6F4E">
              <w:rPr>
                <w:color w:val="000000" w:themeColor="text1"/>
              </w:rPr>
              <w:t>Dufaure and Hubert (1961)</w:t>
            </w:r>
          </w:p>
        </w:tc>
        <w:tc>
          <w:tcPr>
            <w:tcW w:w="629" w:type="pct"/>
          </w:tcPr>
          <w:p w:rsidR="00AE0885" w:rsidRPr="00545021" w:rsidRDefault="009E1178" w:rsidP="00B25866">
            <w:pPr>
              <w:widowControl w:val="0"/>
              <w:autoSpaceDE w:val="0"/>
              <w:autoSpaceDN w:val="0"/>
              <w:adjustRightInd w:val="0"/>
              <w:spacing w:line="260" w:lineRule="atLeast"/>
              <w:cnfStyle w:val="0000001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Cloacal region develops small swellings</w:t>
            </w:r>
          </w:p>
        </w:tc>
        <w:tc>
          <w:tcPr>
            <w:tcW w:w="516" w:type="pct"/>
          </w:tcPr>
          <w:p w:rsidR="00AE0885" w:rsidRPr="00AD6F4E" w:rsidRDefault="00AE0885" w:rsidP="00B25866">
            <w:pPr>
              <w:cnfStyle w:val="000000100000"/>
              <w:rPr>
                <w:color w:val="000000" w:themeColor="text1"/>
              </w:rPr>
            </w:pPr>
            <w:r w:rsidRPr="00AD6F4E">
              <w:rPr>
                <w:color w:val="000000" w:themeColor="text1"/>
              </w:rPr>
              <w:t>Stage 35</w:t>
            </w:r>
          </w:p>
        </w:tc>
        <w:tc>
          <w:tcPr>
            <w:tcW w:w="699" w:type="pct"/>
          </w:tcPr>
          <w:p w:rsidR="00AE0885" w:rsidRPr="00AD6F4E" w:rsidRDefault="00AE0885" w:rsidP="00B25866">
            <w:pPr>
              <w:cnfStyle w:val="000000100000"/>
              <w:rPr>
                <w:color w:val="000000" w:themeColor="text1"/>
              </w:rPr>
            </w:pPr>
            <w:r w:rsidRPr="00AD6F4E">
              <w:rPr>
                <w:color w:val="000000" w:themeColor="text1"/>
              </w:rPr>
              <w:t>Y</w:t>
            </w:r>
          </w:p>
        </w:tc>
      </w:tr>
      <w:tr w:rsidR="00AE0885" w:rsidRPr="00AD6F4E" w:rsidTr="00AE0885">
        <w:tc>
          <w:tcPr>
            <w:cnfStyle w:val="001000000000"/>
            <w:tcW w:w="1045" w:type="pct"/>
          </w:tcPr>
          <w:p w:rsidR="00AE0885" w:rsidRPr="00230D82" w:rsidRDefault="00AE0885" w:rsidP="00230D82">
            <w:pPr>
              <w:rPr>
                <w:bCs w:val="0"/>
                <w:color w:val="000000" w:themeColor="text1"/>
              </w:rPr>
            </w:pPr>
            <w:r w:rsidRPr="00230D82">
              <w:rPr>
                <w:rFonts w:eastAsia="Times New Roman"/>
                <w:bCs w:val="0"/>
                <w:color w:val="000000" w:themeColor="text1"/>
              </w:rPr>
              <w:t>Muthukkaruppan et al. 1970</w:t>
            </w:r>
          </w:p>
        </w:tc>
        <w:tc>
          <w:tcPr>
            <w:tcW w:w="702" w:type="pct"/>
          </w:tcPr>
          <w:p w:rsidR="00AE0885" w:rsidRPr="00AD6F4E" w:rsidRDefault="00AE0885" w:rsidP="00B25866">
            <w:pPr>
              <w:cnfStyle w:val="000000000000"/>
              <w:rPr>
                <w:rFonts w:eastAsia="Times New Roman"/>
                <w:i/>
                <w:iCs/>
                <w:color w:val="000000" w:themeColor="text1"/>
              </w:rPr>
            </w:pPr>
            <w:r w:rsidRPr="00AD6F4E">
              <w:rPr>
                <w:rFonts w:eastAsia="Times New Roman"/>
                <w:i/>
                <w:iCs/>
                <w:color w:val="000000" w:themeColor="text1"/>
              </w:rPr>
              <w:t>Calotes versicolor</w:t>
            </w:r>
          </w:p>
          <w:p w:rsidR="00AE0885" w:rsidRPr="00AD6F4E" w:rsidRDefault="00AE0885" w:rsidP="00B25866">
            <w:pPr>
              <w:cnfStyle w:val="000000000000"/>
              <w:rPr>
                <w:i/>
                <w:iCs/>
                <w:color w:val="000000" w:themeColor="text1"/>
              </w:rPr>
            </w:pPr>
          </w:p>
        </w:tc>
        <w:tc>
          <w:tcPr>
            <w:tcW w:w="780" w:type="pct"/>
          </w:tcPr>
          <w:p w:rsidR="00AE0885" w:rsidRPr="00AD6F4E" w:rsidRDefault="00AE0885" w:rsidP="00B25866">
            <w:pPr>
              <w:cnfStyle w:val="000000000000"/>
              <w:rPr>
                <w:color w:val="000000" w:themeColor="text1"/>
              </w:rPr>
            </w:pPr>
            <w:r w:rsidRPr="00AD6F4E">
              <w:rPr>
                <w:color w:val="000000" w:themeColor="text1"/>
              </w:rPr>
              <w:t>Dufaure and Hubert (1961)</w:t>
            </w:r>
          </w:p>
        </w:tc>
        <w:tc>
          <w:tcPr>
            <w:tcW w:w="629" w:type="pct"/>
          </w:tcPr>
          <w:p w:rsidR="00AE0885" w:rsidRPr="00545021" w:rsidRDefault="009E1178" w:rsidP="00B25866">
            <w:pPr>
              <w:widowControl w:val="0"/>
              <w:autoSpaceDE w:val="0"/>
              <w:autoSpaceDN w:val="0"/>
              <w:adjustRightInd w:val="0"/>
              <w:spacing w:line="260" w:lineRule="atLeast"/>
              <w:cnfStyle w:val="000000000000"/>
              <w:rPr>
                <w:color w:val="FF0000"/>
              </w:rPr>
            </w:pPr>
            <w:r w:rsidRPr="00545021">
              <w:rPr>
                <w:color w:val="FF0000"/>
              </w:rPr>
              <w:t>27 (2)</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The early penis rudiment is present</w:t>
            </w:r>
          </w:p>
        </w:tc>
        <w:tc>
          <w:tcPr>
            <w:tcW w:w="516" w:type="pct"/>
          </w:tcPr>
          <w:p w:rsidR="00AE0885" w:rsidRPr="00AD6F4E" w:rsidRDefault="00AE0885" w:rsidP="00B25866">
            <w:pPr>
              <w:cnfStyle w:val="000000000000"/>
              <w:rPr>
                <w:color w:val="000000" w:themeColor="text1"/>
              </w:rPr>
            </w:pPr>
            <w:r w:rsidRPr="00AD6F4E">
              <w:rPr>
                <w:color w:val="000000" w:themeColor="text1"/>
              </w:rPr>
              <w:t>Stage 32*</w:t>
            </w:r>
          </w:p>
        </w:tc>
        <w:tc>
          <w:tcPr>
            <w:tcW w:w="699" w:type="pct"/>
          </w:tcPr>
          <w:p w:rsidR="00AE0885" w:rsidRPr="00AD6F4E" w:rsidRDefault="00AE0885" w:rsidP="00B25866">
            <w:pPr>
              <w:cnfStyle w:val="000000000000"/>
              <w:rPr>
                <w:color w:val="000000" w:themeColor="text1"/>
              </w:rPr>
            </w:pPr>
            <w:r w:rsidRPr="00AD6F4E">
              <w:rPr>
                <w:color w:val="000000" w:themeColor="text1"/>
              </w:rPr>
              <w:t>Y</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lang w:val="de-DE"/>
              </w:rPr>
            </w:pPr>
            <w:r w:rsidRPr="00230D82">
              <w:rPr>
                <w:bCs w:val="0"/>
                <w:color w:val="000000" w:themeColor="text1"/>
                <w:lang w:val="de-DE"/>
              </w:rPr>
              <w:lastRenderedPageBreak/>
              <w:t>Lemus et al. 1981</w:t>
            </w:r>
          </w:p>
        </w:tc>
        <w:tc>
          <w:tcPr>
            <w:tcW w:w="702" w:type="pct"/>
          </w:tcPr>
          <w:p w:rsidR="00AE0885" w:rsidRPr="00AD6F4E" w:rsidRDefault="00AE0885" w:rsidP="00B25866">
            <w:pPr>
              <w:cnfStyle w:val="000000100000"/>
              <w:rPr>
                <w:rFonts w:eastAsia="Times New Roman"/>
                <w:i/>
                <w:iCs/>
                <w:color w:val="000000" w:themeColor="text1"/>
              </w:rPr>
            </w:pPr>
            <w:r w:rsidRPr="00AD6F4E">
              <w:rPr>
                <w:i/>
                <w:iCs/>
                <w:color w:val="000000" w:themeColor="text1"/>
              </w:rPr>
              <w:t>Liolaemus tenuis tenuis</w:t>
            </w:r>
          </w:p>
        </w:tc>
        <w:tc>
          <w:tcPr>
            <w:tcW w:w="780" w:type="pct"/>
          </w:tcPr>
          <w:p w:rsidR="00AE0885" w:rsidRPr="00AD6F4E" w:rsidRDefault="00AE0885" w:rsidP="00B25866">
            <w:pPr>
              <w:cnfStyle w:val="000000100000"/>
              <w:rPr>
                <w:color w:val="000000" w:themeColor="text1"/>
              </w:rPr>
            </w:pPr>
            <w:r w:rsidRPr="00AD6F4E">
              <w:rPr>
                <w:color w:val="000000" w:themeColor="text1"/>
              </w:rPr>
              <w:t>Lemus (1967)</w:t>
            </w:r>
          </w:p>
        </w:tc>
        <w:tc>
          <w:tcPr>
            <w:tcW w:w="629" w:type="pct"/>
          </w:tcPr>
          <w:p w:rsidR="00AE0885" w:rsidRPr="00545021" w:rsidRDefault="009E1178" w:rsidP="00B25866">
            <w:pPr>
              <w:widowControl w:val="0"/>
              <w:autoSpaceDE w:val="0"/>
              <w:autoSpaceDN w:val="0"/>
              <w:adjustRightInd w:val="0"/>
              <w:spacing w:line="260" w:lineRule="atLeast"/>
              <w:cnfStyle w:val="0000001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A well-developed phallus is present in both sexes</w:t>
            </w:r>
          </w:p>
        </w:tc>
        <w:tc>
          <w:tcPr>
            <w:tcW w:w="516" w:type="pct"/>
          </w:tcPr>
          <w:p w:rsidR="00AE0885" w:rsidRPr="00AD6F4E" w:rsidRDefault="00AE0885" w:rsidP="00B25866">
            <w:pPr>
              <w:cnfStyle w:val="000000100000"/>
              <w:rPr>
                <w:color w:val="000000" w:themeColor="text1"/>
              </w:rPr>
            </w:pPr>
            <w:r w:rsidRPr="00AD6F4E">
              <w:rPr>
                <w:color w:val="000000" w:themeColor="text1"/>
              </w:rPr>
              <w:t>Stage 37 (21 dpo)*</w:t>
            </w:r>
          </w:p>
        </w:tc>
        <w:tc>
          <w:tcPr>
            <w:tcW w:w="699" w:type="pct"/>
          </w:tcPr>
          <w:p w:rsidR="00AE0885" w:rsidRPr="00AD6F4E" w:rsidRDefault="00AE0885" w:rsidP="00B25866">
            <w:pPr>
              <w:cnfStyle w:val="000000100000"/>
              <w:rPr>
                <w:color w:val="000000" w:themeColor="text1"/>
              </w:rPr>
            </w:pPr>
            <w:r w:rsidRPr="00AD6F4E">
              <w:rPr>
                <w:color w:val="000000" w:themeColor="text1"/>
              </w:rPr>
              <w:t>Y</w:t>
            </w:r>
          </w:p>
        </w:tc>
      </w:tr>
      <w:tr w:rsidR="00AE0885" w:rsidRPr="00AD6F4E" w:rsidTr="00AE0885">
        <w:tc>
          <w:tcPr>
            <w:cnfStyle w:val="001000000000"/>
            <w:tcW w:w="1045" w:type="pct"/>
          </w:tcPr>
          <w:p w:rsidR="00AE0885" w:rsidRPr="00230D82" w:rsidRDefault="00AE0885" w:rsidP="00230D82">
            <w:pPr>
              <w:rPr>
                <w:color w:val="000000" w:themeColor="text1"/>
                <w:lang w:val="de-DE"/>
              </w:rPr>
            </w:pPr>
            <w:r w:rsidRPr="00230D82">
              <w:rPr>
                <w:color w:val="000000" w:themeColor="text1"/>
                <w:lang w:val="de-DE"/>
              </w:rPr>
              <w:t>Rosenberg et al. 1989</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Bradypodion pumilum</w:t>
            </w:r>
          </w:p>
        </w:tc>
        <w:tc>
          <w:tcPr>
            <w:tcW w:w="780" w:type="pct"/>
          </w:tcPr>
          <w:p w:rsidR="00AE0885" w:rsidRPr="00AD6F4E" w:rsidRDefault="00AE0885" w:rsidP="00B25866">
            <w:pPr>
              <w:cnfStyle w:val="000000000000"/>
              <w:rPr>
                <w:color w:val="000000" w:themeColor="text1"/>
              </w:rPr>
            </w:pPr>
            <w:r w:rsidRPr="00AD6F4E">
              <w:rPr>
                <w:color w:val="000000" w:themeColor="text1"/>
              </w:rPr>
              <w:t>Blanc 1974</w:t>
            </w:r>
          </w:p>
        </w:tc>
        <w:tc>
          <w:tcPr>
            <w:tcW w:w="629" w:type="pct"/>
          </w:tcPr>
          <w:p w:rsidR="00AE0885" w:rsidRPr="00545021" w:rsidRDefault="009E1178" w:rsidP="00B25866">
            <w:pPr>
              <w:widowControl w:val="0"/>
              <w:autoSpaceDE w:val="0"/>
              <w:autoSpaceDN w:val="0"/>
              <w:adjustRightInd w:val="0"/>
              <w:spacing w:line="260" w:lineRule="atLeast"/>
              <w:cnfStyle w:val="0000000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Paired genital protuberances</w:t>
            </w:r>
          </w:p>
        </w:tc>
        <w:tc>
          <w:tcPr>
            <w:tcW w:w="516" w:type="pct"/>
          </w:tcPr>
          <w:p w:rsidR="00AE0885" w:rsidRPr="00AD6F4E" w:rsidRDefault="00AE0885" w:rsidP="00B25866">
            <w:pPr>
              <w:cnfStyle w:val="000000000000"/>
              <w:rPr>
                <w:color w:val="000000" w:themeColor="text1"/>
              </w:rPr>
            </w:pPr>
            <w:r w:rsidRPr="00AD6F4E">
              <w:rPr>
                <w:color w:val="000000" w:themeColor="text1"/>
              </w:rPr>
              <w:t>Stage 36</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rFonts w:eastAsia="Times New Roman"/>
                <w:bCs w:val="0"/>
                <w:color w:val="000000" w:themeColor="text1"/>
              </w:rPr>
              <w:t>Doddamani, 1994</w:t>
            </w:r>
          </w:p>
        </w:tc>
        <w:tc>
          <w:tcPr>
            <w:tcW w:w="702" w:type="pct"/>
          </w:tcPr>
          <w:p w:rsidR="00AE0885" w:rsidRPr="00AD6F4E" w:rsidRDefault="00AE0885" w:rsidP="00B25866">
            <w:pPr>
              <w:cnfStyle w:val="000000100000"/>
              <w:rPr>
                <w:color w:val="000000" w:themeColor="text1"/>
              </w:rPr>
            </w:pPr>
            <w:r w:rsidRPr="00AD6F4E">
              <w:rPr>
                <w:rFonts w:eastAsia="Times New Roman"/>
                <w:i/>
                <w:iCs/>
                <w:color w:val="000000" w:themeColor="text1"/>
              </w:rPr>
              <w:t>Calotes versicolor</w:t>
            </w:r>
          </w:p>
        </w:tc>
        <w:tc>
          <w:tcPr>
            <w:tcW w:w="780" w:type="pct"/>
          </w:tcPr>
          <w:p w:rsidR="00AE0885" w:rsidRPr="00AD6F4E" w:rsidRDefault="00AE0885" w:rsidP="00B25866">
            <w:pPr>
              <w:cnfStyle w:val="000000100000"/>
              <w:rPr>
                <w:color w:val="000000" w:themeColor="text1"/>
              </w:rPr>
            </w:pPr>
            <w:r w:rsidRPr="00AD6F4E">
              <w:rPr>
                <w:rFonts w:eastAsia="Times New Roman"/>
                <w:color w:val="000000" w:themeColor="text1"/>
              </w:rPr>
              <w:t>Muthukkaruppan et al. 1970</w:t>
            </w:r>
          </w:p>
        </w:tc>
        <w:tc>
          <w:tcPr>
            <w:tcW w:w="629" w:type="pct"/>
          </w:tcPr>
          <w:p w:rsidR="00AE0885" w:rsidRPr="00545021" w:rsidRDefault="009E1178" w:rsidP="00B25866">
            <w:pPr>
              <w:widowControl w:val="0"/>
              <w:autoSpaceDE w:val="0"/>
              <w:autoSpaceDN w:val="0"/>
              <w:adjustRightInd w:val="0"/>
              <w:spacing w:line="260" w:lineRule="atLeast"/>
              <w:cnfStyle w:val="000000100000"/>
              <w:rPr>
                <w:color w:val="FF0000"/>
              </w:rPr>
            </w:pPr>
            <w:r w:rsidRPr="00545021">
              <w:rPr>
                <w:color w:val="FF0000"/>
              </w:rPr>
              <w:t>27 (2)</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Genital ridge on either side of the dorsal mesentery</w:t>
            </w:r>
          </w:p>
        </w:tc>
        <w:tc>
          <w:tcPr>
            <w:tcW w:w="516" w:type="pct"/>
          </w:tcPr>
          <w:p w:rsidR="00AE0885" w:rsidRPr="00AD6F4E" w:rsidRDefault="00AE0885" w:rsidP="00B25866">
            <w:pPr>
              <w:cnfStyle w:val="000000100000"/>
              <w:rPr>
                <w:color w:val="000000" w:themeColor="text1"/>
              </w:rPr>
            </w:pPr>
            <w:r w:rsidRPr="00AD6F4E">
              <w:rPr>
                <w:color w:val="000000" w:themeColor="text1"/>
              </w:rPr>
              <w:t>Stage 27 (oviposition)</w:t>
            </w:r>
          </w:p>
        </w:tc>
        <w:tc>
          <w:tcPr>
            <w:tcW w:w="699" w:type="pct"/>
          </w:tcPr>
          <w:p w:rsidR="00AE0885" w:rsidRPr="00AD6F4E" w:rsidRDefault="00AE0885" w:rsidP="00B25866">
            <w:pPr>
              <w:cnfStyle w:val="000000100000"/>
              <w:rPr>
                <w:color w:val="000000" w:themeColor="text1"/>
              </w:rPr>
            </w:pPr>
            <w:r w:rsidRPr="00AD6F4E">
              <w:rPr>
                <w:color w:val="000000" w:themeColor="text1"/>
              </w:rPr>
              <w:t>N</w:t>
            </w:r>
          </w:p>
        </w:tc>
      </w:tr>
      <w:tr w:rsidR="00AE0885" w:rsidRPr="00AD6F4E" w:rsidTr="00AE0885">
        <w:tc>
          <w:tcPr>
            <w:cnfStyle w:val="001000000000"/>
            <w:tcW w:w="1045" w:type="pct"/>
          </w:tcPr>
          <w:p w:rsidR="00AE0885" w:rsidRPr="00230D82" w:rsidRDefault="00AE0885" w:rsidP="00230D82">
            <w:pPr>
              <w:rPr>
                <w:rFonts w:eastAsia="Times New Roman"/>
                <w:bCs w:val="0"/>
                <w:color w:val="000000" w:themeColor="text1"/>
                <w:lang w:val="de-DE"/>
              </w:rPr>
            </w:pPr>
            <w:r w:rsidRPr="00230D82">
              <w:rPr>
                <w:rFonts w:eastAsia="Times New Roman"/>
                <w:bCs w:val="0"/>
                <w:color w:val="000000" w:themeColor="text1"/>
                <w:lang w:val="de-DE"/>
              </w:rPr>
              <w:t>Montero et al. 1999</w:t>
            </w:r>
          </w:p>
        </w:tc>
        <w:tc>
          <w:tcPr>
            <w:tcW w:w="702" w:type="pct"/>
          </w:tcPr>
          <w:p w:rsidR="00AE0885" w:rsidRPr="00AD6F4E" w:rsidRDefault="00AE0885" w:rsidP="00B25866">
            <w:pPr>
              <w:cnfStyle w:val="000000000000"/>
              <w:rPr>
                <w:rFonts w:eastAsia="Times New Roman"/>
                <w:i/>
                <w:iCs/>
                <w:color w:val="000000" w:themeColor="text1"/>
              </w:rPr>
            </w:pPr>
            <w:r w:rsidRPr="00AD6F4E">
              <w:rPr>
                <w:rFonts w:eastAsia="Times New Roman"/>
                <w:i/>
                <w:iCs/>
                <w:color w:val="000000" w:themeColor="text1"/>
              </w:rPr>
              <w:t>Amphisbaena darwini heterozonata</w:t>
            </w:r>
          </w:p>
        </w:tc>
        <w:tc>
          <w:tcPr>
            <w:tcW w:w="780" w:type="pct"/>
          </w:tcPr>
          <w:p w:rsidR="00AE0885" w:rsidRPr="00AD6F4E" w:rsidRDefault="00AE0885" w:rsidP="00B25866">
            <w:pPr>
              <w:cnfStyle w:val="000000000000"/>
              <w:rPr>
                <w:color w:val="000000" w:themeColor="text1"/>
              </w:rPr>
            </w:pPr>
            <w:r w:rsidRPr="00AD6F4E">
              <w:rPr>
                <w:color w:val="000000" w:themeColor="text1"/>
              </w:rPr>
              <w:t>Developed new system</w:t>
            </w:r>
          </w:p>
        </w:tc>
        <w:tc>
          <w:tcPr>
            <w:tcW w:w="629" w:type="pct"/>
          </w:tcPr>
          <w:p w:rsidR="00AE0885" w:rsidRPr="00545021" w:rsidRDefault="009E1178" w:rsidP="00B25866">
            <w:pPr>
              <w:widowControl w:val="0"/>
              <w:autoSpaceDE w:val="0"/>
              <w:autoSpaceDN w:val="0"/>
              <w:adjustRightInd w:val="0"/>
              <w:spacing w:line="260" w:lineRule="atLeast"/>
              <w:cnfStyle w:val="0000000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Eversion of hemipenes</w:t>
            </w:r>
          </w:p>
        </w:tc>
        <w:tc>
          <w:tcPr>
            <w:tcW w:w="516" w:type="pct"/>
          </w:tcPr>
          <w:p w:rsidR="00AE0885" w:rsidRPr="00AD6F4E" w:rsidRDefault="00AE0885" w:rsidP="00B25866">
            <w:pPr>
              <w:cnfStyle w:val="000000000000"/>
              <w:rPr>
                <w:color w:val="000000" w:themeColor="text1"/>
              </w:rPr>
            </w:pPr>
            <w:r w:rsidRPr="00AD6F4E">
              <w:rPr>
                <w:color w:val="000000" w:themeColor="text1"/>
              </w:rPr>
              <w:t>Stage 10*</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Height w:val="1417"/>
        </w:trPr>
        <w:tc>
          <w:tcPr>
            <w:cnfStyle w:val="001000000000"/>
            <w:tcW w:w="1045" w:type="pct"/>
          </w:tcPr>
          <w:p w:rsidR="00AE0885" w:rsidRPr="00230D82" w:rsidRDefault="00AE0885" w:rsidP="00B25866">
            <w:pPr>
              <w:rPr>
                <w:rFonts w:eastAsia="Times New Roman"/>
                <w:bCs w:val="0"/>
                <w:color w:val="000000" w:themeColor="text1"/>
              </w:rPr>
            </w:pPr>
          </w:p>
          <w:p w:rsidR="00AE0885" w:rsidRPr="00230D82" w:rsidRDefault="00AE0885" w:rsidP="00B25866">
            <w:pPr>
              <w:rPr>
                <w:rFonts w:eastAsia="Times New Roman"/>
                <w:bCs w:val="0"/>
                <w:color w:val="000000" w:themeColor="text1"/>
              </w:rPr>
            </w:pPr>
            <w:r w:rsidRPr="00230D82">
              <w:rPr>
                <w:rFonts w:eastAsia="Times New Roman"/>
                <w:bCs w:val="0"/>
                <w:color w:val="000000" w:themeColor="text1"/>
              </w:rPr>
              <w:t>Jackson, 2002</w:t>
            </w:r>
          </w:p>
          <w:p w:rsidR="00AE0885" w:rsidRPr="00230D82" w:rsidRDefault="00AE0885" w:rsidP="00B25866">
            <w:pPr>
              <w:rPr>
                <w:rFonts w:eastAsia="Times New Roman"/>
                <w:bCs w:val="0"/>
                <w:color w:val="000000" w:themeColor="text1"/>
              </w:rPr>
            </w:pPr>
          </w:p>
        </w:tc>
        <w:tc>
          <w:tcPr>
            <w:tcW w:w="702" w:type="pct"/>
          </w:tcPr>
          <w:p w:rsidR="00AE0885" w:rsidRPr="00AD6F4E" w:rsidRDefault="00AE0885" w:rsidP="00B25866">
            <w:pPr>
              <w:cnfStyle w:val="000000100000"/>
              <w:rPr>
                <w:rFonts w:eastAsia="Times New Roman"/>
                <w:i/>
                <w:iCs/>
                <w:color w:val="000000" w:themeColor="text1"/>
              </w:rPr>
            </w:pPr>
          </w:p>
          <w:p w:rsidR="00AE0885" w:rsidRPr="00AD6F4E" w:rsidRDefault="00AE0885" w:rsidP="00B25866">
            <w:pPr>
              <w:cnfStyle w:val="000000100000"/>
              <w:rPr>
                <w:rFonts w:eastAsia="Times New Roman"/>
                <w:i/>
                <w:iCs/>
                <w:color w:val="000000" w:themeColor="text1"/>
              </w:rPr>
            </w:pPr>
            <w:r w:rsidRPr="00AD6F4E">
              <w:rPr>
                <w:rFonts w:eastAsia="Times New Roman"/>
                <w:i/>
                <w:iCs/>
                <w:color w:val="000000" w:themeColor="text1"/>
              </w:rPr>
              <w:t>Naja kaouthia</w:t>
            </w:r>
          </w:p>
          <w:p w:rsidR="00AE0885" w:rsidRPr="00AD6F4E" w:rsidRDefault="00AE0885" w:rsidP="00B25866">
            <w:pPr>
              <w:cnfStyle w:val="000000100000"/>
              <w:rPr>
                <w:rFonts w:eastAsia="Times New Roman"/>
                <w:i/>
                <w:iCs/>
                <w:color w:val="000000" w:themeColor="text1"/>
              </w:rPr>
            </w:pPr>
          </w:p>
        </w:tc>
        <w:tc>
          <w:tcPr>
            <w:tcW w:w="780" w:type="pct"/>
          </w:tcPr>
          <w:p w:rsidR="00AE0885" w:rsidRPr="00AD6F4E" w:rsidRDefault="00AE0885" w:rsidP="00B25866">
            <w:pPr>
              <w:cnfStyle w:val="000000100000"/>
              <w:rPr>
                <w:rFonts w:eastAsia="Times New Roman"/>
                <w:color w:val="000000" w:themeColor="text1"/>
              </w:rPr>
            </w:pPr>
            <w:r w:rsidRPr="00AD6F4E">
              <w:rPr>
                <w:color w:val="000000" w:themeColor="text1"/>
              </w:rPr>
              <w:t>Dufaure and Hubert (1961) and Zehr (1962)</w:t>
            </w:r>
          </w:p>
        </w:tc>
        <w:tc>
          <w:tcPr>
            <w:tcW w:w="629" w:type="pct"/>
          </w:tcPr>
          <w:p w:rsidR="00AE0885" w:rsidRPr="00545021" w:rsidRDefault="00FE6470" w:rsidP="00B25866">
            <w:pPr>
              <w:widowControl w:val="0"/>
              <w:autoSpaceDE w:val="0"/>
              <w:autoSpaceDN w:val="0"/>
              <w:adjustRightInd w:val="0"/>
              <w:spacing w:line="260" w:lineRule="atLeast"/>
              <w:cnfStyle w:val="000000100000"/>
              <w:rPr>
                <w:color w:val="FF0000"/>
              </w:rPr>
            </w:pPr>
            <w:r w:rsidRPr="00545021">
              <w:rPr>
                <w:color w:val="FF0000"/>
              </w:rPr>
              <w:t>N</w:t>
            </w:r>
            <w:r w:rsidR="00AF3323" w:rsidRPr="00545021">
              <w:rPr>
                <w:color w:val="FF0000"/>
              </w:rPr>
              <w:t>R</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NA</w:t>
            </w:r>
          </w:p>
        </w:tc>
        <w:tc>
          <w:tcPr>
            <w:tcW w:w="516" w:type="pct"/>
          </w:tcPr>
          <w:p w:rsidR="00AE0885" w:rsidRPr="00AD6F4E" w:rsidRDefault="00AE0885" w:rsidP="00B25866">
            <w:pPr>
              <w:cnfStyle w:val="000000100000"/>
              <w:rPr>
                <w:color w:val="000000" w:themeColor="text1"/>
              </w:rPr>
            </w:pPr>
            <w:r w:rsidRPr="00AD6F4E">
              <w:rPr>
                <w:color w:val="000000" w:themeColor="text1"/>
              </w:rPr>
              <w:t>NA</w:t>
            </w:r>
          </w:p>
        </w:tc>
        <w:tc>
          <w:tcPr>
            <w:tcW w:w="699" w:type="pct"/>
          </w:tcPr>
          <w:p w:rsidR="00AE0885" w:rsidRPr="00AD6F4E" w:rsidRDefault="00AE0885" w:rsidP="00B25866">
            <w:pPr>
              <w:cnfStyle w:val="000000100000"/>
              <w:rPr>
                <w:color w:val="000000" w:themeColor="text1"/>
              </w:rPr>
            </w:pPr>
            <w:r w:rsidRPr="00AD6F4E">
              <w:rPr>
                <w:color w:val="000000" w:themeColor="text1"/>
              </w:rPr>
              <w:t>NA</w:t>
            </w:r>
          </w:p>
        </w:tc>
      </w:tr>
      <w:tr w:rsidR="00AE0885" w:rsidRPr="00AD6F4E" w:rsidTr="00AE0885">
        <w:tc>
          <w:tcPr>
            <w:cnfStyle w:val="001000000000"/>
            <w:tcW w:w="1045" w:type="pct"/>
          </w:tcPr>
          <w:p w:rsidR="00AE0885" w:rsidRPr="00230D82" w:rsidRDefault="00AE0885" w:rsidP="00B25866">
            <w:pPr>
              <w:rPr>
                <w:rFonts w:eastAsia="Times New Roman"/>
                <w:bCs w:val="0"/>
                <w:color w:val="000000" w:themeColor="text1"/>
              </w:rPr>
            </w:pPr>
            <w:r w:rsidRPr="00230D82">
              <w:rPr>
                <w:bCs w:val="0"/>
                <w:color w:val="000000" w:themeColor="text1"/>
              </w:rPr>
              <w:t>Neaves et al. 2006</w:t>
            </w:r>
          </w:p>
        </w:tc>
        <w:tc>
          <w:tcPr>
            <w:tcW w:w="702" w:type="pct"/>
          </w:tcPr>
          <w:p w:rsidR="00AE0885" w:rsidRPr="00AD6F4E" w:rsidRDefault="00AE0885" w:rsidP="00B25866">
            <w:pPr>
              <w:cnfStyle w:val="000000000000"/>
              <w:rPr>
                <w:rFonts w:eastAsia="Times New Roman"/>
                <w:i/>
                <w:iCs/>
                <w:color w:val="000000" w:themeColor="text1"/>
              </w:rPr>
            </w:pPr>
            <w:r w:rsidRPr="00AD6F4E">
              <w:rPr>
                <w:i/>
                <w:iCs/>
                <w:color w:val="000000" w:themeColor="text1"/>
              </w:rPr>
              <w:t>Niveoscincus ocellatus</w:t>
            </w:r>
          </w:p>
        </w:tc>
        <w:tc>
          <w:tcPr>
            <w:tcW w:w="780" w:type="pct"/>
          </w:tcPr>
          <w:p w:rsidR="00AE0885" w:rsidRPr="00AD6F4E" w:rsidRDefault="00AE0885" w:rsidP="00B25866">
            <w:pPr>
              <w:cnfStyle w:val="000000000000"/>
              <w:rPr>
                <w:color w:val="000000" w:themeColor="text1"/>
              </w:rPr>
            </w:pPr>
            <w:r w:rsidRPr="00AD6F4E">
              <w:rPr>
                <w:color w:val="000000" w:themeColor="text1"/>
              </w:rPr>
              <w:t>Dufaure and Hubert (1961)</w:t>
            </w:r>
          </w:p>
        </w:tc>
        <w:tc>
          <w:tcPr>
            <w:tcW w:w="629" w:type="pct"/>
          </w:tcPr>
          <w:p w:rsidR="00AE0885" w:rsidRPr="00545021" w:rsidRDefault="00FE6470" w:rsidP="00B25866">
            <w:pPr>
              <w:cnfStyle w:val="000000000000"/>
              <w:rPr>
                <w:color w:val="FF0000"/>
              </w:rPr>
            </w:pPr>
            <w:r w:rsidRPr="00545021">
              <w:rPr>
                <w:color w:val="FF0000"/>
              </w:rPr>
              <w:t>NA</w:t>
            </w:r>
          </w:p>
        </w:tc>
        <w:tc>
          <w:tcPr>
            <w:tcW w:w="629" w:type="pct"/>
          </w:tcPr>
          <w:p w:rsidR="00AE0885" w:rsidRPr="00AD6F4E" w:rsidRDefault="00AE0885" w:rsidP="00B25866">
            <w:pPr>
              <w:cnfStyle w:val="000000000000"/>
              <w:rPr>
                <w:color w:val="000000" w:themeColor="text1"/>
              </w:rPr>
            </w:pPr>
            <w:r w:rsidRPr="00AD6F4E">
              <w:rPr>
                <w:color w:val="000000" w:themeColor="text1"/>
              </w:rPr>
              <w:t>Hemipenes</w:t>
            </w:r>
          </w:p>
          <w:p w:rsidR="00AE0885" w:rsidRPr="00AD6F4E" w:rsidRDefault="00AE0885" w:rsidP="00B25866">
            <w:pPr>
              <w:cnfStyle w:val="000000000000"/>
              <w:rPr>
                <w:color w:val="000000" w:themeColor="text1"/>
              </w:rPr>
            </w:pPr>
          </w:p>
          <w:p w:rsidR="00AE0885" w:rsidRPr="00AD6F4E" w:rsidRDefault="00AE0885" w:rsidP="00B25866">
            <w:pPr>
              <w:widowControl w:val="0"/>
              <w:autoSpaceDE w:val="0"/>
              <w:autoSpaceDN w:val="0"/>
              <w:adjustRightInd w:val="0"/>
              <w:spacing w:line="260" w:lineRule="atLeast"/>
              <w:cnfStyle w:val="000000000000"/>
              <w:rPr>
                <w:color w:val="000000" w:themeColor="text1"/>
              </w:rPr>
            </w:pPr>
          </w:p>
        </w:tc>
        <w:tc>
          <w:tcPr>
            <w:tcW w:w="516" w:type="pct"/>
          </w:tcPr>
          <w:p w:rsidR="00AE0885" w:rsidRPr="00AD6F4E" w:rsidRDefault="00AE0885" w:rsidP="00B25866">
            <w:pPr>
              <w:cnfStyle w:val="000000000000"/>
              <w:rPr>
                <w:color w:val="000000" w:themeColor="text1"/>
              </w:rPr>
            </w:pPr>
            <w:r w:rsidRPr="00AD6F4E">
              <w:rPr>
                <w:color w:val="000000" w:themeColor="text1"/>
              </w:rPr>
              <w:t>Prior to Stage 1</w:t>
            </w:r>
          </w:p>
          <w:p w:rsidR="00AE0885" w:rsidRPr="00AD6F4E" w:rsidRDefault="00AE0885" w:rsidP="00B25866">
            <w:pPr>
              <w:cnfStyle w:val="000000000000"/>
              <w:rPr>
                <w:color w:val="000000" w:themeColor="text1"/>
              </w:rPr>
            </w:pPr>
          </w:p>
          <w:p w:rsidR="00AE0885" w:rsidRPr="00AD6F4E" w:rsidRDefault="00AE0885" w:rsidP="00B25866">
            <w:pPr>
              <w:cnfStyle w:val="000000000000"/>
              <w:rPr>
                <w:color w:val="000000" w:themeColor="text1"/>
              </w:rPr>
            </w:pPr>
          </w:p>
        </w:tc>
        <w:tc>
          <w:tcPr>
            <w:tcW w:w="699" w:type="pct"/>
          </w:tcPr>
          <w:p w:rsidR="00AE0885" w:rsidRPr="00AD6F4E" w:rsidRDefault="00AE0885" w:rsidP="00B25866">
            <w:pPr>
              <w:cnfStyle w:val="000000000000"/>
              <w:rPr>
                <w:color w:val="000000" w:themeColor="text1"/>
              </w:rPr>
            </w:pPr>
            <w:r w:rsidRPr="00AD6F4E">
              <w:rPr>
                <w:color w:val="000000" w:themeColor="text1"/>
              </w:rPr>
              <w:t>Y</w:t>
            </w:r>
          </w:p>
        </w:tc>
      </w:tr>
      <w:tr w:rsidR="00AE0885" w:rsidRPr="00AD6F4E" w:rsidTr="00AE0885">
        <w:trPr>
          <w:cnfStyle w:val="000000100000"/>
        </w:trPr>
        <w:tc>
          <w:tcPr>
            <w:cnfStyle w:val="001000000000"/>
            <w:tcW w:w="1045" w:type="pct"/>
          </w:tcPr>
          <w:p w:rsidR="00AE0885" w:rsidRPr="00230D82" w:rsidRDefault="00AE0885" w:rsidP="00230D82">
            <w:pPr>
              <w:rPr>
                <w:rFonts w:eastAsia="Times New Roman"/>
                <w:bCs w:val="0"/>
                <w:color w:val="000000" w:themeColor="text1"/>
              </w:rPr>
            </w:pPr>
            <w:r w:rsidRPr="00230D82">
              <w:rPr>
                <w:bCs w:val="0"/>
                <w:color w:val="000000" w:themeColor="text1"/>
              </w:rPr>
              <w:t>Boughner et al. 2007</w:t>
            </w:r>
          </w:p>
        </w:tc>
        <w:tc>
          <w:tcPr>
            <w:tcW w:w="702" w:type="pct"/>
          </w:tcPr>
          <w:p w:rsidR="00AE0885" w:rsidRPr="00AD6F4E" w:rsidRDefault="00AE0885" w:rsidP="00B25866">
            <w:pPr>
              <w:cnfStyle w:val="000000100000"/>
              <w:rPr>
                <w:rFonts w:eastAsia="Times New Roman"/>
                <w:i/>
                <w:iCs/>
                <w:color w:val="000000" w:themeColor="text1"/>
              </w:rPr>
            </w:pPr>
            <w:r w:rsidRPr="00AD6F4E">
              <w:rPr>
                <w:i/>
                <w:iCs/>
                <w:color w:val="000000" w:themeColor="text1"/>
              </w:rPr>
              <w:t>Python sebae</w:t>
            </w:r>
          </w:p>
        </w:tc>
        <w:tc>
          <w:tcPr>
            <w:tcW w:w="780" w:type="pct"/>
          </w:tcPr>
          <w:p w:rsidR="00AE0885" w:rsidRPr="00AD6F4E" w:rsidRDefault="00AE0885" w:rsidP="00B25866">
            <w:pPr>
              <w:cnfStyle w:val="000000100000"/>
              <w:rPr>
                <w:color w:val="000000" w:themeColor="text1"/>
              </w:rPr>
            </w:pPr>
            <w:r w:rsidRPr="00AD6F4E">
              <w:rPr>
                <w:color w:val="000000" w:themeColor="text1"/>
              </w:rPr>
              <w:t>Developed new system</w:t>
            </w:r>
          </w:p>
        </w:tc>
        <w:tc>
          <w:tcPr>
            <w:tcW w:w="629" w:type="pct"/>
          </w:tcPr>
          <w:p w:rsidR="00AE0885" w:rsidRPr="00545021" w:rsidRDefault="00FE6470" w:rsidP="00B25866">
            <w:pPr>
              <w:widowControl w:val="0"/>
              <w:autoSpaceDE w:val="0"/>
              <w:autoSpaceDN w:val="0"/>
              <w:adjustRightInd w:val="0"/>
              <w:spacing w:line="260" w:lineRule="atLeast"/>
              <w:cnfStyle w:val="000000100000"/>
              <w:rPr>
                <w:color w:val="FF0000"/>
              </w:rPr>
            </w:pPr>
            <w:r w:rsidRPr="00545021">
              <w:rPr>
                <w:color w:val="FF0000"/>
              </w:rPr>
              <w:t>1 (3)</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Stage 3</w:t>
            </w:r>
            <w:r>
              <w:rPr>
                <w:color w:val="000000" w:themeColor="text1"/>
              </w:rPr>
              <w:t>*</w:t>
            </w:r>
          </w:p>
        </w:tc>
        <w:tc>
          <w:tcPr>
            <w:tcW w:w="516" w:type="pct"/>
          </w:tcPr>
          <w:p w:rsidR="00AE0885" w:rsidRPr="00AD6F4E" w:rsidRDefault="00AE0885" w:rsidP="00B25866">
            <w:pPr>
              <w:cnfStyle w:val="000000100000"/>
              <w:rPr>
                <w:color w:val="000000" w:themeColor="text1"/>
              </w:rPr>
            </w:pPr>
            <w:r w:rsidRPr="00AD6F4E">
              <w:rPr>
                <w:color w:val="000000" w:themeColor="text1"/>
              </w:rPr>
              <w:t>Hemipenes are visible medial to the limb bud</w:t>
            </w:r>
          </w:p>
        </w:tc>
        <w:tc>
          <w:tcPr>
            <w:tcW w:w="699" w:type="pct"/>
          </w:tcPr>
          <w:p w:rsidR="00AE0885" w:rsidRPr="00AD6F4E" w:rsidRDefault="00AE0885" w:rsidP="00B25866">
            <w:pPr>
              <w:cnfStyle w:val="000000100000"/>
              <w:rPr>
                <w:b/>
                <w:color w:val="000000" w:themeColor="text1"/>
              </w:rPr>
            </w:pPr>
            <w:r w:rsidRPr="00AD6F4E">
              <w:rPr>
                <w:color w:val="000000" w:themeColor="text1"/>
              </w:rPr>
              <w:t>N</w:t>
            </w:r>
          </w:p>
        </w:tc>
      </w:tr>
      <w:tr w:rsidR="00AE0885" w:rsidRPr="00AD6F4E" w:rsidTr="00AE0885">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Sanger et al. 2008</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Anolis</w:t>
            </w:r>
            <w:r w:rsidRPr="00AD6F4E">
              <w:rPr>
                <w:color w:val="000000" w:themeColor="text1"/>
              </w:rPr>
              <w:t xml:space="preserve"> (genus)</w:t>
            </w:r>
          </w:p>
        </w:tc>
        <w:tc>
          <w:tcPr>
            <w:tcW w:w="780" w:type="pct"/>
          </w:tcPr>
          <w:p w:rsidR="00AE0885" w:rsidRPr="00AD6F4E" w:rsidRDefault="00AE0885" w:rsidP="00B25866">
            <w:pPr>
              <w:cnfStyle w:val="000000000000"/>
              <w:rPr>
                <w:color w:val="000000" w:themeColor="text1"/>
              </w:rPr>
            </w:pPr>
            <w:r w:rsidRPr="00AD6F4E">
              <w:rPr>
                <w:color w:val="000000" w:themeColor="text1"/>
              </w:rPr>
              <w:t>Developed new system based on limb development</w:t>
            </w:r>
          </w:p>
        </w:tc>
        <w:tc>
          <w:tcPr>
            <w:tcW w:w="629" w:type="pct"/>
          </w:tcPr>
          <w:p w:rsidR="00AE0885" w:rsidRPr="00545021" w:rsidRDefault="00FE6470" w:rsidP="00B25866">
            <w:pPr>
              <w:cnfStyle w:val="000000000000"/>
              <w:rPr>
                <w:color w:val="FF0000"/>
              </w:rPr>
            </w:pPr>
            <w:r w:rsidRPr="00545021">
              <w:rPr>
                <w:color w:val="FF0000"/>
              </w:rPr>
              <w:t>4</w:t>
            </w:r>
          </w:p>
        </w:tc>
        <w:tc>
          <w:tcPr>
            <w:tcW w:w="629" w:type="pct"/>
          </w:tcPr>
          <w:p w:rsidR="00AE0885" w:rsidRPr="00AD6F4E" w:rsidRDefault="00AE0885" w:rsidP="00B25866">
            <w:pPr>
              <w:cnfStyle w:val="000000000000"/>
              <w:rPr>
                <w:color w:val="000000" w:themeColor="text1"/>
              </w:rPr>
            </w:pPr>
            <w:r w:rsidRPr="00AD6F4E">
              <w:rPr>
                <w:color w:val="000000" w:themeColor="text1"/>
              </w:rPr>
              <w:t>Stage 10</w:t>
            </w:r>
          </w:p>
        </w:tc>
        <w:tc>
          <w:tcPr>
            <w:tcW w:w="516" w:type="pct"/>
          </w:tcPr>
          <w:p w:rsidR="00AE0885" w:rsidRPr="00AD6F4E" w:rsidRDefault="00AE0885" w:rsidP="00B25866">
            <w:pPr>
              <w:cnfStyle w:val="000000000000"/>
              <w:rPr>
                <w:color w:val="000000" w:themeColor="text1"/>
              </w:rPr>
            </w:pPr>
            <w:r w:rsidRPr="00AD6F4E">
              <w:rPr>
                <w:color w:val="000000" w:themeColor="text1"/>
              </w:rPr>
              <w:t>Hemipenes obvious in males</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lang w:val="de-DE"/>
              </w:rPr>
            </w:pPr>
            <w:r w:rsidRPr="00230D82">
              <w:rPr>
                <w:bCs w:val="0"/>
                <w:color w:val="000000" w:themeColor="text1"/>
                <w:lang w:val="de-DE"/>
              </w:rPr>
              <w:t>Noro et al. 2009</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Paroedura pictus</w:t>
            </w:r>
          </w:p>
        </w:tc>
        <w:tc>
          <w:tcPr>
            <w:tcW w:w="780" w:type="pct"/>
          </w:tcPr>
          <w:p w:rsidR="00AE0885" w:rsidRPr="00AD6F4E" w:rsidRDefault="00AE0885" w:rsidP="00B25866">
            <w:pPr>
              <w:cnfStyle w:val="000000100000"/>
              <w:rPr>
                <w:color w:val="000000" w:themeColor="text1"/>
              </w:rPr>
            </w:pPr>
            <w:r w:rsidRPr="00AD6F4E">
              <w:rPr>
                <w:color w:val="000000" w:themeColor="text1"/>
              </w:rPr>
              <w:t>Sanger et al. (2008)</w:t>
            </w:r>
          </w:p>
        </w:tc>
        <w:tc>
          <w:tcPr>
            <w:tcW w:w="629" w:type="pct"/>
          </w:tcPr>
          <w:p w:rsidR="00AE0885" w:rsidRPr="00545021" w:rsidRDefault="00FE6470" w:rsidP="00B25866">
            <w:pPr>
              <w:cnfStyle w:val="000000100000"/>
              <w:rPr>
                <w:color w:val="FF0000"/>
              </w:rPr>
            </w:pPr>
            <w:r w:rsidRPr="00545021">
              <w:rPr>
                <w:color w:val="FF0000"/>
              </w:rPr>
              <w:t>0dpo (&lt;1)</w:t>
            </w:r>
          </w:p>
        </w:tc>
        <w:tc>
          <w:tcPr>
            <w:tcW w:w="629" w:type="pct"/>
          </w:tcPr>
          <w:p w:rsidR="00AE0885" w:rsidRPr="00AD6F4E" w:rsidRDefault="00AE0885" w:rsidP="00B25866">
            <w:pPr>
              <w:cnfStyle w:val="000000100000"/>
              <w:rPr>
                <w:color w:val="000000" w:themeColor="text1"/>
              </w:rPr>
            </w:pPr>
            <w:r w:rsidRPr="00AD6F4E">
              <w:rPr>
                <w:color w:val="000000" w:themeColor="text1"/>
              </w:rPr>
              <w:t>Genital buds distinctly bulging at the roots of the hind limbs</w:t>
            </w:r>
          </w:p>
        </w:tc>
        <w:tc>
          <w:tcPr>
            <w:tcW w:w="516" w:type="pct"/>
          </w:tcPr>
          <w:p w:rsidR="00AE0885" w:rsidRPr="00AD6F4E" w:rsidRDefault="00AE0885" w:rsidP="00B25866">
            <w:pPr>
              <w:cnfStyle w:val="000000100000"/>
              <w:rPr>
                <w:color w:val="000000" w:themeColor="text1"/>
              </w:rPr>
            </w:pPr>
            <w:r w:rsidRPr="00AD6F4E">
              <w:rPr>
                <w:color w:val="000000" w:themeColor="text1"/>
              </w:rPr>
              <w:t>4 dpo</w:t>
            </w:r>
          </w:p>
        </w:tc>
        <w:tc>
          <w:tcPr>
            <w:tcW w:w="699" w:type="pct"/>
          </w:tcPr>
          <w:p w:rsidR="00AE0885" w:rsidRPr="00AD6F4E" w:rsidRDefault="00AE0885" w:rsidP="00B25866">
            <w:pPr>
              <w:cnfStyle w:val="000000100000"/>
              <w:rPr>
                <w:color w:val="000000" w:themeColor="text1"/>
              </w:rPr>
            </w:pPr>
            <w:r w:rsidRPr="00AD6F4E">
              <w:rPr>
                <w:color w:val="000000" w:themeColor="text1"/>
              </w:rPr>
              <w:t>N</w:t>
            </w:r>
          </w:p>
        </w:tc>
      </w:tr>
      <w:tr w:rsidR="00AE0885" w:rsidRPr="00AD6F4E" w:rsidTr="00AE0885">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Wise et al. 2009</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Eublepharis macularius</w:t>
            </w:r>
          </w:p>
        </w:tc>
        <w:tc>
          <w:tcPr>
            <w:tcW w:w="780" w:type="pct"/>
          </w:tcPr>
          <w:p w:rsidR="00AE0885" w:rsidRPr="00AD6F4E" w:rsidRDefault="00AE0885" w:rsidP="00B25866">
            <w:pPr>
              <w:cnfStyle w:val="000000000000"/>
              <w:rPr>
                <w:color w:val="000000" w:themeColor="text1"/>
              </w:rPr>
            </w:pPr>
            <w:r w:rsidRPr="00AD6F4E">
              <w:rPr>
                <w:color w:val="000000" w:themeColor="text1"/>
              </w:rPr>
              <w:t xml:space="preserve">Dufaure and Hubert (1961), Muthukkarruppan et al. (1970), </w:t>
            </w:r>
            <w:r w:rsidRPr="00AD6F4E">
              <w:rPr>
                <w:color w:val="000000" w:themeColor="text1"/>
              </w:rPr>
              <w:lastRenderedPageBreak/>
              <w:t xml:space="preserve">Hamburger and Hamilton (1951), Sanger et al. (2008a); Noro et al. (2009)  </w:t>
            </w:r>
          </w:p>
        </w:tc>
        <w:tc>
          <w:tcPr>
            <w:tcW w:w="629" w:type="pct"/>
          </w:tcPr>
          <w:p w:rsidR="00AE0885" w:rsidRPr="00545021" w:rsidRDefault="00FE6470" w:rsidP="00B25866">
            <w:pPr>
              <w:widowControl w:val="0"/>
              <w:autoSpaceDE w:val="0"/>
              <w:autoSpaceDN w:val="0"/>
              <w:adjustRightInd w:val="0"/>
              <w:spacing w:line="260" w:lineRule="atLeast"/>
              <w:cnfStyle w:val="000000000000"/>
              <w:rPr>
                <w:color w:val="FF0000"/>
              </w:rPr>
            </w:pPr>
            <w:r w:rsidRPr="00545021">
              <w:rPr>
                <w:color w:val="FF0000"/>
              </w:rPr>
              <w:lastRenderedPageBreak/>
              <w:t>28 (2)</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NA</w:t>
            </w:r>
          </w:p>
        </w:tc>
        <w:tc>
          <w:tcPr>
            <w:tcW w:w="516" w:type="pct"/>
          </w:tcPr>
          <w:p w:rsidR="00AE0885" w:rsidRPr="00AD6F4E" w:rsidRDefault="00AE0885" w:rsidP="00B25866">
            <w:pPr>
              <w:cnfStyle w:val="000000000000"/>
              <w:rPr>
                <w:color w:val="000000" w:themeColor="text1"/>
              </w:rPr>
            </w:pPr>
            <w:r w:rsidRPr="00AD6F4E">
              <w:rPr>
                <w:color w:val="000000" w:themeColor="text1"/>
              </w:rPr>
              <w:t>NA</w:t>
            </w:r>
          </w:p>
        </w:tc>
        <w:tc>
          <w:tcPr>
            <w:tcW w:w="699" w:type="pct"/>
          </w:tcPr>
          <w:p w:rsidR="00AE0885" w:rsidRPr="00AD6F4E" w:rsidRDefault="00AE0885" w:rsidP="00B25866">
            <w:pPr>
              <w:cnfStyle w:val="000000000000"/>
              <w:rPr>
                <w:color w:val="000000" w:themeColor="text1"/>
              </w:rPr>
            </w:pPr>
            <w:r w:rsidRPr="00AD6F4E">
              <w:rPr>
                <w:color w:val="000000" w:themeColor="text1"/>
              </w:rPr>
              <w:t>NA</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lastRenderedPageBreak/>
              <w:t>Boback et al. 2011</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Boaedon fuliginosus</w:t>
            </w:r>
          </w:p>
        </w:tc>
        <w:tc>
          <w:tcPr>
            <w:tcW w:w="780" w:type="pct"/>
          </w:tcPr>
          <w:p w:rsidR="00AE0885" w:rsidRPr="00AD6F4E" w:rsidRDefault="00AE0885" w:rsidP="00B25866">
            <w:pPr>
              <w:cnfStyle w:val="000000100000"/>
              <w:rPr>
                <w:color w:val="000000" w:themeColor="text1"/>
              </w:rPr>
            </w:pPr>
            <w:r w:rsidRPr="00AD6F4E">
              <w:rPr>
                <w:color w:val="000000" w:themeColor="text1"/>
              </w:rPr>
              <w:t>Werneburg (2009), Zehr (1962), Hubert and Dufaure (1968), Jackson (2002), Boughner et al. (2007)</w:t>
            </w:r>
          </w:p>
        </w:tc>
        <w:tc>
          <w:tcPr>
            <w:tcW w:w="629" w:type="pct"/>
          </w:tcPr>
          <w:p w:rsidR="00AE0885" w:rsidRPr="00545021" w:rsidRDefault="00CD2C3F" w:rsidP="00B25866">
            <w:pPr>
              <w:widowControl w:val="0"/>
              <w:autoSpaceDE w:val="0"/>
              <w:autoSpaceDN w:val="0"/>
              <w:adjustRightInd w:val="0"/>
              <w:spacing w:line="260" w:lineRule="atLeast"/>
              <w:cnfStyle w:val="000000100000"/>
              <w:rPr>
                <w:color w:val="FF0000"/>
              </w:rPr>
            </w:pPr>
            <w:r w:rsidRPr="00545021">
              <w:rPr>
                <w:color w:val="FF0000"/>
              </w:rPr>
              <w:t xml:space="preserve">1 (2) </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 xml:space="preserve">The hemipenial apparatus first becomes visible </w:t>
            </w:r>
          </w:p>
          <w:p w:rsidR="00AE0885" w:rsidRPr="00AD6F4E" w:rsidRDefault="00AE0885" w:rsidP="00B25866">
            <w:pPr>
              <w:widowControl w:val="0"/>
              <w:autoSpaceDE w:val="0"/>
              <w:autoSpaceDN w:val="0"/>
              <w:adjustRightInd w:val="0"/>
              <w:spacing w:line="260" w:lineRule="atLeast"/>
              <w:cnfStyle w:val="000000100000"/>
              <w:rPr>
                <w:color w:val="000000" w:themeColor="text1"/>
              </w:rPr>
            </w:pPr>
          </w:p>
        </w:tc>
        <w:tc>
          <w:tcPr>
            <w:tcW w:w="516" w:type="pct"/>
          </w:tcPr>
          <w:p w:rsidR="00AE0885" w:rsidRPr="00AD6F4E" w:rsidRDefault="00AE0885" w:rsidP="00B25866">
            <w:pPr>
              <w:cnfStyle w:val="000000100000"/>
              <w:rPr>
                <w:color w:val="000000" w:themeColor="text1"/>
              </w:rPr>
            </w:pPr>
            <w:r w:rsidRPr="00AD6F4E">
              <w:rPr>
                <w:color w:val="000000" w:themeColor="text1"/>
              </w:rPr>
              <w:t>Stage 4 (9-13 dpo)</w:t>
            </w:r>
          </w:p>
        </w:tc>
        <w:tc>
          <w:tcPr>
            <w:tcW w:w="699" w:type="pct"/>
          </w:tcPr>
          <w:p w:rsidR="00AE0885" w:rsidRPr="00AD6F4E" w:rsidRDefault="00AE0885" w:rsidP="00B25866">
            <w:pPr>
              <w:cnfStyle w:val="000000100000"/>
              <w:rPr>
                <w:color w:val="000000" w:themeColor="text1"/>
              </w:rPr>
            </w:pPr>
          </w:p>
          <w:p w:rsidR="00AE0885" w:rsidRPr="00AD6F4E" w:rsidRDefault="00AE0885" w:rsidP="00B25866">
            <w:pPr>
              <w:cnfStyle w:val="000000100000"/>
              <w:rPr>
                <w:color w:val="000000" w:themeColor="text1"/>
              </w:rPr>
            </w:pPr>
            <w:r w:rsidRPr="00AD6F4E">
              <w:rPr>
                <w:color w:val="000000" w:themeColor="text1"/>
              </w:rPr>
              <w:t>N</w:t>
            </w:r>
          </w:p>
        </w:tc>
      </w:tr>
      <w:tr w:rsidR="00AE0885" w:rsidRPr="00AD6F4E" w:rsidTr="00AE0885">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Roscito and Rodrigues 2011</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Nothobachia ablephara</w:t>
            </w:r>
          </w:p>
        </w:tc>
        <w:tc>
          <w:tcPr>
            <w:tcW w:w="780" w:type="pct"/>
          </w:tcPr>
          <w:p w:rsidR="00AE0885" w:rsidRPr="00AD6F4E" w:rsidRDefault="00AE0885" w:rsidP="00B25866">
            <w:pPr>
              <w:cnfStyle w:val="000000000000"/>
              <w:rPr>
                <w:color w:val="000000" w:themeColor="text1"/>
              </w:rPr>
            </w:pPr>
            <w:r w:rsidRPr="00AD6F4E">
              <w:rPr>
                <w:color w:val="000000" w:themeColor="text1"/>
              </w:rPr>
              <w:t>Werneburg (2009)</w:t>
            </w:r>
          </w:p>
        </w:tc>
        <w:tc>
          <w:tcPr>
            <w:tcW w:w="629" w:type="pct"/>
          </w:tcPr>
          <w:p w:rsidR="00AE0885" w:rsidRPr="00545021" w:rsidRDefault="00AF3323" w:rsidP="00B25866">
            <w:pPr>
              <w:widowControl w:val="0"/>
              <w:autoSpaceDE w:val="0"/>
              <w:autoSpaceDN w:val="0"/>
              <w:adjustRightInd w:val="0"/>
              <w:spacing w:line="260" w:lineRule="atLeast"/>
              <w:cnfStyle w:val="000000000000"/>
              <w:rPr>
                <w:color w:val="FF0000"/>
              </w:rPr>
            </w:pPr>
            <w:r w:rsidRPr="00545021">
              <w:rPr>
                <w:color w:val="FF0000"/>
              </w:rPr>
              <w:t>NR</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Buds of the cranial lip of the cloaca present</w:t>
            </w:r>
          </w:p>
        </w:tc>
        <w:tc>
          <w:tcPr>
            <w:tcW w:w="516" w:type="pct"/>
          </w:tcPr>
          <w:p w:rsidR="00AE0885" w:rsidRPr="00AD6F4E" w:rsidRDefault="00AE0885" w:rsidP="00B25866">
            <w:pPr>
              <w:cnfStyle w:val="000000000000"/>
              <w:rPr>
                <w:color w:val="000000" w:themeColor="text1"/>
              </w:rPr>
            </w:pPr>
            <w:r w:rsidRPr="00AD6F4E">
              <w:rPr>
                <w:color w:val="000000" w:themeColor="text1"/>
              </w:rPr>
              <w:t>Stage 3, (10-12 dpo)</w:t>
            </w:r>
          </w:p>
        </w:tc>
        <w:tc>
          <w:tcPr>
            <w:tcW w:w="699" w:type="pct"/>
          </w:tcPr>
          <w:p w:rsidR="00AE0885" w:rsidRPr="00AD6F4E" w:rsidRDefault="00AE0885" w:rsidP="00B25866">
            <w:pPr>
              <w:cnfStyle w:val="000000000000"/>
              <w:rPr>
                <w:color w:val="000000" w:themeColor="text1"/>
              </w:rPr>
            </w:pPr>
            <w:r w:rsidRPr="00AD6F4E">
              <w:rPr>
                <w:color w:val="000000" w:themeColor="text1"/>
              </w:rPr>
              <w:t>Y</w:t>
            </w:r>
          </w:p>
        </w:tc>
      </w:tr>
      <w:tr w:rsidR="00AE0885" w:rsidRPr="00AD6F4E" w:rsidTr="00AE0885">
        <w:trPr>
          <w:cnfStyle w:val="000000100000"/>
        </w:trPr>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Roscito and Rodrigues 2011</w:t>
            </w:r>
          </w:p>
        </w:tc>
        <w:tc>
          <w:tcPr>
            <w:tcW w:w="702" w:type="pct"/>
          </w:tcPr>
          <w:p w:rsidR="00AE0885" w:rsidRPr="00AD6F4E" w:rsidRDefault="00AE0885" w:rsidP="00B25866">
            <w:pPr>
              <w:cnfStyle w:val="000000100000"/>
              <w:rPr>
                <w:color w:val="000000" w:themeColor="text1"/>
              </w:rPr>
            </w:pPr>
            <w:r w:rsidRPr="00AD6F4E">
              <w:rPr>
                <w:i/>
                <w:iCs/>
                <w:color w:val="000000" w:themeColor="text1"/>
              </w:rPr>
              <w:t>Calyptommatus sonebrachiatus</w:t>
            </w:r>
          </w:p>
        </w:tc>
        <w:tc>
          <w:tcPr>
            <w:tcW w:w="780" w:type="pct"/>
          </w:tcPr>
          <w:p w:rsidR="00AE0885" w:rsidRPr="00AD6F4E" w:rsidRDefault="00AE0885" w:rsidP="00B25866">
            <w:pPr>
              <w:cnfStyle w:val="000000100000"/>
              <w:rPr>
                <w:color w:val="000000" w:themeColor="text1"/>
              </w:rPr>
            </w:pPr>
            <w:r w:rsidRPr="00AD6F4E">
              <w:rPr>
                <w:color w:val="000000" w:themeColor="text1"/>
              </w:rPr>
              <w:t>Werneburg (2009)</w:t>
            </w:r>
          </w:p>
        </w:tc>
        <w:tc>
          <w:tcPr>
            <w:tcW w:w="629" w:type="pct"/>
          </w:tcPr>
          <w:p w:rsidR="00AE0885" w:rsidRPr="00545021" w:rsidRDefault="00AF3323" w:rsidP="00B25866">
            <w:pPr>
              <w:widowControl w:val="0"/>
              <w:autoSpaceDE w:val="0"/>
              <w:autoSpaceDN w:val="0"/>
              <w:adjustRightInd w:val="0"/>
              <w:spacing w:line="260" w:lineRule="atLeast"/>
              <w:cnfStyle w:val="000000100000"/>
              <w:rPr>
                <w:color w:val="FF0000"/>
              </w:rPr>
            </w:pPr>
            <w:r w:rsidRPr="00545021">
              <w:rPr>
                <w:color w:val="FF0000"/>
              </w:rPr>
              <w:t>NR</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 xml:space="preserve">Hemipenis buds are small, primordia of the cranial lips of the cloaca are present. </w:t>
            </w:r>
          </w:p>
        </w:tc>
        <w:tc>
          <w:tcPr>
            <w:tcW w:w="516" w:type="pct"/>
          </w:tcPr>
          <w:p w:rsidR="00AE0885" w:rsidRPr="00AD6F4E" w:rsidRDefault="00AE0885" w:rsidP="00B25866">
            <w:pPr>
              <w:cnfStyle w:val="000000100000"/>
              <w:rPr>
                <w:color w:val="000000" w:themeColor="text1"/>
              </w:rPr>
            </w:pPr>
            <w:r w:rsidRPr="00AD6F4E">
              <w:rPr>
                <w:color w:val="000000" w:themeColor="text1"/>
              </w:rPr>
              <w:t>Stage 6 (12-14 dpo)*</w:t>
            </w:r>
          </w:p>
        </w:tc>
        <w:tc>
          <w:tcPr>
            <w:tcW w:w="699" w:type="pct"/>
          </w:tcPr>
          <w:p w:rsidR="00AE0885" w:rsidRPr="00AD6F4E" w:rsidRDefault="00AE0885" w:rsidP="00B25866">
            <w:pPr>
              <w:cnfStyle w:val="000000100000"/>
              <w:rPr>
                <w:color w:val="000000" w:themeColor="text1"/>
              </w:rPr>
            </w:pPr>
            <w:r w:rsidRPr="00AD6F4E">
              <w:rPr>
                <w:color w:val="000000" w:themeColor="text1"/>
              </w:rPr>
              <w:t>Y</w:t>
            </w:r>
          </w:p>
        </w:tc>
      </w:tr>
      <w:tr w:rsidR="00AE0885" w:rsidRPr="00AD6F4E" w:rsidTr="00AE0885">
        <w:trPr>
          <w:trHeight w:val="1631"/>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Gregorovicova et al. 2012</w:t>
            </w:r>
          </w:p>
        </w:tc>
        <w:tc>
          <w:tcPr>
            <w:tcW w:w="702" w:type="pct"/>
          </w:tcPr>
          <w:p w:rsidR="00AE0885" w:rsidRPr="00AD6F4E" w:rsidRDefault="00AE0885" w:rsidP="00B25866">
            <w:pPr>
              <w:cnfStyle w:val="000000000000"/>
              <w:rPr>
                <w:color w:val="000000" w:themeColor="text1"/>
              </w:rPr>
            </w:pPr>
            <w:r w:rsidRPr="00AD6F4E">
              <w:rPr>
                <w:i/>
                <w:iCs/>
                <w:color w:val="000000" w:themeColor="text1"/>
              </w:rPr>
              <w:t>Varanus indicus</w:t>
            </w:r>
          </w:p>
        </w:tc>
        <w:tc>
          <w:tcPr>
            <w:tcW w:w="780" w:type="pct"/>
          </w:tcPr>
          <w:p w:rsidR="00AE0885" w:rsidRPr="00AD6F4E" w:rsidRDefault="00AE0885" w:rsidP="00B25866">
            <w:pPr>
              <w:cnfStyle w:val="000000000000"/>
              <w:rPr>
                <w:color w:val="000000" w:themeColor="text1"/>
              </w:rPr>
            </w:pPr>
            <w:r w:rsidRPr="008D54F7">
              <w:rPr>
                <w:color w:val="000000" w:themeColor="text1"/>
                <w:lang w:val="de-DE"/>
              </w:rPr>
              <w:t>Dpo, Lemus et al. (1981),  Sanger et al. (2008), Noro et al. (2009),</w:t>
            </w:r>
            <w:r w:rsidRPr="008D54F7">
              <w:rPr>
                <w:b/>
                <w:bCs/>
                <w:color w:val="000000" w:themeColor="text1"/>
                <w:lang w:val="de-DE"/>
              </w:rPr>
              <w:t xml:space="preserve"> </w:t>
            </w:r>
            <w:r w:rsidRPr="008D54F7">
              <w:rPr>
                <w:color w:val="000000" w:themeColor="text1"/>
                <w:lang w:val="de-DE"/>
              </w:rPr>
              <w:t xml:space="preserve">Wise et al. </w:t>
            </w:r>
            <w:r w:rsidRPr="00AD6F4E">
              <w:rPr>
                <w:color w:val="000000" w:themeColor="text1"/>
              </w:rPr>
              <w:t>(2009)</w:t>
            </w:r>
          </w:p>
        </w:tc>
        <w:tc>
          <w:tcPr>
            <w:tcW w:w="629" w:type="pct"/>
          </w:tcPr>
          <w:p w:rsidR="00AE0885" w:rsidRPr="00545021" w:rsidRDefault="00AF3323" w:rsidP="00B25866">
            <w:pPr>
              <w:widowControl w:val="0"/>
              <w:autoSpaceDE w:val="0"/>
              <w:autoSpaceDN w:val="0"/>
              <w:adjustRightInd w:val="0"/>
              <w:spacing w:line="260" w:lineRule="atLeast"/>
              <w:cnfStyle w:val="000000000000"/>
              <w:rPr>
                <w:color w:val="FF0000"/>
              </w:rPr>
            </w:pPr>
            <w:r w:rsidRPr="00545021">
              <w:rPr>
                <w:color w:val="FF0000"/>
              </w:rPr>
              <w:t>NR</w:t>
            </w:r>
          </w:p>
        </w:tc>
        <w:tc>
          <w:tcPr>
            <w:tcW w:w="629" w:type="pct"/>
          </w:tcPr>
          <w:p w:rsidR="00AE0885" w:rsidRPr="00AD6F4E" w:rsidRDefault="00AE0885" w:rsidP="00B25866">
            <w:pPr>
              <w:widowControl w:val="0"/>
              <w:autoSpaceDE w:val="0"/>
              <w:autoSpaceDN w:val="0"/>
              <w:adjustRightInd w:val="0"/>
              <w:spacing w:line="260" w:lineRule="atLeast"/>
              <w:cnfStyle w:val="000000000000"/>
              <w:rPr>
                <w:color w:val="000000" w:themeColor="text1"/>
              </w:rPr>
            </w:pPr>
            <w:r w:rsidRPr="00AD6F4E">
              <w:rPr>
                <w:color w:val="000000" w:themeColor="text1"/>
              </w:rPr>
              <w:t>Cloacal swelling</w:t>
            </w:r>
          </w:p>
        </w:tc>
        <w:tc>
          <w:tcPr>
            <w:tcW w:w="516" w:type="pct"/>
          </w:tcPr>
          <w:p w:rsidR="00AE0885" w:rsidRPr="00AD6F4E" w:rsidRDefault="00AE0885" w:rsidP="00B25866">
            <w:pPr>
              <w:cnfStyle w:val="000000000000"/>
              <w:rPr>
                <w:color w:val="000000" w:themeColor="text1"/>
              </w:rPr>
            </w:pPr>
            <w:r w:rsidRPr="00AD6F4E">
              <w:rPr>
                <w:color w:val="000000" w:themeColor="text1"/>
              </w:rPr>
              <w:t>Stage 8, Dpo 43</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Khanoon and Evans 2014</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Naja h. haje</w:t>
            </w:r>
          </w:p>
        </w:tc>
        <w:tc>
          <w:tcPr>
            <w:tcW w:w="780"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Zehr (1962), Hubert and Dufaure (1968)</w:t>
            </w:r>
          </w:p>
        </w:tc>
        <w:tc>
          <w:tcPr>
            <w:tcW w:w="629" w:type="pct"/>
          </w:tcPr>
          <w:p w:rsidR="00AE0885" w:rsidRPr="00545021" w:rsidRDefault="009E1178" w:rsidP="00B25866">
            <w:pPr>
              <w:widowControl w:val="0"/>
              <w:autoSpaceDE w:val="0"/>
              <w:autoSpaceDN w:val="0"/>
              <w:adjustRightInd w:val="0"/>
              <w:spacing w:line="260" w:lineRule="atLeast"/>
              <w:cnfStyle w:val="000000100000"/>
              <w:rPr>
                <w:color w:val="FF0000"/>
              </w:rPr>
            </w:pPr>
            <w:r w:rsidRPr="00545021">
              <w:rPr>
                <w:color w:val="FF0000"/>
              </w:rPr>
              <w:t>1 (3)</w:t>
            </w:r>
          </w:p>
        </w:tc>
        <w:tc>
          <w:tcPr>
            <w:tcW w:w="629" w:type="pct"/>
          </w:tcPr>
          <w:p w:rsidR="00AE0885" w:rsidRPr="00AD6F4E" w:rsidRDefault="00AE0885" w:rsidP="00B25866">
            <w:pPr>
              <w:widowControl w:val="0"/>
              <w:autoSpaceDE w:val="0"/>
              <w:autoSpaceDN w:val="0"/>
              <w:adjustRightInd w:val="0"/>
              <w:spacing w:line="260" w:lineRule="atLeast"/>
              <w:cnfStyle w:val="000000100000"/>
              <w:rPr>
                <w:color w:val="000000" w:themeColor="text1"/>
              </w:rPr>
            </w:pPr>
            <w:r w:rsidRPr="00AD6F4E">
              <w:rPr>
                <w:color w:val="000000" w:themeColor="text1"/>
              </w:rPr>
              <w:t>Distinct cloacal mound and hemipenis analgen</w:t>
            </w:r>
          </w:p>
        </w:tc>
        <w:tc>
          <w:tcPr>
            <w:tcW w:w="516" w:type="pct"/>
          </w:tcPr>
          <w:p w:rsidR="00AE0885" w:rsidRPr="00AD6F4E" w:rsidRDefault="00AE0885" w:rsidP="00B25866">
            <w:pPr>
              <w:cnfStyle w:val="000000100000"/>
              <w:rPr>
                <w:color w:val="000000" w:themeColor="text1"/>
              </w:rPr>
            </w:pPr>
            <w:r w:rsidRPr="00AD6F4E">
              <w:rPr>
                <w:color w:val="000000" w:themeColor="text1"/>
              </w:rPr>
              <w:t>Stage 1 (day of oviposition)</w:t>
            </w:r>
          </w:p>
        </w:tc>
        <w:tc>
          <w:tcPr>
            <w:tcW w:w="699" w:type="pct"/>
          </w:tcPr>
          <w:p w:rsidR="00AE0885" w:rsidRPr="00AD6F4E" w:rsidRDefault="00AE0885" w:rsidP="00B25866">
            <w:pPr>
              <w:cnfStyle w:val="000000100000"/>
              <w:rPr>
                <w:color w:val="000000" w:themeColor="text1"/>
              </w:rPr>
            </w:pPr>
            <w:r w:rsidRPr="00AD6F4E">
              <w:rPr>
                <w:color w:val="000000" w:themeColor="text1"/>
              </w:rPr>
              <w:t>N</w:t>
            </w:r>
          </w:p>
        </w:tc>
      </w:tr>
      <w:tr w:rsidR="00AE0885" w:rsidRPr="00AD6F4E" w:rsidTr="00AE0885">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Leal and Cohn 2014</w:t>
            </w:r>
          </w:p>
        </w:tc>
        <w:tc>
          <w:tcPr>
            <w:tcW w:w="702" w:type="pct"/>
          </w:tcPr>
          <w:p w:rsidR="00AE0885" w:rsidRPr="00AD6F4E" w:rsidRDefault="00AE0885" w:rsidP="00B25866">
            <w:pPr>
              <w:cnfStyle w:val="000000000000"/>
              <w:rPr>
                <w:color w:val="000000" w:themeColor="text1"/>
              </w:rPr>
            </w:pPr>
            <w:r w:rsidRPr="00AD6F4E">
              <w:rPr>
                <w:i/>
                <w:iCs/>
                <w:color w:val="000000" w:themeColor="text1"/>
              </w:rPr>
              <w:t>Python regius</w:t>
            </w:r>
          </w:p>
        </w:tc>
        <w:tc>
          <w:tcPr>
            <w:tcW w:w="780" w:type="pct"/>
          </w:tcPr>
          <w:p w:rsidR="00AE0885" w:rsidRPr="00AD6F4E" w:rsidRDefault="00AE0885" w:rsidP="00B25866">
            <w:pPr>
              <w:cnfStyle w:val="000000000000"/>
              <w:rPr>
                <w:color w:val="000000" w:themeColor="text1"/>
              </w:rPr>
            </w:pPr>
            <w:r w:rsidRPr="00AD6F4E">
              <w:rPr>
                <w:color w:val="000000" w:themeColor="text1"/>
              </w:rPr>
              <w:t>Bougher et al. (2007) and Raynaud (1972)</w:t>
            </w:r>
          </w:p>
        </w:tc>
        <w:tc>
          <w:tcPr>
            <w:tcW w:w="629" w:type="pct"/>
          </w:tcPr>
          <w:p w:rsidR="00AE0885" w:rsidRPr="00545021" w:rsidRDefault="00AF3323" w:rsidP="00B25866">
            <w:pPr>
              <w:cnfStyle w:val="000000000000"/>
              <w:rPr>
                <w:color w:val="FF0000"/>
              </w:rPr>
            </w:pPr>
            <w:r w:rsidRPr="00545021">
              <w:rPr>
                <w:color w:val="FF0000"/>
              </w:rPr>
              <w:t>NA</w:t>
            </w:r>
          </w:p>
        </w:tc>
        <w:tc>
          <w:tcPr>
            <w:tcW w:w="629" w:type="pct"/>
          </w:tcPr>
          <w:p w:rsidR="00AE0885" w:rsidRPr="00AD6F4E" w:rsidRDefault="00AE0885" w:rsidP="00B25866">
            <w:pPr>
              <w:cnfStyle w:val="000000000000"/>
              <w:rPr>
                <w:color w:val="000000" w:themeColor="text1"/>
              </w:rPr>
            </w:pPr>
            <w:r w:rsidRPr="00AD6F4E">
              <w:rPr>
                <w:color w:val="000000" w:themeColor="text1"/>
              </w:rPr>
              <w:t>External genital outgrowth</w:t>
            </w:r>
          </w:p>
        </w:tc>
        <w:tc>
          <w:tcPr>
            <w:tcW w:w="516" w:type="pct"/>
          </w:tcPr>
          <w:p w:rsidR="00AE0885" w:rsidRPr="00AD6F4E" w:rsidRDefault="00AE0885" w:rsidP="00B25866">
            <w:pPr>
              <w:cnfStyle w:val="000000000000"/>
              <w:rPr>
                <w:color w:val="000000" w:themeColor="text1"/>
              </w:rPr>
            </w:pPr>
            <w:r w:rsidRPr="00AD6F4E">
              <w:rPr>
                <w:color w:val="000000" w:themeColor="text1"/>
              </w:rPr>
              <w:t>Stage 1*</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Gredler et al. 2015a</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Anolis carolinensis</w:t>
            </w:r>
          </w:p>
        </w:tc>
        <w:tc>
          <w:tcPr>
            <w:tcW w:w="780" w:type="pct"/>
          </w:tcPr>
          <w:p w:rsidR="00AE0885" w:rsidRPr="00AD6F4E" w:rsidRDefault="00AE0885" w:rsidP="00B25866">
            <w:pPr>
              <w:cnfStyle w:val="000000100000"/>
              <w:rPr>
                <w:color w:val="000000" w:themeColor="text1"/>
              </w:rPr>
            </w:pPr>
            <w:r w:rsidRPr="00AD6F4E">
              <w:rPr>
                <w:color w:val="000000" w:themeColor="text1"/>
              </w:rPr>
              <w:t>Sanger et al. (2008)</w:t>
            </w:r>
          </w:p>
        </w:tc>
        <w:tc>
          <w:tcPr>
            <w:tcW w:w="629" w:type="pct"/>
          </w:tcPr>
          <w:p w:rsidR="00AE0885" w:rsidRPr="00545021" w:rsidRDefault="00AF3323" w:rsidP="00B25866">
            <w:pPr>
              <w:cnfStyle w:val="000000100000"/>
              <w:rPr>
                <w:color w:val="FF0000"/>
              </w:rPr>
            </w:pPr>
            <w:r w:rsidRPr="00545021">
              <w:rPr>
                <w:color w:val="FF0000"/>
              </w:rPr>
              <w:t>NA</w:t>
            </w:r>
          </w:p>
        </w:tc>
        <w:tc>
          <w:tcPr>
            <w:tcW w:w="629" w:type="pct"/>
          </w:tcPr>
          <w:p w:rsidR="00AE0885" w:rsidRPr="00AD6F4E" w:rsidRDefault="00AE0885" w:rsidP="00B25866">
            <w:pPr>
              <w:cnfStyle w:val="000000100000"/>
              <w:rPr>
                <w:color w:val="000000" w:themeColor="text1"/>
              </w:rPr>
            </w:pPr>
            <w:r w:rsidRPr="00AD6F4E">
              <w:rPr>
                <w:color w:val="000000" w:themeColor="text1"/>
              </w:rPr>
              <w:t>Phallic swelling forms proximally on the posterior-</w:t>
            </w:r>
            <w:r w:rsidRPr="00AD6F4E">
              <w:rPr>
                <w:color w:val="000000" w:themeColor="text1"/>
              </w:rPr>
              <w:lastRenderedPageBreak/>
              <w:t xml:space="preserve">ventral side of the hindlimb bud </w:t>
            </w:r>
          </w:p>
        </w:tc>
        <w:tc>
          <w:tcPr>
            <w:tcW w:w="516" w:type="pct"/>
          </w:tcPr>
          <w:p w:rsidR="00AE0885" w:rsidRPr="00AD6F4E" w:rsidRDefault="00AE0885" w:rsidP="00B25866">
            <w:pPr>
              <w:cnfStyle w:val="000000100000"/>
              <w:rPr>
                <w:color w:val="000000" w:themeColor="text1"/>
              </w:rPr>
            </w:pPr>
            <w:r w:rsidRPr="00AD6F4E">
              <w:rPr>
                <w:color w:val="000000" w:themeColor="text1"/>
              </w:rPr>
              <w:lastRenderedPageBreak/>
              <w:t>Stage 4</w:t>
            </w:r>
          </w:p>
        </w:tc>
        <w:tc>
          <w:tcPr>
            <w:tcW w:w="699" w:type="pct"/>
          </w:tcPr>
          <w:p w:rsidR="00AE0885" w:rsidRPr="00AD6F4E" w:rsidRDefault="00AE0885" w:rsidP="00B25866">
            <w:pPr>
              <w:cnfStyle w:val="000000100000"/>
              <w:rPr>
                <w:color w:val="000000" w:themeColor="text1"/>
              </w:rPr>
            </w:pPr>
            <w:r w:rsidRPr="00AD6F4E">
              <w:rPr>
                <w:color w:val="000000" w:themeColor="text1"/>
              </w:rPr>
              <w:t>Y</w:t>
            </w:r>
          </w:p>
        </w:tc>
      </w:tr>
      <w:tr w:rsidR="00AE0885" w:rsidRPr="00AD6F4E" w:rsidTr="00AE0885">
        <w:tc>
          <w:tcPr>
            <w:cnfStyle w:val="001000000000"/>
            <w:tcW w:w="1045" w:type="pct"/>
          </w:tcPr>
          <w:p w:rsidR="00AE0885" w:rsidRPr="00230D82" w:rsidRDefault="00AE0885" w:rsidP="00230D82">
            <w:pPr>
              <w:rPr>
                <w:bCs w:val="0"/>
                <w:color w:val="000000" w:themeColor="text1"/>
                <w:lang w:val="de-DE"/>
              </w:rPr>
            </w:pPr>
            <w:r w:rsidRPr="00230D82">
              <w:rPr>
                <w:bCs w:val="0"/>
                <w:color w:val="000000" w:themeColor="text1"/>
                <w:lang w:val="de-DE"/>
              </w:rPr>
              <w:lastRenderedPageBreak/>
              <w:t>Gredler et al. 2015b</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Alligator mississippiensis</w:t>
            </w:r>
          </w:p>
        </w:tc>
        <w:tc>
          <w:tcPr>
            <w:tcW w:w="780" w:type="pct"/>
          </w:tcPr>
          <w:p w:rsidR="00AE0885" w:rsidRPr="00AD6F4E" w:rsidRDefault="00AE0885" w:rsidP="00B25866">
            <w:pPr>
              <w:cnfStyle w:val="000000000000"/>
              <w:rPr>
                <w:color w:val="000000" w:themeColor="text1"/>
              </w:rPr>
            </w:pPr>
            <w:r w:rsidRPr="00AD6F4E">
              <w:rPr>
                <w:color w:val="000000" w:themeColor="text1"/>
              </w:rPr>
              <w:t>Ferguson 1985</w:t>
            </w:r>
          </w:p>
        </w:tc>
        <w:tc>
          <w:tcPr>
            <w:tcW w:w="629" w:type="pct"/>
          </w:tcPr>
          <w:p w:rsidR="00AE0885" w:rsidRPr="00545021" w:rsidRDefault="00AF3323" w:rsidP="00B25866">
            <w:pPr>
              <w:cnfStyle w:val="000000000000"/>
              <w:rPr>
                <w:color w:val="FF0000"/>
              </w:rPr>
            </w:pPr>
            <w:r w:rsidRPr="00545021">
              <w:rPr>
                <w:color w:val="FF0000"/>
              </w:rPr>
              <w:t>NA</w:t>
            </w:r>
          </w:p>
        </w:tc>
        <w:tc>
          <w:tcPr>
            <w:tcW w:w="629" w:type="pct"/>
          </w:tcPr>
          <w:p w:rsidR="00AE0885" w:rsidRPr="00AD6F4E" w:rsidRDefault="00AE0885" w:rsidP="00B25866">
            <w:pPr>
              <w:cnfStyle w:val="000000000000"/>
              <w:rPr>
                <w:color w:val="000000" w:themeColor="text1"/>
              </w:rPr>
            </w:pPr>
            <w:r w:rsidRPr="00AD6F4E">
              <w:rPr>
                <w:color w:val="000000" w:themeColor="text1"/>
              </w:rPr>
              <w:t>Genital mesenchyme</w:t>
            </w:r>
          </w:p>
        </w:tc>
        <w:tc>
          <w:tcPr>
            <w:tcW w:w="516" w:type="pct"/>
          </w:tcPr>
          <w:p w:rsidR="00AE0885" w:rsidRPr="00AD6F4E" w:rsidRDefault="00AE0885" w:rsidP="00B25866">
            <w:pPr>
              <w:cnfStyle w:val="000000000000"/>
              <w:rPr>
                <w:color w:val="000000" w:themeColor="text1"/>
              </w:rPr>
            </w:pPr>
            <w:r w:rsidRPr="00AD6F4E">
              <w:rPr>
                <w:color w:val="000000" w:themeColor="text1"/>
              </w:rPr>
              <w:t>Stage 12.5</w:t>
            </w:r>
          </w:p>
        </w:tc>
        <w:tc>
          <w:tcPr>
            <w:tcW w:w="699" w:type="pct"/>
          </w:tcPr>
          <w:p w:rsidR="00AE0885" w:rsidRPr="00AD6F4E" w:rsidRDefault="00AE0885" w:rsidP="00B25866">
            <w:pPr>
              <w:cnfStyle w:val="000000000000"/>
              <w:rPr>
                <w:color w:val="000000" w:themeColor="text1"/>
              </w:rPr>
            </w:pPr>
            <w:r w:rsidRPr="00AD6F4E">
              <w:rPr>
                <w:color w:val="000000" w:themeColor="text1"/>
              </w:rPr>
              <w:t>N</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Khanoon 2015</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Tarentola annularis</w:t>
            </w:r>
          </w:p>
        </w:tc>
        <w:tc>
          <w:tcPr>
            <w:tcW w:w="780" w:type="pct"/>
          </w:tcPr>
          <w:p w:rsidR="00AE0885" w:rsidRPr="00AD6F4E" w:rsidRDefault="00AE0885" w:rsidP="00B25866">
            <w:pPr>
              <w:cnfStyle w:val="000000100000"/>
              <w:rPr>
                <w:color w:val="000000" w:themeColor="text1"/>
              </w:rPr>
            </w:pPr>
            <w:r w:rsidRPr="00AD6F4E">
              <w:rPr>
                <w:color w:val="000000" w:themeColor="text1"/>
              </w:rPr>
              <w:t>Hamburger and Hamilton (1951), Dufaure and Hubert (1961), Muthukkarruppan et al. (1970), Wise et al. (2009)</w:t>
            </w:r>
          </w:p>
        </w:tc>
        <w:tc>
          <w:tcPr>
            <w:tcW w:w="629" w:type="pct"/>
          </w:tcPr>
          <w:p w:rsidR="00AE0885" w:rsidRPr="00545021" w:rsidRDefault="00AF3323" w:rsidP="00B25866">
            <w:pPr>
              <w:cnfStyle w:val="000000100000"/>
              <w:rPr>
                <w:color w:val="FF0000"/>
              </w:rPr>
            </w:pPr>
            <w:r w:rsidRPr="00545021">
              <w:rPr>
                <w:color w:val="FF0000"/>
              </w:rPr>
              <w:t>29 (2)</w:t>
            </w:r>
          </w:p>
        </w:tc>
        <w:tc>
          <w:tcPr>
            <w:tcW w:w="629" w:type="pct"/>
          </w:tcPr>
          <w:p w:rsidR="00AE0885" w:rsidRPr="00AD6F4E" w:rsidRDefault="00AE0885" w:rsidP="00B25866">
            <w:pPr>
              <w:cnfStyle w:val="000000100000"/>
              <w:rPr>
                <w:color w:val="000000" w:themeColor="text1"/>
              </w:rPr>
            </w:pPr>
            <w:r w:rsidRPr="00AD6F4E">
              <w:rPr>
                <w:color w:val="000000" w:themeColor="text1"/>
              </w:rPr>
              <w:t>NA</w:t>
            </w:r>
          </w:p>
        </w:tc>
        <w:tc>
          <w:tcPr>
            <w:tcW w:w="516" w:type="pct"/>
          </w:tcPr>
          <w:p w:rsidR="00AE0885" w:rsidRPr="00AD6F4E" w:rsidRDefault="00AE0885" w:rsidP="00B25866">
            <w:pPr>
              <w:cnfStyle w:val="000000100000"/>
              <w:rPr>
                <w:color w:val="000000" w:themeColor="text1"/>
              </w:rPr>
            </w:pPr>
            <w:r w:rsidRPr="00AD6F4E">
              <w:rPr>
                <w:color w:val="000000" w:themeColor="text1"/>
              </w:rPr>
              <w:t>NA</w:t>
            </w:r>
          </w:p>
        </w:tc>
        <w:tc>
          <w:tcPr>
            <w:tcW w:w="699" w:type="pct"/>
          </w:tcPr>
          <w:p w:rsidR="00AE0885" w:rsidRPr="00AD6F4E" w:rsidRDefault="00AE0885" w:rsidP="00B25866">
            <w:pPr>
              <w:cnfStyle w:val="000000100000"/>
              <w:rPr>
                <w:color w:val="000000" w:themeColor="text1"/>
              </w:rPr>
            </w:pPr>
            <w:r w:rsidRPr="00AD6F4E">
              <w:rPr>
                <w:color w:val="000000" w:themeColor="text1"/>
              </w:rPr>
              <w:t>NA</w:t>
            </w:r>
          </w:p>
        </w:tc>
      </w:tr>
      <w:tr w:rsidR="00AE0885" w:rsidRPr="00AD6F4E" w:rsidTr="00AE0885">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Kovtun and Sheverdyukova 2015</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Natrix natrix</w:t>
            </w:r>
          </w:p>
        </w:tc>
        <w:tc>
          <w:tcPr>
            <w:tcW w:w="780" w:type="pct"/>
          </w:tcPr>
          <w:p w:rsidR="00AE0885" w:rsidRPr="00AD6F4E" w:rsidRDefault="00AE0885" w:rsidP="00B25866">
            <w:pPr>
              <w:cnfStyle w:val="000000000000"/>
              <w:rPr>
                <w:color w:val="000000" w:themeColor="text1"/>
              </w:rPr>
            </w:pPr>
            <w:r w:rsidRPr="00AD6F4E">
              <w:rPr>
                <w:color w:val="000000" w:themeColor="text1"/>
              </w:rPr>
              <w:t>Zehr (1962)</w:t>
            </w:r>
          </w:p>
        </w:tc>
        <w:tc>
          <w:tcPr>
            <w:tcW w:w="629" w:type="pct"/>
          </w:tcPr>
          <w:p w:rsidR="00AE0885" w:rsidRPr="00545021" w:rsidRDefault="00AF3323" w:rsidP="00B25866">
            <w:pPr>
              <w:widowControl w:val="0"/>
              <w:autoSpaceDE w:val="0"/>
              <w:autoSpaceDN w:val="0"/>
              <w:adjustRightInd w:val="0"/>
              <w:cnfStyle w:val="000000000000"/>
              <w:rPr>
                <w:color w:val="FF0000"/>
              </w:rPr>
            </w:pPr>
            <w:r w:rsidRPr="00545021">
              <w:rPr>
                <w:color w:val="FF0000"/>
              </w:rPr>
              <w:t>NA</w:t>
            </w:r>
          </w:p>
        </w:tc>
        <w:tc>
          <w:tcPr>
            <w:tcW w:w="629" w:type="pct"/>
          </w:tcPr>
          <w:p w:rsidR="00AE0885" w:rsidRPr="00AD6F4E" w:rsidRDefault="00AE0885" w:rsidP="00B25866">
            <w:pPr>
              <w:widowControl w:val="0"/>
              <w:autoSpaceDE w:val="0"/>
              <w:autoSpaceDN w:val="0"/>
              <w:adjustRightInd w:val="0"/>
              <w:cnfStyle w:val="000000000000"/>
              <w:rPr>
                <w:color w:val="000000" w:themeColor="text1"/>
              </w:rPr>
            </w:pPr>
            <w:r w:rsidRPr="00AD6F4E">
              <w:rPr>
                <w:color w:val="000000" w:themeColor="text1"/>
              </w:rPr>
              <w:t>NA</w:t>
            </w:r>
          </w:p>
        </w:tc>
        <w:tc>
          <w:tcPr>
            <w:tcW w:w="516" w:type="pct"/>
          </w:tcPr>
          <w:p w:rsidR="00AE0885" w:rsidRPr="00AD6F4E" w:rsidRDefault="00AE0885" w:rsidP="00B25866">
            <w:pPr>
              <w:cnfStyle w:val="000000000000"/>
              <w:rPr>
                <w:color w:val="000000" w:themeColor="text1"/>
              </w:rPr>
            </w:pPr>
            <w:r w:rsidRPr="00AD6F4E">
              <w:rPr>
                <w:color w:val="000000" w:themeColor="text1"/>
              </w:rPr>
              <w:t>NA</w:t>
            </w:r>
          </w:p>
        </w:tc>
        <w:tc>
          <w:tcPr>
            <w:tcW w:w="699" w:type="pct"/>
          </w:tcPr>
          <w:p w:rsidR="00AE0885" w:rsidRPr="00AD6F4E" w:rsidRDefault="00AE0885" w:rsidP="00B25866">
            <w:pPr>
              <w:cnfStyle w:val="000000000000"/>
              <w:rPr>
                <w:color w:val="000000" w:themeColor="text1"/>
              </w:rPr>
            </w:pPr>
            <w:r w:rsidRPr="00AD6F4E">
              <w:rPr>
                <w:color w:val="000000" w:themeColor="text1"/>
              </w:rPr>
              <w:t>NA</w:t>
            </w:r>
          </w:p>
        </w:tc>
      </w:tr>
      <w:tr w:rsidR="00AE0885" w:rsidRPr="00AD6F4E" w:rsidTr="00AE0885">
        <w:trPr>
          <w:cnfStyle w:val="000000100000"/>
        </w:trPr>
        <w:tc>
          <w:tcPr>
            <w:cnfStyle w:val="001000000000"/>
            <w:tcW w:w="1045" w:type="pct"/>
          </w:tcPr>
          <w:p w:rsidR="00AE0885" w:rsidRPr="00230D82" w:rsidRDefault="00AE0885" w:rsidP="00B25866">
            <w:pPr>
              <w:rPr>
                <w:bCs w:val="0"/>
                <w:color w:val="000000" w:themeColor="text1"/>
              </w:rPr>
            </w:pPr>
            <w:r w:rsidRPr="00230D82">
              <w:rPr>
                <w:bCs w:val="0"/>
                <w:color w:val="000000" w:themeColor="text1"/>
              </w:rPr>
              <w:t>Martinez-Torres et al. 2015</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Barisia imbricata</w:t>
            </w:r>
          </w:p>
        </w:tc>
        <w:tc>
          <w:tcPr>
            <w:tcW w:w="780" w:type="pct"/>
          </w:tcPr>
          <w:p w:rsidR="00AE0885" w:rsidRPr="00AD6F4E" w:rsidRDefault="00AE0885" w:rsidP="00B25866">
            <w:pPr>
              <w:widowControl w:val="0"/>
              <w:autoSpaceDE w:val="0"/>
              <w:autoSpaceDN w:val="0"/>
              <w:adjustRightInd w:val="0"/>
              <w:spacing w:line="280" w:lineRule="atLeast"/>
              <w:cnfStyle w:val="000000100000"/>
              <w:rPr>
                <w:color w:val="000000" w:themeColor="text1"/>
              </w:rPr>
            </w:pPr>
            <w:r w:rsidRPr="00AD6F4E">
              <w:rPr>
                <w:color w:val="000000" w:themeColor="text1"/>
              </w:rPr>
              <w:t>Dufaure and Hubert (1961)</w:t>
            </w:r>
          </w:p>
        </w:tc>
        <w:tc>
          <w:tcPr>
            <w:tcW w:w="629" w:type="pct"/>
          </w:tcPr>
          <w:p w:rsidR="00AE0885" w:rsidRPr="00545021" w:rsidRDefault="00AF3323" w:rsidP="00B25866">
            <w:pPr>
              <w:cnfStyle w:val="000000100000"/>
              <w:rPr>
                <w:color w:val="FF0000"/>
              </w:rPr>
            </w:pPr>
            <w:r w:rsidRPr="00545021">
              <w:rPr>
                <w:color w:val="FF0000"/>
              </w:rPr>
              <w:t>NA</w:t>
            </w:r>
          </w:p>
        </w:tc>
        <w:tc>
          <w:tcPr>
            <w:tcW w:w="629" w:type="pct"/>
          </w:tcPr>
          <w:p w:rsidR="00AE0885" w:rsidRPr="00AD6F4E" w:rsidRDefault="00AE0885" w:rsidP="00B25866">
            <w:pPr>
              <w:cnfStyle w:val="000000100000"/>
              <w:rPr>
                <w:color w:val="000000" w:themeColor="text1"/>
              </w:rPr>
            </w:pPr>
            <w:r w:rsidRPr="00AD6F4E">
              <w:rPr>
                <w:color w:val="000000" w:themeColor="text1"/>
              </w:rPr>
              <w:t>Primordia of hemipenes</w:t>
            </w:r>
          </w:p>
        </w:tc>
        <w:tc>
          <w:tcPr>
            <w:tcW w:w="516" w:type="pct"/>
          </w:tcPr>
          <w:p w:rsidR="00AE0885" w:rsidRPr="00AD6F4E" w:rsidRDefault="00AE0885" w:rsidP="00B25866">
            <w:pPr>
              <w:cnfStyle w:val="000000100000"/>
              <w:rPr>
                <w:color w:val="000000" w:themeColor="text1"/>
              </w:rPr>
            </w:pPr>
            <w:r w:rsidRPr="00AD6F4E">
              <w:rPr>
                <w:color w:val="000000" w:themeColor="text1"/>
              </w:rPr>
              <w:t>Stage 33-34</w:t>
            </w:r>
          </w:p>
        </w:tc>
        <w:tc>
          <w:tcPr>
            <w:tcW w:w="699" w:type="pct"/>
          </w:tcPr>
          <w:p w:rsidR="00AE0885" w:rsidRPr="00AD6F4E" w:rsidRDefault="00AE0885" w:rsidP="00B25866">
            <w:pPr>
              <w:cnfStyle w:val="000000100000"/>
              <w:rPr>
                <w:color w:val="000000" w:themeColor="text1"/>
              </w:rPr>
            </w:pPr>
            <w:r w:rsidRPr="00AD6F4E">
              <w:rPr>
                <w:color w:val="000000" w:themeColor="text1"/>
              </w:rPr>
              <w:t>Y</w:t>
            </w:r>
          </w:p>
        </w:tc>
      </w:tr>
      <w:tr w:rsidR="00AE0885" w:rsidRPr="00AD6F4E" w:rsidTr="00AE0885">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Py-Daniel et al. 2017</w:t>
            </w:r>
          </w:p>
        </w:tc>
        <w:tc>
          <w:tcPr>
            <w:tcW w:w="702" w:type="pct"/>
          </w:tcPr>
          <w:p w:rsidR="00AE0885" w:rsidRPr="00AD6F4E" w:rsidRDefault="00AE0885" w:rsidP="00B25866">
            <w:pPr>
              <w:cnfStyle w:val="000000000000"/>
              <w:rPr>
                <w:i/>
                <w:iCs/>
                <w:color w:val="000000" w:themeColor="text1"/>
              </w:rPr>
            </w:pPr>
            <w:r w:rsidRPr="00AD6F4E">
              <w:rPr>
                <w:i/>
                <w:iCs/>
                <w:color w:val="000000" w:themeColor="text1"/>
              </w:rPr>
              <w:t>Tropidurus torquatus</w:t>
            </w:r>
          </w:p>
        </w:tc>
        <w:tc>
          <w:tcPr>
            <w:tcW w:w="780" w:type="pct"/>
          </w:tcPr>
          <w:p w:rsidR="00AE0885" w:rsidRPr="008D54F7" w:rsidRDefault="00AE0885" w:rsidP="00B25866">
            <w:pPr>
              <w:cnfStyle w:val="000000000000"/>
              <w:rPr>
                <w:color w:val="000000" w:themeColor="text1"/>
                <w:lang w:val="de-DE"/>
              </w:rPr>
            </w:pPr>
            <w:r w:rsidRPr="008D54F7">
              <w:rPr>
                <w:color w:val="000000" w:themeColor="text1"/>
                <w:lang w:val="de-DE"/>
              </w:rPr>
              <w:t>Dufaure and Hubert (1961), Sanger et al. (2008), Wise et al. (2009), Werneburg 2009</w:t>
            </w:r>
          </w:p>
        </w:tc>
        <w:tc>
          <w:tcPr>
            <w:tcW w:w="629" w:type="pct"/>
          </w:tcPr>
          <w:p w:rsidR="00AE0885" w:rsidRPr="00545021" w:rsidRDefault="00545021" w:rsidP="00B25866">
            <w:pPr>
              <w:cnfStyle w:val="000000000000"/>
              <w:rPr>
                <w:color w:val="FF0000"/>
              </w:rPr>
            </w:pPr>
            <w:r w:rsidRPr="00545021">
              <w:rPr>
                <w:color w:val="FF0000"/>
              </w:rPr>
              <w:t>28 (3)</w:t>
            </w:r>
          </w:p>
        </w:tc>
        <w:tc>
          <w:tcPr>
            <w:tcW w:w="629" w:type="pct"/>
          </w:tcPr>
          <w:p w:rsidR="00AE0885" w:rsidRPr="00AD6F4E" w:rsidRDefault="00AE0885" w:rsidP="00B25866">
            <w:pPr>
              <w:cnfStyle w:val="000000000000"/>
              <w:rPr>
                <w:color w:val="000000" w:themeColor="text1"/>
              </w:rPr>
            </w:pPr>
            <w:r w:rsidRPr="00AD6F4E">
              <w:rPr>
                <w:color w:val="000000" w:themeColor="text1"/>
              </w:rPr>
              <w:t xml:space="preserve">Primordium of external genitalia present </w:t>
            </w:r>
          </w:p>
        </w:tc>
        <w:tc>
          <w:tcPr>
            <w:tcW w:w="516" w:type="pct"/>
          </w:tcPr>
          <w:p w:rsidR="00AE0885" w:rsidRPr="00AD6F4E" w:rsidRDefault="00AE0885" w:rsidP="00B25866">
            <w:pPr>
              <w:cnfStyle w:val="000000000000"/>
              <w:rPr>
                <w:color w:val="000000" w:themeColor="text1"/>
              </w:rPr>
            </w:pPr>
            <w:r w:rsidRPr="00AD6F4E">
              <w:rPr>
                <w:color w:val="000000" w:themeColor="text1"/>
              </w:rPr>
              <w:t>Stage 29</w:t>
            </w:r>
          </w:p>
        </w:tc>
        <w:tc>
          <w:tcPr>
            <w:tcW w:w="699" w:type="pct"/>
          </w:tcPr>
          <w:p w:rsidR="00AE0885" w:rsidRPr="00AD6F4E" w:rsidRDefault="00AE0885" w:rsidP="00B25866">
            <w:pPr>
              <w:cnfStyle w:val="000000000000"/>
              <w:rPr>
                <w:color w:val="000000" w:themeColor="text1"/>
              </w:rPr>
            </w:pPr>
            <w:r w:rsidRPr="00AD6F4E">
              <w:rPr>
                <w:color w:val="000000" w:themeColor="text1"/>
              </w:rPr>
              <w:t>Y</w:t>
            </w:r>
          </w:p>
        </w:tc>
      </w:tr>
      <w:tr w:rsidR="00AE0885" w:rsidRPr="00AD6F4E" w:rsidTr="00AE0885">
        <w:trPr>
          <w:cnfStyle w:val="000000100000"/>
        </w:trPr>
        <w:tc>
          <w:tcPr>
            <w:cnfStyle w:val="001000000000"/>
            <w:tcW w:w="1045" w:type="pct"/>
          </w:tcPr>
          <w:p w:rsidR="00AE0885" w:rsidRPr="00230D82" w:rsidRDefault="00AE0885" w:rsidP="00230D82">
            <w:pPr>
              <w:rPr>
                <w:bCs w:val="0"/>
                <w:color w:val="000000" w:themeColor="text1"/>
              </w:rPr>
            </w:pPr>
            <w:r w:rsidRPr="00230D82">
              <w:rPr>
                <w:bCs w:val="0"/>
                <w:color w:val="000000" w:themeColor="text1"/>
              </w:rPr>
              <w:t>Khanoon and Zahradnicek 2017</w:t>
            </w:r>
          </w:p>
        </w:tc>
        <w:tc>
          <w:tcPr>
            <w:tcW w:w="702" w:type="pct"/>
          </w:tcPr>
          <w:p w:rsidR="00AE0885" w:rsidRPr="00AD6F4E" w:rsidRDefault="00AE0885" w:rsidP="00B25866">
            <w:pPr>
              <w:cnfStyle w:val="000000100000"/>
              <w:rPr>
                <w:i/>
                <w:iCs/>
                <w:color w:val="000000" w:themeColor="text1"/>
              </w:rPr>
            </w:pPr>
            <w:r w:rsidRPr="00AD6F4E">
              <w:rPr>
                <w:i/>
                <w:iCs/>
                <w:color w:val="000000" w:themeColor="text1"/>
              </w:rPr>
              <w:t>Psammophis sibilans</w:t>
            </w:r>
          </w:p>
        </w:tc>
        <w:tc>
          <w:tcPr>
            <w:tcW w:w="780" w:type="pct"/>
          </w:tcPr>
          <w:p w:rsidR="00AE0885" w:rsidRPr="00AD6F4E" w:rsidRDefault="00AE0885" w:rsidP="00B25866">
            <w:pPr>
              <w:cnfStyle w:val="000000100000"/>
              <w:rPr>
                <w:color w:val="000000" w:themeColor="text1"/>
              </w:rPr>
            </w:pPr>
            <w:r w:rsidRPr="00AD6F4E">
              <w:rPr>
                <w:color w:val="000000" w:themeColor="text1"/>
              </w:rPr>
              <w:t>Zehr (1962), Dufaure and Hubert (1968)</w:t>
            </w:r>
          </w:p>
        </w:tc>
        <w:tc>
          <w:tcPr>
            <w:tcW w:w="629" w:type="pct"/>
          </w:tcPr>
          <w:p w:rsidR="00AE0885" w:rsidRPr="00545021" w:rsidRDefault="00545021" w:rsidP="00B25866">
            <w:pPr>
              <w:cnfStyle w:val="000000100000"/>
              <w:rPr>
                <w:color w:val="FF0000"/>
              </w:rPr>
            </w:pPr>
            <w:r w:rsidRPr="00545021">
              <w:rPr>
                <w:color w:val="FF0000"/>
              </w:rPr>
              <w:t>1 (2)</w:t>
            </w:r>
          </w:p>
        </w:tc>
        <w:tc>
          <w:tcPr>
            <w:tcW w:w="629" w:type="pct"/>
          </w:tcPr>
          <w:p w:rsidR="00AE0885" w:rsidRPr="00AD6F4E" w:rsidRDefault="00AE0885" w:rsidP="00B25866">
            <w:pPr>
              <w:cnfStyle w:val="000000100000"/>
              <w:rPr>
                <w:color w:val="000000" w:themeColor="text1"/>
              </w:rPr>
            </w:pPr>
            <w:r w:rsidRPr="00AD6F4E">
              <w:rPr>
                <w:color w:val="000000" w:themeColor="text1"/>
              </w:rPr>
              <w:t>NA</w:t>
            </w:r>
          </w:p>
        </w:tc>
        <w:tc>
          <w:tcPr>
            <w:tcW w:w="516" w:type="pct"/>
          </w:tcPr>
          <w:p w:rsidR="00AE0885" w:rsidRPr="00AD6F4E" w:rsidRDefault="00AE0885" w:rsidP="00B25866">
            <w:pPr>
              <w:cnfStyle w:val="000000100000"/>
              <w:rPr>
                <w:color w:val="000000" w:themeColor="text1"/>
              </w:rPr>
            </w:pPr>
            <w:r w:rsidRPr="00AD6F4E">
              <w:rPr>
                <w:color w:val="000000" w:themeColor="text1"/>
              </w:rPr>
              <w:t>NA</w:t>
            </w:r>
          </w:p>
        </w:tc>
        <w:tc>
          <w:tcPr>
            <w:tcW w:w="699" w:type="pct"/>
          </w:tcPr>
          <w:p w:rsidR="00AE0885" w:rsidRPr="00AD6F4E" w:rsidRDefault="00AE0885" w:rsidP="00B25866">
            <w:pPr>
              <w:cnfStyle w:val="000000100000"/>
              <w:rPr>
                <w:b/>
                <w:color w:val="000000" w:themeColor="text1"/>
              </w:rPr>
            </w:pPr>
            <w:r w:rsidRPr="00AD6F4E">
              <w:rPr>
                <w:color w:val="000000" w:themeColor="text1"/>
              </w:rPr>
              <w:t>NA</w:t>
            </w:r>
          </w:p>
        </w:tc>
      </w:tr>
      <w:bookmarkEnd w:id="1"/>
    </w:tbl>
    <w:p w:rsidR="00C45292" w:rsidRDefault="00C45292" w:rsidP="00BC05C0">
      <w:pPr>
        <w:tabs>
          <w:tab w:val="left" w:pos="567"/>
        </w:tabs>
        <w:spacing w:line="480" w:lineRule="auto"/>
        <w:jc w:val="both"/>
        <w:rPr>
          <w:rFonts w:eastAsia="Times New Roman"/>
          <w:b/>
        </w:rPr>
      </w:pPr>
    </w:p>
    <w:p w:rsidR="00C45292" w:rsidRDefault="00C45292" w:rsidP="00BC05C0">
      <w:pPr>
        <w:tabs>
          <w:tab w:val="left" w:pos="567"/>
        </w:tabs>
        <w:spacing w:line="480" w:lineRule="auto"/>
        <w:jc w:val="both"/>
        <w:rPr>
          <w:rFonts w:eastAsia="Times New Roman"/>
          <w:b/>
        </w:rPr>
      </w:pPr>
    </w:p>
    <w:p w:rsidR="00C45292" w:rsidRPr="008E6EEF" w:rsidRDefault="00C45292">
      <w:pPr>
        <w:rPr>
          <w:b/>
        </w:rPr>
      </w:pPr>
      <w:r>
        <w:rPr>
          <w:b/>
        </w:rPr>
        <w:t>References</w:t>
      </w:r>
    </w:p>
    <w:p w:rsidR="00C45292" w:rsidRDefault="00C45292"/>
    <w:p w:rsidR="00C45292" w:rsidRPr="00B636F2" w:rsidRDefault="00C45292" w:rsidP="00B636F2">
      <w:pPr>
        <w:pStyle w:val="EndNoteBibliography"/>
        <w:ind w:left="720" w:hanging="720"/>
      </w:pPr>
      <w:r w:rsidRPr="00B636F2">
        <w:t xml:space="preserve">Boback, S. M., E. K. Dichter, and H. L. Mistry. 2012. A developmental staging series for the African house snake, </w:t>
      </w:r>
      <w:r w:rsidRPr="00B636F2">
        <w:rPr>
          <w:i/>
        </w:rPr>
        <w:t>Boaedon (Lamprophis) fuliginosus</w:t>
      </w:r>
      <w:r w:rsidRPr="00B636F2">
        <w:t>. Zoology 115:38-46.</w:t>
      </w:r>
    </w:p>
    <w:p w:rsidR="00C45292" w:rsidRPr="00B636F2" w:rsidRDefault="00C45292" w:rsidP="00B636F2">
      <w:pPr>
        <w:pStyle w:val="EndNoteBibliography"/>
        <w:ind w:left="720" w:hanging="720"/>
      </w:pPr>
      <w:r w:rsidRPr="00B636F2">
        <w:t xml:space="preserve">Boughner, J. C., M. Buchtová, K. Fu, V. Diewert, B. Hallgrímsson, and J. M. Richman. 2007. Embryonic development of </w:t>
      </w:r>
      <w:r w:rsidRPr="00B636F2">
        <w:rPr>
          <w:i/>
        </w:rPr>
        <w:t>Python sebae</w:t>
      </w:r>
      <w:r w:rsidRPr="00B636F2">
        <w:t xml:space="preserve"> – I: Staging criteria and macroscopic skeletal morphogenesis of the head and limbs. Zoology 110:212-230.</w:t>
      </w:r>
    </w:p>
    <w:p w:rsidR="00C45292" w:rsidRPr="00B636F2" w:rsidRDefault="00C45292" w:rsidP="00B636F2">
      <w:pPr>
        <w:pStyle w:val="EndNoteBibliography"/>
        <w:ind w:left="720" w:hanging="720"/>
      </w:pPr>
      <w:r w:rsidRPr="00B636F2">
        <w:t xml:space="preserve">Doddamani, L. S. 1994. Histoenzymological studies on embryonic and posthatching development of the ovary in the tropical oviparous lizard, </w:t>
      </w:r>
      <w:r w:rsidRPr="00B636F2">
        <w:rPr>
          <w:i/>
        </w:rPr>
        <w:t>Calotes versicolor</w:t>
      </w:r>
      <w:r w:rsidRPr="00B636F2">
        <w:t>. Journal of Morphology 222:1-10.</w:t>
      </w:r>
    </w:p>
    <w:p w:rsidR="00C45292" w:rsidRPr="00B636F2" w:rsidRDefault="00C45292" w:rsidP="00B636F2">
      <w:pPr>
        <w:pStyle w:val="EndNoteBibliography"/>
        <w:ind w:left="720" w:hanging="720"/>
      </w:pPr>
      <w:r w:rsidRPr="00B636F2">
        <w:t xml:space="preserve">Gredler, M. L., T. J. Sanger, and M. J. Cohn. 2015a. Development of the cloaca, hemipenes, and hemiclitores in the Green Anole, </w:t>
      </w:r>
      <w:r w:rsidRPr="00B636F2">
        <w:rPr>
          <w:i/>
        </w:rPr>
        <w:t>Anolis carolinensis</w:t>
      </w:r>
      <w:r w:rsidRPr="00B636F2">
        <w:t>. Sexual Development 9:21-33.</w:t>
      </w:r>
    </w:p>
    <w:p w:rsidR="00C45292" w:rsidRPr="00B636F2" w:rsidRDefault="00C45292" w:rsidP="00B636F2">
      <w:pPr>
        <w:pStyle w:val="EndNoteBibliography"/>
        <w:ind w:left="720" w:hanging="720"/>
      </w:pPr>
      <w:r w:rsidRPr="00B636F2">
        <w:lastRenderedPageBreak/>
        <w:t xml:space="preserve">Gredler, M. L., A. W. Seifert, and M. J. Cohn. 2015b. Morphogenesis and patterning of the phallus and cloaca in the American Alligator, </w:t>
      </w:r>
      <w:r w:rsidRPr="00B636F2">
        <w:rPr>
          <w:i/>
        </w:rPr>
        <w:t>Alligator mississippiensis</w:t>
      </w:r>
      <w:r w:rsidRPr="00B636F2">
        <w:t>. Sexual Development 9:53-67.</w:t>
      </w:r>
    </w:p>
    <w:p w:rsidR="00C45292" w:rsidRPr="00B636F2" w:rsidRDefault="00C45292" w:rsidP="00B636F2">
      <w:pPr>
        <w:pStyle w:val="EndNoteBibliography"/>
        <w:ind w:left="720" w:hanging="720"/>
      </w:pPr>
      <w:r w:rsidRPr="00B636F2">
        <w:t xml:space="preserve">Gregorovicova, M., O. Zahradnicek, A. S. Tucker, P. Velensky, and I. Horacek. 2012. Embryonic development of the monitor lizard, </w:t>
      </w:r>
      <w:r w:rsidRPr="00B636F2">
        <w:rPr>
          <w:i/>
        </w:rPr>
        <w:t>Varanus indicus</w:t>
      </w:r>
      <w:r w:rsidRPr="00B636F2">
        <w:t>. Amphibia-Reptilia 33:451-468.</w:t>
      </w:r>
    </w:p>
    <w:p w:rsidR="00C45292" w:rsidRPr="00B636F2" w:rsidRDefault="00C45292" w:rsidP="00B636F2">
      <w:pPr>
        <w:pStyle w:val="EndNoteBibliography"/>
        <w:ind w:left="720" w:hanging="720"/>
      </w:pPr>
      <w:r w:rsidRPr="00B636F2">
        <w:t xml:space="preserve">Hubert, J. and J. P. Dufaure. 1968. Table de developpement de la vipere aspic: </w:t>
      </w:r>
      <w:r w:rsidRPr="00B636F2">
        <w:rPr>
          <w:i/>
        </w:rPr>
        <w:t>Vipera aspis</w:t>
      </w:r>
      <w:r w:rsidRPr="00B636F2">
        <w:t>. Bulletin de la Societe Zoologique de France 93:135-148.</w:t>
      </w:r>
    </w:p>
    <w:p w:rsidR="00C45292" w:rsidRPr="00B636F2" w:rsidRDefault="00C45292" w:rsidP="00B636F2">
      <w:pPr>
        <w:pStyle w:val="EndNoteBibliography"/>
        <w:ind w:left="720" w:hanging="720"/>
      </w:pPr>
      <w:r w:rsidRPr="00B636F2">
        <w:t xml:space="preserve">Jackson, K. 2002. Post-ovipositional development of the monocled cobra, </w:t>
      </w:r>
      <w:r w:rsidRPr="00B636F2">
        <w:rPr>
          <w:i/>
        </w:rPr>
        <w:t>Naja kaouthia</w:t>
      </w:r>
      <w:r w:rsidRPr="00B636F2">
        <w:t xml:space="preserve"> (Serpentes: Elapidae). Zoology 105:203-214.</w:t>
      </w:r>
    </w:p>
    <w:p w:rsidR="00C45292" w:rsidRPr="00B636F2" w:rsidRDefault="00C45292" w:rsidP="00B636F2">
      <w:pPr>
        <w:pStyle w:val="EndNoteBibliography"/>
        <w:ind w:left="720" w:hanging="720"/>
      </w:pPr>
      <w:r w:rsidRPr="00B636F2">
        <w:t xml:space="preserve">Khannoon, E. R. 2015. Developmental stages of the climbing gecko </w:t>
      </w:r>
      <w:r w:rsidRPr="00B636F2">
        <w:rPr>
          <w:i/>
        </w:rPr>
        <w:t xml:space="preserve">Tarentola annularis </w:t>
      </w:r>
      <w:r w:rsidRPr="00B636F2">
        <w:t>with special reference to the claws, pad lamellae, and subdigital setae. Journal of Experimental Zoology Part B: Molecular and Developmental Evolution 324:450-464.</w:t>
      </w:r>
    </w:p>
    <w:p w:rsidR="00C45292" w:rsidRPr="00B636F2" w:rsidRDefault="00C45292" w:rsidP="00B636F2">
      <w:pPr>
        <w:pStyle w:val="EndNoteBibliography"/>
        <w:ind w:left="720" w:hanging="720"/>
      </w:pPr>
      <w:r w:rsidRPr="00B636F2">
        <w:t xml:space="preserve">Khannoon, E. R. and S. E. Evans. 2014. The embryonic development of the Egyptian cobra </w:t>
      </w:r>
      <w:r w:rsidRPr="00B636F2">
        <w:rPr>
          <w:i/>
        </w:rPr>
        <w:t xml:space="preserve">Naja h. haje </w:t>
      </w:r>
      <w:r w:rsidRPr="00B636F2">
        <w:t>(Squamata: Serpentes: Elapidae). Acta Zoologica 95:472-483.</w:t>
      </w:r>
    </w:p>
    <w:p w:rsidR="00C45292" w:rsidRPr="00B636F2" w:rsidRDefault="00C45292" w:rsidP="00B636F2">
      <w:pPr>
        <w:pStyle w:val="EndNoteBibliography"/>
        <w:ind w:left="720" w:hanging="720"/>
      </w:pPr>
      <w:r w:rsidRPr="00B636F2">
        <w:t xml:space="preserve">Khannoon, E. R. and O. Zahradnicek. 2017. Postovipositional development of the sand snake </w:t>
      </w:r>
      <w:r w:rsidRPr="00B636F2">
        <w:rPr>
          <w:i/>
        </w:rPr>
        <w:t>Psammophis sibilans</w:t>
      </w:r>
      <w:r w:rsidRPr="00B636F2">
        <w:t xml:space="preserve"> (Serpentes: Lamprophiidae) in comparison with other snake species. Acta Zoologica 98:144-153.</w:t>
      </w:r>
    </w:p>
    <w:p w:rsidR="00C45292" w:rsidRPr="00B636F2" w:rsidRDefault="00C45292" w:rsidP="00B636F2">
      <w:pPr>
        <w:pStyle w:val="EndNoteBibliography"/>
        <w:ind w:left="720" w:hanging="720"/>
      </w:pPr>
      <w:r w:rsidRPr="00B636F2">
        <w:t xml:space="preserve">Kovtun, M. and H. Sheverdyukova. 2015. Early stages of skull embryogenesis in the Grass snake, </w:t>
      </w:r>
      <w:r w:rsidRPr="00B636F2">
        <w:rPr>
          <w:i/>
        </w:rPr>
        <w:t>Natrix natrix</w:t>
      </w:r>
      <w:r w:rsidRPr="00B636F2">
        <w:t xml:space="preserve"> (Serpentes, Colubridae). Russian Journal of Developmental Biology 46:222-230.</w:t>
      </w:r>
    </w:p>
    <w:p w:rsidR="00C45292" w:rsidRPr="00B636F2" w:rsidRDefault="00C45292" w:rsidP="00B636F2">
      <w:pPr>
        <w:pStyle w:val="EndNoteBibliography"/>
        <w:ind w:left="720" w:hanging="720"/>
      </w:pPr>
      <w:r w:rsidRPr="00B636F2">
        <w:t xml:space="preserve">Lemus, D., J. Illanes, M. Fuenzalida, Y. P. De La Vega, and M. Garcia. 1981. Comparative analysis of the development of the lizard, </w:t>
      </w:r>
      <w:r w:rsidRPr="00B636F2">
        <w:rPr>
          <w:i/>
        </w:rPr>
        <w:t>Liolaemus tenuis tenuis</w:t>
      </w:r>
      <w:r w:rsidRPr="00B636F2">
        <w:t xml:space="preserve"> . II. A series of normal postlaying stages in embryonic development. Journal of Morphology 169:337-349.</w:t>
      </w:r>
    </w:p>
    <w:p w:rsidR="00C45292" w:rsidRPr="00B636F2" w:rsidRDefault="00C45292" w:rsidP="00B636F2">
      <w:pPr>
        <w:pStyle w:val="EndNoteBibliography"/>
        <w:ind w:left="720" w:hanging="720"/>
      </w:pPr>
      <w:r w:rsidRPr="00B636F2">
        <w:t xml:space="preserve">Montero, R., C. Gans, and M. Luisa Lions. 1999. Embryonic development of the skeleton of </w:t>
      </w:r>
      <w:r w:rsidRPr="00B636F2">
        <w:rPr>
          <w:i/>
        </w:rPr>
        <w:t>Amphisbaena darwini heterozonata</w:t>
      </w:r>
      <w:r w:rsidRPr="00B636F2">
        <w:t xml:space="preserve"> (Squamata: Amphisbaenidae). Journal of Morphology 239:1-25.</w:t>
      </w:r>
    </w:p>
    <w:p w:rsidR="00C45292" w:rsidRPr="00B636F2" w:rsidRDefault="00C45292" w:rsidP="00B636F2">
      <w:pPr>
        <w:pStyle w:val="EndNoteBibliography"/>
        <w:ind w:left="720" w:hanging="720"/>
      </w:pPr>
      <w:r w:rsidRPr="00B636F2">
        <w:t xml:space="preserve">Muthukkaruppan, V., P. Kanakambika, V. Manickavel, and K. Veeraraghavan. 1970. Analysis of the development of the lizard, </w:t>
      </w:r>
      <w:r w:rsidRPr="00B636F2">
        <w:rPr>
          <w:i/>
        </w:rPr>
        <w:t>Calotes versicolor</w:t>
      </w:r>
      <w:r w:rsidRPr="00B636F2">
        <w:t>: A series of normal stages in the embryonic development. Journal of Morphology 130:479-489.</w:t>
      </w:r>
    </w:p>
    <w:p w:rsidR="00C45292" w:rsidRPr="00B636F2" w:rsidRDefault="00C45292" w:rsidP="00B636F2">
      <w:pPr>
        <w:pStyle w:val="EndNoteBibliography"/>
        <w:ind w:left="720" w:hanging="720"/>
      </w:pPr>
      <w:r w:rsidRPr="00B636F2">
        <w:t xml:space="preserve">Noro, M., A. Uejima, G. Abe, M. Manabe, and K. Tamura. 2009. Normal developmental stages of the Madagascar ground gecko </w:t>
      </w:r>
      <w:r w:rsidRPr="00B636F2">
        <w:rPr>
          <w:i/>
        </w:rPr>
        <w:t>Paroedura pictus</w:t>
      </w:r>
      <w:r w:rsidRPr="00B636F2">
        <w:t xml:space="preserve"> with special reference to limb morphogenesis. Developmental Dynamics 238:100-109.</w:t>
      </w:r>
    </w:p>
    <w:p w:rsidR="00C45292" w:rsidRPr="00B636F2" w:rsidRDefault="00C45292" w:rsidP="00B636F2">
      <w:pPr>
        <w:pStyle w:val="EndNoteBibliography"/>
        <w:ind w:left="720" w:hanging="720"/>
      </w:pPr>
      <w:r w:rsidRPr="00B636F2">
        <w:t>Rapp Py</w:t>
      </w:r>
      <w:r w:rsidRPr="00B636F2">
        <w:rPr>
          <w:rFonts w:ascii="Cambria Math" w:hAnsi="Cambria Math" w:cs="Cambria Math"/>
        </w:rPr>
        <w:t>‐</w:t>
      </w:r>
      <w:r w:rsidRPr="00B636F2">
        <w:t>Daniel, T., A. Kennedy Soares De</w:t>
      </w:r>
      <w:r w:rsidRPr="00B636F2">
        <w:rPr>
          <w:rFonts w:ascii="Cambria Math" w:hAnsi="Cambria Math" w:cs="Cambria Math"/>
        </w:rPr>
        <w:t>‐</w:t>
      </w:r>
      <w:r w:rsidRPr="00B636F2">
        <w:t>Lima, F. Campos Lima, A. Pic</w:t>
      </w:r>
      <w:r w:rsidRPr="00B636F2">
        <w:rPr>
          <w:rFonts w:ascii="Cambria Math" w:hAnsi="Cambria Math" w:cs="Cambria Math"/>
        </w:rPr>
        <w:t>‐</w:t>
      </w:r>
      <w:r w:rsidRPr="00B636F2">
        <w:t>Taylor, O. Rodrigues Pires Junior, and A. Sebben. 2017. A staging table of post</w:t>
      </w:r>
      <w:r w:rsidRPr="00B636F2">
        <w:rPr>
          <w:rFonts w:ascii="Cambria Math" w:hAnsi="Cambria Math" w:cs="Cambria Math"/>
        </w:rPr>
        <w:t>‐</w:t>
      </w:r>
      <w:r w:rsidRPr="00B636F2">
        <w:t xml:space="preserve">ovipositional development for the South American Collared Lizard </w:t>
      </w:r>
      <w:r w:rsidRPr="00B636F2">
        <w:rPr>
          <w:i/>
        </w:rPr>
        <w:t>Tropidurus torquatus</w:t>
      </w:r>
      <w:r w:rsidRPr="00B636F2">
        <w:t xml:space="preserve"> (Squamata: Tropiduridae). Anatomical Record 300:277-290.</w:t>
      </w:r>
    </w:p>
    <w:p w:rsidR="00C45292" w:rsidRPr="00B636F2" w:rsidRDefault="00C45292" w:rsidP="00B636F2">
      <w:pPr>
        <w:pStyle w:val="EndNoteBibliography"/>
        <w:ind w:left="720" w:hanging="720"/>
      </w:pPr>
      <w:r w:rsidRPr="00B636F2">
        <w:t xml:space="preserve">Roscito, J. G. and M. T. Rodrigues. 2012. Embryonic development of the fossorial gymnophthalmid lizards </w:t>
      </w:r>
      <w:r w:rsidRPr="00B636F2">
        <w:rPr>
          <w:i/>
        </w:rPr>
        <w:t>Nothobachia ablephara</w:t>
      </w:r>
      <w:r w:rsidRPr="00B636F2">
        <w:t xml:space="preserve"> and </w:t>
      </w:r>
      <w:r w:rsidRPr="00B636F2">
        <w:rPr>
          <w:i/>
        </w:rPr>
        <w:t>Calyptommatus sinebrachiatus</w:t>
      </w:r>
      <w:r w:rsidRPr="00B636F2">
        <w:t>. Zoology 115:302-318.</w:t>
      </w:r>
    </w:p>
    <w:p w:rsidR="00C45292" w:rsidRPr="00B636F2" w:rsidRDefault="00C45292" w:rsidP="00B636F2">
      <w:pPr>
        <w:pStyle w:val="EndNoteBibliography"/>
        <w:ind w:left="720" w:hanging="720"/>
      </w:pPr>
      <w:r w:rsidRPr="00B636F2">
        <w:t xml:space="preserve">Rosenberg, H. I., A. M. Bauer, and A. P. Russell. 1989. External morphology of the developing hemipenes of the dwarf chameleon, </w:t>
      </w:r>
      <w:r w:rsidRPr="00B636F2">
        <w:rPr>
          <w:i/>
        </w:rPr>
        <w:t>Bradypodion pumilum</w:t>
      </w:r>
      <w:r w:rsidRPr="00B636F2">
        <w:t xml:space="preserve"> (Reptilia: Chamaeleonidae). Canadian Journal of Zoology 67:884-890.</w:t>
      </w:r>
    </w:p>
    <w:p w:rsidR="00C45292" w:rsidRPr="00B636F2" w:rsidRDefault="00C45292" w:rsidP="00B636F2">
      <w:pPr>
        <w:pStyle w:val="EndNoteBibliography"/>
        <w:ind w:left="720" w:hanging="720"/>
      </w:pPr>
      <w:r w:rsidRPr="00B636F2">
        <w:t xml:space="preserve">Zehr, D. R. 1962. Stages in the normal development of the common garter snake, </w:t>
      </w:r>
      <w:r w:rsidRPr="00B636F2">
        <w:rPr>
          <w:i/>
        </w:rPr>
        <w:t>Thamnophis sirtalis sirtalis</w:t>
      </w:r>
      <w:r w:rsidRPr="00B636F2">
        <w:t>. Copeia 1962:322-329.</w:t>
      </w:r>
    </w:p>
    <w:p w:rsidR="00C45292" w:rsidRDefault="00C45292"/>
    <w:p w:rsidR="00AD3882" w:rsidRDefault="00AD3882"/>
    <w:sectPr w:rsidR="00AD3882" w:rsidSect="00DE68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s>
  <w:rsids>
    <w:rsidRoot w:val="00C45292"/>
    <w:rsid w:val="00107F21"/>
    <w:rsid w:val="00230D82"/>
    <w:rsid w:val="00545021"/>
    <w:rsid w:val="007577A5"/>
    <w:rsid w:val="009E1178"/>
    <w:rsid w:val="00AD3882"/>
    <w:rsid w:val="00AE0885"/>
    <w:rsid w:val="00AF3323"/>
    <w:rsid w:val="00BC258C"/>
    <w:rsid w:val="00C45292"/>
    <w:rsid w:val="00CD2C3F"/>
    <w:rsid w:val="00DE688C"/>
    <w:rsid w:val="00FE6470"/>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29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21">
    <w:name w:val="Plain Table 21"/>
    <w:basedOn w:val="TableNormal"/>
    <w:uiPriority w:val="42"/>
    <w:rsid w:val="00C4529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C45292"/>
    <w:pPr>
      <w:jc w:val="center"/>
    </w:pPr>
    <w:rPr>
      <w:noProof/>
      <w:lang w:val="en-US"/>
    </w:rPr>
  </w:style>
  <w:style w:type="character" w:customStyle="1" w:styleId="EndNoteBibliographyTitleChar">
    <w:name w:val="EndNote Bibliography Title Char"/>
    <w:basedOn w:val="DefaultParagraphFont"/>
    <w:link w:val="EndNoteBibliographyTitle"/>
    <w:rsid w:val="00C45292"/>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C45292"/>
    <w:rPr>
      <w:noProof/>
      <w:lang w:val="en-US"/>
    </w:rPr>
  </w:style>
  <w:style w:type="character" w:customStyle="1" w:styleId="EndNoteBibliographyChar">
    <w:name w:val="EndNote Bibliography Char"/>
    <w:basedOn w:val="DefaultParagraphFont"/>
    <w:link w:val="EndNoteBibliography"/>
    <w:rsid w:val="00C45292"/>
    <w:rPr>
      <w:rFonts w:ascii="Times New Roman" w:hAnsi="Times New Roman" w:cs="Times New Roman"/>
      <w:noProof/>
      <w:sz w:val="24"/>
      <w:szCs w:val="24"/>
      <w:lang w:val="en-US"/>
    </w:rPr>
  </w:style>
  <w:style w:type="paragraph" w:styleId="BalloonText">
    <w:name w:val="Balloon Text"/>
    <w:basedOn w:val="Normal"/>
    <w:link w:val="BalloonTextChar"/>
    <w:uiPriority w:val="99"/>
    <w:semiHidden/>
    <w:unhideWhenUsed/>
    <w:rsid w:val="009E11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17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Weisbecker</dc:creator>
  <cp:lastModifiedBy>0013022</cp:lastModifiedBy>
  <cp:revision>4</cp:revision>
  <dcterms:created xsi:type="dcterms:W3CDTF">2017-11-09T06:39:00Z</dcterms:created>
  <dcterms:modified xsi:type="dcterms:W3CDTF">2017-11-23T07:51:00Z</dcterms:modified>
</cp:coreProperties>
</file>