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F2D" w:rsidRPr="00AB155A" w:rsidRDefault="00F72F2D" w:rsidP="00F72F2D">
      <w:pPr>
        <w:rPr>
          <w:b/>
        </w:rPr>
      </w:pPr>
      <w:r w:rsidRPr="00AB155A">
        <w:rPr>
          <w:b/>
        </w:rPr>
        <w:t>Additional File 1: Supplementary tables and figures in order of reference in the manuscript</w:t>
      </w:r>
    </w:p>
    <w:p w:rsidR="00F72F2D" w:rsidRPr="00AB155A" w:rsidRDefault="00F72F2D" w:rsidP="00F72F2D">
      <w:pPr>
        <w:rPr>
          <w:b/>
        </w:rPr>
      </w:pPr>
    </w:p>
    <w:p w:rsidR="00F72F2D" w:rsidRPr="00AB155A" w:rsidRDefault="00F72F2D" w:rsidP="00F72F2D">
      <w:r w:rsidRPr="00AB155A">
        <w:rPr>
          <w:u w:val="single"/>
        </w:rPr>
        <w:t xml:space="preserve">Table S1: </w:t>
      </w:r>
    </w:p>
    <w:p w:rsidR="00F72F2D" w:rsidRPr="00AB155A" w:rsidRDefault="00F72F2D" w:rsidP="00F72F2D">
      <w:pPr>
        <w:rPr>
          <w:i/>
        </w:rPr>
      </w:pPr>
      <w:r w:rsidRPr="00AB155A">
        <w:t xml:space="preserve">Primers for probes for </w:t>
      </w:r>
      <w:r w:rsidRPr="00AB155A">
        <w:rPr>
          <w:i/>
        </w:rPr>
        <w:t>in situ hybridization</w:t>
      </w:r>
    </w:p>
    <w:p w:rsidR="00F72F2D" w:rsidRPr="00AB155A" w:rsidRDefault="00F72F2D" w:rsidP="00F72F2D"/>
    <w:tbl>
      <w:tblPr>
        <w:tblStyle w:val="TableGrid"/>
        <w:tblW w:w="0" w:type="auto"/>
        <w:tblLook w:val="04A0" w:firstRow="1" w:lastRow="0" w:firstColumn="1" w:lastColumn="0" w:noHBand="0" w:noVBand="1"/>
      </w:tblPr>
      <w:tblGrid>
        <w:gridCol w:w="960"/>
        <w:gridCol w:w="6775"/>
        <w:gridCol w:w="1615"/>
      </w:tblGrid>
      <w:tr w:rsidR="00F72F2D" w:rsidRPr="00AB155A" w:rsidTr="000215EE">
        <w:trPr>
          <w:trHeight w:val="315"/>
        </w:trPr>
        <w:tc>
          <w:tcPr>
            <w:tcW w:w="960" w:type="dxa"/>
            <w:noWrap/>
            <w:hideMark/>
          </w:tcPr>
          <w:p w:rsidR="00F72F2D" w:rsidRPr="00AB155A" w:rsidRDefault="00F72F2D" w:rsidP="000215EE">
            <w:pPr>
              <w:rPr>
                <w:b/>
                <w:bCs/>
                <w:sz w:val="20"/>
              </w:rPr>
            </w:pPr>
            <w:r w:rsidRPr="00AB155A">
              <w:rPr>
                <w:b/>
                <w:bCs/>
                <w:sz w:val="20"/>
              </w:rPr>
              <w:t>Gene</w:t>
            </w:r>
          </w:p>
        </w:tc>
        <w:tc>
          <w:tcPr>
            <w:tcW w:w="6775" w:type="dxa"/>
            <w:noWrap/>
            <w:hideMark/>
          </w:tcPr>
          <w:p w:rsidR="00F72F2D" w:rsidRPr="00AB155A" w:rsidRDefault="00F72F2D" w:rsidP="000215EE">
            <w:pPr>
              <w:rPr>
                <w:b/>
                <w:bCs/>
                <w:sz w:val="20"/>
              </w:rPr>
            </w:pPr>
            <w:r w:rsidRPr="00AB155A">
              <w:rPr>
                <w:b/>
                <w:bCs/>
                <w:sz w:val="20"/>
              </w:rPr>
              <w:t>Primers</w:t>
            </w:r>
          </w:p>
        </w:tc>
        <w:tc>
          <w:tcPr>
            <w:tcW w:w="1615" w:type="dxa"/>
            <w:noWrap/>
            <w:hideMark/>
          </w:tcPr>
          <w:p w:rsidR="00F72F2D" w:rsidRPr="00AB155A" w:rsidRDefault="00F72F2D" w:rsidP="000215EE">
            <w:pPr>
              <w:rPr>
                <w:b/>
                <w:bCs/>
                <w:sz w:val="20"/>
              </w:rPr>
            </w:pPr>
            <w:r w:rsidRPr="00AB155A">
              <w:rPr>
                <w:b/>
                <w:bCs/>
                <w:sz w:val="20"/>
              </w:rPr>
              <w:t>Direction</w:t>
            </w:r>
          </w:p>
        </w:tc>
      </w:tr>
      <w:tr w:rsidR="00F72F2D" w:rsidRPr="00AB155A" w:rsidTr="000215EE">
        <w:trPr>
          <w:trHeight w:val="315"/>
        </w:trPr>
        <w:tc>
          <w:tcPr>
            <w:tcW w:w="960" w:type="dxa"/>
            <w:vMerge w:val="restart"/>
            <w:noWrap/>
            <w:hideMark/>
          </w:tcPr>
          <w:p w:rsidR="00F72F2D" w:rsidRPr="00AB155A" w:rsidRDefault="00F72F2D" w:rsidP="000215EE">
            <w:pPr>
              <w:rPr>
                <w:b/>
                <w:bCs/>
                <w:i/>
                <w:iCs/>
                <w:sz w:val="20"/>
              </w:rPr>
            </w:pPr>
            <w:r w:rsidRPr="00AB155A">
              <w:rPr>
                <w:b/>
                <w:bCs/>
                <w:i/>
                <w:iCs/>
                <w:sz w:val="20"/>
              </w:rPr>
              <w:t>vasa</w:t>
            </w:r>
          </w:p>
        </w:tc>
        <w:tc>
          <w:tcPr>
            <w:tcW w:w="6775" w:type="dxa"/>
            <w:noWrap/>
            <w:hideMark/>
          </w:tcPr>
          <w:p w:rsidR="00F72F2D" w:rsidRPr="00AB155A" w:rsidRDefault="00F72F2D" w:rsidP="000215EE">
            <w:pPr>
              <w:rPr>
                <w:sz w:val="20"/>
              </w:rPr>
            </w:pPr>
            <w:r w:rsidRPr="00AB155A">
              <w:rPr>
                <w:sz w:val="20"/>
              </w:rPr>
              <w:t>Em-vasa-F3-pro: 5'- CGG TGT ATC GTC AGT TGT GG -3'</w:t>
            </w:r>
          </w:p>
        </w:tc>
        <w:tc>
          <w:tcPr>
            <w:tcW w:w="1615" w:type="dxa"/>
            <w:noWrap/>
            <w:hideMark/>
          </w:tcPr>
          <w:p w:rsidR="00F72F2D" w:rsidRPr="00AB155A" w:rsidRDefault="00F72F2D" w:rsidP="000215EE">
            <w:pPr>
              <w:rPr>
                <w:sz w:val="20"/>
              </w:rPr>
            </w:pPr>
            <w:r w:rsidRPr="00AB155A">
              <w:rPr>
                <w:sz w:val="20"/>
              </w:rPr>
              <w:t>sense</w:t>
            </w:r>
          </w:p>
        </w:tc>
      </w:tr>
      <w:tr w:rsidR="00F72F2D" w:rsidRPr="00AB155A" w:rsidTr="000215EE">
        <w:trPr>
          <w:trHeight w:val="501"/>
        </w:trPr>
        <w:tc>
          <w:tcPr>
            <w:tcW w:w="960" w:type="dxa"/>
            <w:vMerge/>
            <w:hideMark/>
          </w:tcPr>
          <w:p w:rsidR="00F72F2D" w:rsidRPr="00AB155A" w:rsidRDefault="00F72F2D" w:rsidP="000215EE">
            <w:pPr>
              <w:rPr>
                <w:b/>
                <w:bCs/>
                <w:i/>
                <w:iCs/>
                <w:sz w:val="20"/>
              </w:rPr>
            </w:pPr>
          </w:p>
        </w:tc>
        <w:tc>
          <w:tcPr>
            <w:tcW w:w="6775" w:type="dxa"/>
            <w:noWrap/>
            <w:hideMark/>
          </w:tcPr>
          <w:p w:rsidR="00F72F2D" w:rsidRPr="00AB155A" w:rsidRDefault="00F72F2D" w:rsidP="000215EE">
            <w:pPr>
              <w:rPr>
                <w:sz w:val="20"/>
              </w:rPr>
            </w:pPr>
            <w:r w:rsidRPr="00AB155A">
              <w:rPr>
                <w:sz w:val="20"/>
              </w:rPr>
              <w:t>Em-vasa-R3-pro: 5'- TAA TAC GAC TCA CTA TAG GGT TGG AAT CTC CCT TGT GTC C -3'</w:t>
            </w:r>
          </w:p>
        </w:tc>
        <w:tc>
          <w:tcPr>
            <w:tcW w:w="1615" w:type="dxa"/>
            <w:hideMark/>
          </w:tcPr>
          <w:p w:rsidR="00F72F2D" w:rsidRPr="00AB155A" w:rsidRDefault="00F72F2D" w:rsidP="000215EE">
            <w:pPr>
              <w:rPr>
                <w:sz w:val="20"/>
              </w:rPr>
            </w:pPr>
            <w:r w:rsidRPr="00AB155A">
              <w:rPr>
                <w:sz w:val="20"/>
              </w:rPr>
              <w:t>antisense</w:t>
            </w:r>
          </w:p>
        </w:tc>
      </w:tr>
      <w:tr w:rsidR="00F72F2D" w:rsidRPr="00AB155A" w:rsidTr="000215EE">
        <w:trPr>
          <w:trHeight w:val="501"/>
        </w:trPr>
        <w:tc>
          <w:tcPr>
            <w:tcW w:w="960" w:type="dxa"/>
            <w:vMerge w:val="restart"/>
            <w:noWrap/>
            <w:hideMark/>
          </w:tcPr>
          <w:p w:rsidR="00F72F2D" w:rsidRPr="00AB155A" w:rsidRDefault="00F72F2D" w:rsidP="000215EE">
            <w:pPr>
              <w:rPr>
                <w:b/>
                <w:bCs/>
                <w:i/>
                <w:iCs/>
                <w:sz w:val="20"/>
              </w:rPr>
            </w:pPr>
            <w:r w:rsidRPr="00AB155A">
              <w:rPr>
                <w:b/>
                <w:bCs/>
                <w:i/>
                <w:iCs/>
                <w:sz w:val="20"/>
              </w:rPr>
              <w:t>PL10</w:t>
            </w:r>
          </w:p>
        </w:tc>
        <w:tc>
          <w:tcPr>
            <w:tcW w:w="6775" w:type="dxa"/>
            <w:noWrap/>
            <w:hideMark/>
          </w:tcPr>
          <w:p w:rsidR="00F72F2D" w:rsidRPr="00AB155A" w:rsidRDefault="00F72F2D" w:rsidP="000215EE">
            <w:pPr>
              <w:rPr>
                <w:sz w:val="20"/>
              </w:rPr>
            </w:pPr>
            <w:r w:rsidRPr="00AB155A">
              <w:rPr>
                <w:sz w:val="20"/>
              </w:rPr>
              <w:t>Em-Pl10-P1-F: 5'- AAA GGC ACA GAA GCT ACC CGT T -3'</w:t>
            </w:r>
          </w:p>
        </w:tc>
        <w:tc>
          <w:tcPr>
            <w:tcW w:w="1615" w:type="dxa"/>
            <w:hideMark/>
          </w:tcPr>
          <w:p w:rsidR="00F72F2D" w:rsidRPr="00AB155A" w:rsidRDefault="00F72F2D" w:rsidP="000215EE">
            <w:pPr>
              <w:rPr>
                <w:sz w:val="20"/>
              </w:rPr>
            </w:pPr>
            <w:r w:rsidRPr="00AB155A">
              <w:rPr>
                <w:sz w:val="20"/>
              </w:rPr>
              <w:t>sense</w:t>
            </w:r>
          </w:p>
        </w:tc>
      </w:tr>
      <w:tr w:rsidR="00F72F2D" w:rsidRPr="00AB155A" w:rsidTr="000215EE">
        <w:trPr>
          <w:trHeight w:val="501"/>
        </w:trPr>
        <w:tc>
          <w:tcPr>
            <w:tcW w:w="960" w:type="dxa"/>
            <w:vMerge/>
            <w:hideMark/>
          </w:tcPr>
          <w:p w:rsidR="00F72F2D" w:rsidRPr="00AB155A" w:rsidRDefault="00F72F2D" w:rsidP="000215EE">
            <w:pPr>
              <w:rPr>
                <w:b/>
                <w:bCs/>
                <w:i/>
                <w:iCs/>
                <w:sz w:val="20"/>
              </w:rPr>
            </w:pPr>
          </w:p>
        </w:tc>
        <w:tc>
          <w:tcPr>
            <w:tcW w:w="6775" w:type="dxa"/>
            <w:noWrap/>
            <w:hideMark/>
          </w:tcPr>
          <w:p w:rsidR="00F72F2D" w:rsidRPr="00AB155A" w:rsidRDefault="00F72F2D" w:rsidP="000215EE">
            <w:pPr>
              <w:rPr>
                <w:sz w:val="20"/>
              </w:rPr>
            </w:pPr>
            <w:r w:rsidRPr="00AB155A">
              <w:rPr>
                <w:sz w:val="20"/>
              </w:rPr>
              <w:t>EmPl-10R(+T7tail)2: 5'- TAA TAC GAC TCA CTA TAG GGT TTC GGA TCT GCG GCT CAA A -3'</w:t>
            </w:r>
          </w:p>
        </w:tc>
        <w:tc>
          <w:tcPr>
            <w:tcW w:w="1615" w:type="dxa"/>
            <w:hideMark/>
          </w:tcPr>
          <w:p w:rsidR="00F72F2D" w:rsidRPr="00AB155A" w:rsidRDefault="00F72F2D" w:rsidP="000215EE">
            <w:pPr>
              <w:rPr>
                <w:sz w:val="20"/>
              </w:rPr>
            </w:pPr>
            <w:r w:rsidRPr="00AB155A">
              <w:rPr>
                <w:sz w:val="20"/>
              </w:rPr>
              <w:t>antisense</w:t>
            </w:r>
          </w:p>
        </w:tc>
      </w:tr>
      <w:tr w:rsidR="00F72F2D" w:rsidRPr="00AB155A" w:rsidTr="000215EE">
        <w:trPr>
          <w:trHeight w:val="441"/>
        </w:trPr>
        <w:tc>
          <w:tcPr>
            <w:tcW w:w="960" w:type="dxa"/>
            <w:vMerge w:val="restart"/>
            <w:noWrap/>
            <w:hideMark/>
          </w:tcPr>
          <w:p w:rsidR="00F72F2D" w:rsidRPr="00AB155A" w:rsidRDefault="00F72F2D" w:rsidP="000215EE">
            <w:pPr>
              <w:rPr>
                <w:b/>
                <w:bCs/>
                <w:i/>
                <w:iCs/>
                <w:sz w:val="20"/>
              </w:rPr>
            </w:pPr>
            <w:r w:rsidRPr="00AB155A">
              <w:rPr>
                <w:b/>
                <w:bCs/>
                <w:i/>
                <w:iCs/>
                <w:sz w:val="20"/>
              </w:rPr>
              <w:t>nanos</w:t>
            </w:r>
          </w:p>
        </w:tc>
        <w:tc>
          <w:tcPr>
            <w:tcW w:w="6775" w:type="dxa"/>
            <w:noWrap/>
            <w:hideMark/>
          </w:tcPr>
          <w:p w:rsidR="00F72F2D" w:rsidRPr="00AB155A" w:rsidRDefault="00F72F2D" w:rsidP="000215EE">
            <w:pPr>
              <w:rPr>
                <w:sz w:val="20"/>
                <w:lang w:val="pt-BR"/>
              </w:rPr>
            </w:pPr>
            <w:r w:rsidRPr="00AB155A">
              <w:rPr>
                <w:sz w:val="20"/>
                <w:lang w:val="pt-BR"/>
              </w:rPr>
              <w:t>Em-nanos-F2-pro: 5'- ACC TAT CGA CAG CGA AAT GG -3'</w:t>
            </w:r>
          </w:p>
        </w:tc>
        <w:tc>
          <w:tcPr>
            <w:tcW w:w="1615" w:type="dxa"/>
            <w:hideMark/>
          </w:tcPr>
          <w:p w:rsidR="00F72F2D" w:rsidRPr="00AB155A" w:rsidRDefault="00F72F2D" w:rsidP="000215EE">
            <w:pPr>
              <w:rPr>
                <w:sz w:val="20"/>
              </w:rPr>
            </w:pPr>
            <w:r w:rsidRPr="00AB155A">
              <w:rPr>
                <w:sz w:val="20"/>
              </w:rPr>
              <w:t>sense</w:t>
            </w:r>
          </w:p>
        </w:tc>
      </w:tr>
      <w:tr w:rsidR="00F72F2D" w:rsidRPr="00AB155A" w:rsidTr="000215EE">
        <w:trPr>
          <w:trHeight w:val="315"/>
        </w:trPr>
        <w:tc>
          <w:tcPr>
            <w:tcW w:w="960" w:type="dxa"/>
            <w:vMerge/>
            <w:hideMark/>
          </w:tcPr>
          <w:p w:rsidR="00F72F2D" w:rsidRPr="00AB155A" w:rsidRDefault="00F72F2D" w:rsidP="000215EE">
            <w:pPr>
              <w:rPr>
                <w:b/>
                <w:bCs/>
                <w:i/>
                <w:iCs/>
                <w:sz w:val="20"/>
              </w:rPr>
            </w:pPr>
          </w:p>
        </w:tc>
        <w:tc>
          <w:tcPr>
            <w:tcW w:w="6775" w:type="dxa"/>
            <w:noWrap/>
            <w:hideMark/>
          </w:tcPr>
          <w:p w:rsidR="00F72F2D" w:rsidRPr="00AB155A" w:rsidRDefault="00F72F2D" w:rsidP="000215EE">
            <w:pPr>
              <w:rPr>
                <w:sz w:val="20"/>
                <w:lang w:val="pt-BR"/>
              </w:rPr>
            </w:pPr>
            <w:r w:rsidRPr="00AB155A">
              <w:rPr>
                <w:sz w:val="20"/>
                <w:lang w:val="pt-BR"/>
              </w:rPr>
              <w:t>Em-nanos-R2-pro: 5'-TAA TAC GAC TCA CTA TAG GGG CAA TGG TGA AGG TGT TTG A -3'</w:t>
            </w:r>
          </w:p>
        </w:tc>
        <w:tc>
          <w:tcPr>
            <w:tcW w:w="1615" w:type="dxa"/>
            <w:hideMark/>
          </w:tcPr>
          <w:p w:rsidR="00F72F2D" w:rsidRPr="00AB155A" w:rsidRDefault="00F72F2D" w:rsidP="000215EE">
            <w:pPr>
              <w:rPr>
                <w:sz w:val="20"/>
              </w:rPr>
            </w:pPr>
            <w:r w:rsidRPr="00AB155A">
              <w:rPr>
                <w:sz w:val="20"/>
              </w:rPr>
              <w:t>antisense</w:t>
            </w:r>
          </w:p>
        </w:tc>
      </w:tr>
    </w:tbl>
    <w:p w:rsidR="00F72F2D" w:rsidRPr="00AB155A" w:rsidRDefault="00F72F2D" w:rsidP="00F72F2D"/>
    <w:p w:rsidR="00F72F2D" w:rsidRPr="00AB155A" w:rsidRDefault="00F72F2D" w:rsidP="00F72F2D">
      <w:pPr>
        <w:rPr>
          <w:u w:val="single"/>
        </w:rPr>
      </w:pPr>
    </w:p>
    <w:p w:rsidR="00F72F2D" w:rsidRPr="00AB155A" w:rsidRDefault="00F72F2D" w:rsidP="00F72F2D">
      <w:pPr>
        <w:rPr>
          <w:u w:val="single"/>
        </w:rPr>
      </w:pPr>
    </w:p>
    <w:p w:rsidR="00F72F2D" w:rsidRPr="00AB155A" w:rsidRDefault="00F72F2D" w:rsidP="00F72F2D">
      <w:r w:rsidRPr="00AB155A">
        <w:rPr>
          <w:u w:val="single"/>
        </w:rPr>
        <w:t xml:space="preserve">Table S2: </w:t>
      </w:r>
    </w:p>
    <w:p w:rsidR="00F72F2D" w:rsidRPr="00AB155A" w:rsidRDefault="00F72F2D" w:rsidP="00F72F2D">
      <w:r w:rsidRPr="00AB155A">
        <w:t xml:space="preserve">Morphological and behavioral characteristics of motile cells from </w:t>
      </w:r>
      <w:r w:rsidRPr="00AB155A">
        <w:rPr>
          <w:i/>
        </w:rPr>
        <w:t xml:space="preserve">Ephydatia muelleri </w:t>
      </w:r>
      <w:r w:rsidRPr="00AB155A">
        <w:t xml:space="preserve">in the mesohyl (Dimensions in µm, Velocity in µm s </w:t>
      </w:r>
      <w:r w:rsidRPr="00AB155A">
        <w:rPr>
          <w:vertAlign w:val="superscript"/>
        </w:rPr>
        <w:t>-1</w:t>
      </w:r>
      <w:r w:rsidRPr="00AB155A">
        <w:t xml:space="preserve"> ± SD ). Legend: Polyb., polyblast; Sm Cyst, small cystencyte; Lg Cyst, Large cystencyte</w:t>
      </w:r>
    </w:p>
    <w:tbl>
      <w:tblPr>
        <w:tblpPr w:leftFromText="180" w:rightFromText="180" w:vertAnchor="text" w:horzAnchor="margin" w:tblpY="187"/>
        <w:tblW w:w="5000" w:type="pct"/>
        <w:tblCellMar>
          <w:left w:w="0" w:type="dxa"/>
          <w:right w:w="0" w:type="dxa"/>
        </w:tblCellMar>
        <w:tblLook w:val="04A0" w:firstRow="1" w:lastRow="0" w:firstColumn="1" w:lastColumn="0" w:noHBand="0" w:noVBand="1"/>
      </w:tblPr>
      <w:tblGrid>
        <w:gridCol w:w="1051"/>
        <w:gridCol w:w="505"/>
        <w:gridCol w:w="482"/>
        <w:gridCol w:w="846"/>
        <w:gridCol w:w="453"/>
        <w:gridCol w:w="715"/>
        <w:gridCol w:w="429"/>
        <w:gridCol w:w="610"/>
        <w:gridCol w:w="490"/>
        <w:gridCol w:w="730"/>
        <w:gridCol w:w="610"/>
        <w:gridCol w:w="612"/>
        <w:gridCol w:w="610"/>
        <w:gridCol w:w="610"/>
        <w:gridCol w:w="607"/>
      </w:tblGrid>
      <w:tr w:rsidR="00F72F2D" w:rsidRPr="00AB155A" w:rsidTr="000215EE">
        <w:trPr>
          <w:trHeight w:val="315"/>
        </w:trPr>
        <w:tc>
          <w:tcPr>
            <w:tcW w:w="561" w:type="pct"/>
            <w:tcBorders>
              <w:top w:val="single" w:sz="4" w:space="0" w:color="auto"/>
              <w:bottom w:val="single" w:sz="4" w:space="0" w:color="auto"/>
            </w:tcBorders>
            <w:tcMar>
              <w:top w:w="30" w:type="dxa"/>
              <w:left w:w="45" w:type="dxa"/>
              <w:bottom w:w="30" w:type="dxa"/>
              <w:right w:w="45" w:type="dxa"/>
            </w:tcMar>
            <w:vAlign w:val="bottom"/>
          </w:tcPr>
          <w:p w:rsidR="00F72F2D" w:rsidRPr="00AB155A" w:rsidRDefault="00F72F2D" w:rsidP="000215EE">
            <w:pPr>
              <w:rPr>
                <w:b/>
                <w:bCs/>
                <w:sz w:val="14"/>
                <w:szCs w:val="16"/>
                <w:lang w:eastAsia="en-CA"/>
              </w:rPr>
            </w:pPr>
            <w:r w:rsidRPr="00AB155A">
              <w:rPr>
                <w:b/>
                <w:bCs/>
                <w:sz w:val="14"/>
                <w:szCs w:val="16"/>
                <w:lang w:eastAsia="en-CA"/>
              </w:rPr>
              <w:t>Cell Type</w:t>
            </w:r>
          </w:p>
        </w:tc>
        <w:tc>
          <w:tcPr>
            <w:tcW w:w="526" w:type="pct"/>
            <w:gridSpan w:val="2"/>
            <w:tcBorders>
              <w:top w:val="single" w:sz="4" w:space="0" w:color="auto"/>
              <w:bottom w:val="single" w:sz="4" w:space="0" w:color="auto"/>
            </w:tcBorders>
            <w:shd w:val="clear" w:color="auto" w:fill="D0CECE" w:themeFill="background2" w:themeFillShade="E6"/>
            <w:tcMar>
              <w:top w:w="30" w:type="dxa"/>
              <w:left w:w="45" w:type="dxa"/>
              <w:bottom w:w="30" w:type="dxa"/>
              <w:right w:w="45" w:type="dxa"/>
            </w:tcMar>
            <w:vAlign w:val="bottom"/>
          </w:tcPr>
          <w:p w:rsidR="00F72F2D" w:rsidRPr="00AB155A" w:rsidRDefault="00F72F2D" w:rsidP="000215EE">
            <w:pPr>
              <w:jc w:val="center"/>
              <w:rPr>
                <w:sz w:val="14"/>
                <w:szCs w:val="16"/>
                <w:lang w:eastAsia="en-CA"/>
              </w:rPr>
            </w:pPr>
            <w:r w:rsidRPr="00AB155A">
              <w:rPr>
                <w:sz w:val="14"/>
                <w:szCs w:val="16"/>
                <w:lang w:eastAsia="en-CA"/>
              </w:rPr>
              <w:t>Area</w:t>
            </w:r>
          </w:p>
        </w:tc>
        <w:tc>
          <w:tcPr>
            <w:tcW w:w="694" w:type="pct"/>
            <w:gridSpan w:val="2"/>
            <w:tcBorders>
              <w:top w:val="single" w:sz="4" w:space="0" w:color="auto"/>
              <w:bottom w:val="single" w:sz="4" w:space="0" w:color="auto"/>
            </w:tcBorders>
            <w:tcMar>
              <w:top w:w="30" w:type="dxa"/>
              <w:left w:w="45" w:type="dxa"/>
              <w:bottom w:w="30" w:type="dxa"/>
              <w:right w:w="45" w:type="dxa"/>
            </w:tcMar>
            <w:vAlign w:val="bottom"/>
          </w:tcPr>
          <w:p w:rsidR="00F72F2D" w:rsidRPr="00AB155A" w:rsidRDefault="00F72F2D" w:rsidP="000215EE">
            <w:pPr>
              <w:jc w:val="center"/>
              <w:rPr>
                <w:sz w:val="14"/>
                <w:szCs w:val="16"/>
                <w:lang w:eastAsia="en-CA"/>
              </w:rPr>
            </w:pPr>
            <w:r w:rsidRPr="00AB155A">
              <w:rPr>
                <w:sz w:val="14"/>
                <w:szCs w:val="16"/>
                <w:lang w:eastAsia="en-CA"/>
              </w:rPr>
              <w:t>Perimeter</w:t>
            </w:r>
          </w:p>
        </w:tc>
        <w:tc>
          <w:tcPr>
            <w:tcW w:w="611" w:type="pct"/>
            <w:gridSpan w:val="2"/>
            <w:tcBorders>
              <w:top w:val="single" w:sz="4" w:space="0" w:color="auto"/>
              <w:bottom w:val="single" w:sz="4" w:space="0" w:color="auto"/>
            </w:tcBorders>
            <w:shd w:val="clear" w:color="auto" w:fill="D0CECE" w:themeFill="background2" w:themeFillShade="E6"/>
            <w:tcMar>
              <w:top w:w="30" w:type="dxa"/>
              <w:left w:w="45" w:type="dxa"/>
              <w:bottom w:w="30" w:type="dxa"/>
              <w:right w:w="45" w:type="dxa"/>
            </w:tcMar>
            <w:vAlign w:val="bottom"/>
          </w:tcPr>
          <w:p w:rsidR="00F72F2D" w:rsidRPr="00AB155A" w:rsidRDefault="00F72F2D" w:rsidP="000215EE">
            <w:pPr>
              <w:jc w:val="center"/>
              <w:rPr>
                <w:sz w:val="14"/>
                <w:szCs w:val="16"/>
                <w:lang w:eastAsia="en-CA"/>
              </w:rPr>
            </w:pPr>
            <w:r w:rsidRPr="00AB155A">
              <w:rPr>
                <w:sz w:val="14"/>
                <w:szCs w:val="16"/>
                <w:lang w:eastAsia="en-CA"/>
              </w:rPr>
              <w:t>Avg Length</w:t>
            </w:r>
          </w:p>
        </w:tc>
        <w:tc>
          <w:tcPr>
            <w:tcW w:w="588" w:type="pct"/>
            <w:gridSpan w:val="2"/>
            <w:tcBorders>
              <w:top w:val="single" w:sz="4" w:space="0" w:color="auto"/>
              <w:bottom w:val="single" w:sz="4" w:space="0" w:color="auto"/>
            </w:tcBorders>
            <w:tcMar>
              <w:top w:w="30" w:type="dxa"/>
              <w:left w:w="45" w:type="dxa"/>
              <w:bottom w:w="30" w:type="dxa"/>
              <w:right w:w="45" w:type="dxa"/>
            </w:tcMar>
            <w:vAlign w:val="bottom"/>
          </w:tcPr>
          <w:p w:rsidR="00F72F2D" w:rsidRPr="00AB155A" w:rsidRDefault="00F72F2D" w:rsidP="000215EE">
            <w:pPr>
              <w:jc w:val="center"/>
              <w:rPr>
                <w:sz w:val="14"/>
                <w:szCs w:val="16"/>
                <w:lang w:eastAsia="en-CA"/>
              </w:rPr>
            </w:pPr>
            <w:r w:rsidRPr="00AB155A">
              <w:rPr>
                <w:sz w:val="14"/>
                <w:szCs w:val="16"/>
                <w:lang w:eastAsia="en-CA"/>
              </w:rPr>
              <w:t>Avg Width</w:t>
            </w:r>
          </w:p>
        </w:tc>
        <w:tc>
          <w:tcPr>
            <w:tcW w:w="716" w:type="pct"/>
            <w:gridSpan w:val="2"/>
            <w:tcBorders>
              <w:top w:val="single" w:sz="4" w:space="0" w:color="auto"/>
              <w:bottom w:val="single" w:sz="4" w:space="0" w:color="auto"/>
            </w:tcBorders>
            <w:shd w:val="clear" w:color="auto" w:fill="D0CECE" w:themeFill="background2" w:themeFillShade="E6"/>
            <w:tcMar>
              <w:top w:w="30" w:type="dxa"/>
              <w:left w:w="45" w:type="dxa"/>
              <w:bottom w:w="30" w:type="dxa"/>
              <w:right w:w="45" w:type="dxa"/>
            </w:tcMar>
            <w:vAlign w:val="bottom"/>
          </w:tcPr>
          <w:p w:rsidR="00F72F2D" w:rsidRPr="00AB155A" w:rsidRDefault="00F72F2D" w:rsidP="000215EE">
            <w:pPr>
              <w:jc w:val="center"/>
              <w:rPr>
                <w:sz w:val="14"/>
                <w:szCs w:val="16"/>
                <w:lang w:eastAsia="en-CA"/>
              </w:rPr>
            </w:pPr>
            <w:r w:rsidRPr="00AB155A">
              <w:rPr>
                <w:sz w:val="14"/>
                <w:szCs w:val="16"/>
                <w:lang w:eastAsia="en-CA"/>
              </w:rPr>
              <w:t>Path length</w:t>
            </w:r>
          </w:p>
        </w:tc>
        <w:tc>
          <w:tcPr>
            <w:tcW w:w="653" w:type="pct"/>
            <w:gridSpan w:val="2"/>
            <w:tcBorders>
              <w:top w:val="single" w:sz="4" w:space="0" w:color="auto"/>
              <w:bottom w:val="single" w:sz="4" w:space="0" w:color="auto"/>
            </w:tcBorders>
            <w:tcMar>
              <w:top w:w="30" w:type="dxa"/>
              <w:left w:w="45" w:type="dxa"/>
              <w:bottom w:w="30" w:type="dxa"/>
              <w:right w:w="45" w:type="dxa"/>
            </w:tcMar>
            <w:vAlign w:val="bottom"/>
          </w:tcPr>
          <w:p w:rsidR="00F72F2D" w:rsidRPr="00AB155A" w:rsidRDefault="00F72F2D" w:rsidP="000215EE">
            <w:pPr>
              <w:jc w:val="center"/>
              <w:rPr>
                <w:sz w:val="14"/>
                <w:szCs w:val="16"/>
                <w:lang w:eastAsia="en-CA"/>
              </w:rPr>
            </w:pPr>
            <w:r w:rsidRPr="00AB155A">
              <w:rPr>
                <w:sz w:val="14"/>
                <w:szCs w:val="16"/>
                <w:lang w:eastAsia="en-CA"/>
              </w:rPr>
              <w:t>Avg Velocity</w:t>
            </w:r>
          </w:p>
        </w:tc>
        <w:tc>
          <w:tcPr>
            <w:tcW w:w="650" w:type="pct"/>
            <w:gridSpan w:val="2"/>
            <w:tcBorders>
              <w:top w:val="single" w:sz="4" w:space="0" w:color="auto"/>
              <w:bottom w:val="single" w:sz="4" w:space="0" w:color="auto"/>
            </w:tcBorders>
            <w:shd w:val="clear" w:color="auto" w:fill="D0CECE" w:themeFill="background2" w:themeFillShade="E6"/>
            <w:tcMar>
              <w:top w:w="30" w:type="dxa"/>
              <w:left w:w="45" w:type="dxa"/>
              <w:bottom w:w="30" w:type="dxa"/>
              <w:right w:w="45" w:type="dxa"/>
            </w:tcMar>
            <w:vAlign w:val="bottom"/>
          </w:tcPr>
          <w:p w:rsidR="00F72F2D" w:rsidRPr="00AB155A" w:rsidRDefault="00F72F2D" w:rsidP="000215EE">
            <w:pPr>
              <w:jc w:val="center"/>
              <w:rPr>
                <w:sz w:val="14"/>
                <w:szCs w:val="16"/>
                <w:lang w:eastAsia="en-CA"/>
              </w:rPr>
            </w:pPr>
            <w:r w:rsidRPr="00AB155A">
              <w:rPr>
                <w:sz w:val="14"/>
                <w:szCs w:val="16"/>
                <w:lang w:eastAsia="en-CA"/>
              </w:rPr>
              <w:t>Linearity (PL/ED)</w:t>
            </w:r>
          </w:p>
        </w:tc>
      </w:tr>
      <w:tr w:rsidR="00F72F2D" w:rsidRPr="00AB155A" w:rsidTr="000215EE">
        <w:trPr>
          <w:trHeight w:val="315"/>
        </w:trPr>
        <w:tc>
          <w:tcPr>
            <w:tcW w:w="561" w:type="pct"/>
            <w:tcBorders>
              <w:top w:val="single" w:sz="4" w:space="0" w:color="auto"/>
            </w:tcBorders>
            <w:tcMar>
              <w:top w:w="30" w:type="dxa"/>
              <w:left w:w="45" w:type="dxa"/>
              <w:bottom w:w="30" w:type="dxa"/>
              <w:right w:w="45" w:type="dxa"/>
            </w:tcMar>
            <w:vAlign w:val="bottom"/>
            <w:hideMark/>
          </w:tcPr>
          <w:p w:rsidR="00F72F2D" w:rsidRPr="00AB155A" w:rsidRDefault="00F72F2D" w:rsidP="000215EE">
            <w:pPr>
              <w:rPr>
                <w:b/>
                <w:bCs/>
                <w:sz w:val="14"/>
                <w:szCs w:val="16"/>
                <w:lang w:eastAsia="en-CA"/>
              </w:rPr>
            </w:pPr>
            <w:r w:rsidRPr="00AB155A">
              <w:rPr>
                <w:b/>
                <w:bCs/>
                <w:sz w:val="14"/>
                <w:szCs w:val="16"/>
                <w:lang w:eastAsia="en-CA"/>
              </w:rPr>
              <w:t>Polyb Type 1</w:t>
            </w:r>
          </w:p>
        </w:tc>
        <w:tc>
          <w:tcPr>
            <w:tcW w:w="269" w:type="pct"/>
            <w:tcBorders>
              <w:top w:val="single" w:sz="4" w:space="0" w:color="auto"/>
            </w:tcBorders>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920.1</w:t>
            </w:r>
          </w:p>
        </w:tc>
        <w:tc>
          <w:tcPr>
            <w:tcW w:w="257" w:type="pct"/>
            <w:tcBorders>
              <w:top w:val="single" w:sz="4" w:space="0" w:color="auto"/>
            </w:tcBorders>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59.0</w:t>
            </w:r>
          </w:p>
        </w:tc>
        <w:tc>
          <w:tcPr>
            <w:tcW w:w="452" w:type="pct"/>
            <w:tcBorders>
              <w:top w:val="single" w:sz="4" w:space="0" w:color="auto"/>
            </w:tcBorders>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161.4</w:t>
            </w:r>
          </w:p>
        </w:tc>
        <w:tc>
          <w:tcPr>
            <w:tcW w:w="242" w:type="pct"/>
            <w:tcBorders>
              <w:top w:val="single" w:sz="4" w:space="0" w:color="auto"/>
            </w:tcBorders>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9.2</w:t>
            </w:r>
          </w:p>
        </w:tc>
        <w:tc>
          <w:tcPr>
            <w:tcW w:w="382" w:type="pct"/>
            <w:tcBorders>
              <w:top w:val="single" w:sz="4" w:space="0" w:color="auto"/>
            </w:tcBorders>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46.6</w:t>
            </w:r>
          </w:p>
        </w:tc>
        <w:tc>
          <w:tcPr>
            <w:tcW w:w="229" w:type="pct"/>
            <w:tcBorders>
              <w:top w:val="single" w:sz="4" w:space="0" w:color="auto"/>
            </w:tcBorders>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3.3</w:t>
            </w:r>
          </w:p>
        </w:tc>
        <w:tc>
          <w:tcPr>
            <w:tcW w:w="326" w:type="pct"/>
            <w:tcBorders>
              <w:top w:val="single" w:sz="4" w:space="0" w:color="auto"/>
            </w:tcBorders>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36.8</w:t>
            </w:r>
          </w:p>
        </w:tc>
        <w:tc>
          <w:tcPr>
            <w:tcW w:w="262" w:type="pct"/>
            <w:tcBorders>
              <w:top w:val="single" w:sz="4" w:space="0" w:color="auto"/>
            </w:tcBorders>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4.2</w:t>
            </w:r>
          </w:p>
        </w:tc>
        <w:tc>
          <w:tcPr>
            <w:tcW w:w="390" w:type="pct"/>
            <w:tcBorders>
              <w:top w:val="single" w:sz="4" w:space="0" w:color="auto"/>
            </w:tcBorders>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424.1</w:t>
            </w:r>
          </w:p>
        </w:tc>
        <w:tc>
          <w:tcPr>
            <w:tcW w:w="326" w:type="pct"/>
            <w:tcBorders>
              <w:top w:val="single" w:sz="4" w:space="0" w:color="auto"/>
            </w:tcBorders>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48.5</w:t>
            </w:r>
          </w:p>
        </w:tc>
        <w:tc>
          <w:tcPr>
            <w:tcW w:w="327" w:type="pct"/>
            <w:tcBorders>
              <w:top w:val="single" w:sz="4" w:space="0" w:color="auto"/>
            </w:tcBorders>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0.22</w:t>
            </w:r>
          </w:p>
        </w:tc>
        <w:tc>
          <w:tcPr>
            <w:tcW w:w="326" w:type="pct"/>
            <w:tcBorders>
              <w:top w:val="single" w:sz="4" w:space="0" w:color="auto"/>
            </w:tcBorders>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0.02</w:t>
            </w:r>
          </w:p>
        </w:tc>
        <w:tc>
          <w:tcPr>
            <w:tcW w:w="326" w:type="pct"/>
            <w:tcBorders>
              <w:top w:val="single" w:sz="4" w:space="0" w:color="auto"/>
            </w:tcBorders>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0.64</w:t>
            </w:r>
          </w:p>
        </w:tc>
        <w:tc>
          <w:tcPr>
            <w:tcW w:w="324" w:type="pct"/>
            <w:tcBorders>
              <w:top w:val="single" w:sz="4" w:space="0" w:color="auto"/>
            </w:tcBorders>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0.03</w:t>
            </w:r>
          </w:p>
        </w:tc>
      </w:tr>
      <w:tr w:rsidR="00F72F2D" w:rsidRPr="00AB155A" w:rsidTr="000215EE">
        <w:trPr>
          <w:trHeight w:val="315"/>
        </w:trPr>
        <w:tc>
          <w:tcPr>
            <w:tcW w:w="561" w:type="pct"/>
            <w:tcMar>
              <w:top w:w="30" w:type="dxa"/>
              <w:left w:w="45" w:type="dxa"/>
              <w:bottom w:w="30" w:type="dxa"/>
              <w:right w:w="45" w:type="dxa"/>
            </w:tcMar>
            <w:vAlign w:val="bottom"/>
            <w:hideMark/>
          </w:tcPr>
          <w:p w:rsidR="00F72F2D" w:rsidRPr="00AB155A" w:rsidRDefault="00F72F2D" w:rsidP="000215EE">
            <w:pPr>
              <w:rPr>
                <w:b/>
                <w:bCs/>
                <w:sz w:val="14"/>
                <w:szCs w:val="16"/>
                <w:lang w:eastAsia="en-CA"/>
              </w:rPr>
            </w:pPr>
            <w:r w:rsidRPr="00AB155A">
              <w:rPr>
                <w:b/>
                <w:bCs/>
                <w:sz w:val="14"/>
                <w:szCs w:val="16"/>
                <w:lang w:eastAsia="en-CA"/>
              </w:rPr>
              <w:t>Polyb Type 2</w:t>
            </w:r>
          </w:p>
        </w:tc>
        <w:tc>
          <w:tcPr>
            <w:tcW w:w="269"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346.9</w:t>
            </w:r>
          </w:p>
        </w:tc>
        <w:tc>
          <w:tcPr>
            <w:tcW w:w="257"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16.7</w:t>
            </w:r>
          </w:p>
        </w:tc>
        <w:tc>
          <w:tcPr>
            <w:tcW w:w="452"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106.0</w:t>
            </w:r>
          </w:p>
        </w:tc>
        <w:tc>
          <w:tcPr>
            <w:tcW w:w="242"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3.9</w:t>
            </w:r>
          </w:p>
        </w:tc>
        <w:tc>
          <w:tcPr>
            <w:tcW w:w="382"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24.1</w:t>
            </w:r>
          </w:p>
        </w:tc>
        <w:tc>
          <w:tcPr>
            <w:tcW w:w="229"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3.1</w:t>
            </w:r>
          </w:p>
        </w:tc>
        <w:tc>
          <w:tcPr>
            <w:tcW w:w="326"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23.1</w:t>
            </w:r>
          </w:p>
        </w:tc>
        <w:tc>
          <w:tcPr>
            <w:tcW w:w="262"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3.7</w:t>
            </w:r>
          </w:p>
        </w:tc>
        <w:tc>
          <w:tcPr>
            <w:tcW w:w="390"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96.5</w:t>
            </w:r>
          </w:p>
        </w:tc>
        <w:tc>
          <w:tcPr>
            <w:tcW w:w="326"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30.2</w:t>
            </w:r>
          </w:p>
        </w:tc>
        <w:tc>
          <w:tcPr>
            <w:tcW w:w="327"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0.13</w:t>
            </w:r>
          </w:p>
        </w:tc>
        <w:tc>
          <w:tcPr>
            <w:tcW w:w="326"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0.01</w:t>
            </w:r>
          </w:p>
        </w:tc>
        <w:tc>
          <w:tcPr>
            <w:tcW w:w="326"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0.65</w:t>
            </w:r>
          </w:p>
        </w:tc>
        <w:tc>
          <w:tcPr>
            <w:tcW w:w="324"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0.07</w:t>
            </w:r>
          </w:p>
        </w:tc>
      </w:tr>
      <w:tr w:rsidR="00F72F2D" w:rsidRPr="00AB155A" w:rsidTr="000215EE">
        <w:trPr>
          <w:trHeight w:val="315"/>
        </w:trPr>
        <w:tc>
          <w:tcPr>
            <w:tcW w:w="561" w:type="pct"/>
            <w:tcMar>
              <w:top w:w="30" w:type="dxa"/>
              <w:left w:w="45" w:type="dxa"/>
              <w:bottom w:w="30" w:type="dxa"/>
              <w:right w:w="45" w:type="dxa"/>
            </w:tcMar>
            <w:vAlign w:val="bottom"/>
            <w:hideMark/>
          </w:tcPr>
          <w:p w:rsidR="00F72F2D" w:rsidRPr="00AB155A" w:rsidRDefault="00F72F2D" w:rsidP="000215EE">
            <w:pPr>
              <w:rPr>
                <w:b/>
                <w:bCs/>
                <w:sz w:val="14"/>
                <w:szCs w:val="16"/>
                <w:lang w:eastAsia="en-CA"/>
              </w:rPr>
            </w:pPr>
            <w:r w:rsidRPr="00AB155A">
              <w:rPr>
                <w:b/>
                <w:bCs/>
                <w:sz w:val="14"/>
                <w:szCs w:val="16"/>
                <w:lang w:eastAsia="en-CA"/>
              </w:rPr>
              <w:t>Sm Cyst</w:t>
            </w:r>
          </w:p>
        </w:tc>
        <w:tc>
          <w:tcPr>
            <w:tcW w:w="269"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191.4</w:t>
            </w:r>
          </w:p>
        </w:tc>
        <w:tc>
          <w:tcPr>
            <w:tcW w:w="257"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15.0</w:t>
            </w:r>
          </w:p>
        </w:tc>
        <w:tc>
          <w:tcPr>
            <w:tcW w:w="452"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55.0</w:t>
            </w:r>
          </w:p>
        </w:tc>
        <w:tc>
          <w:tcPr>
            <w:tcW w:w="242"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2.2</w:t>
            </w:r>
          </w:p>
        </w:tc>
        <w:tc>
          <w:tcPr>
            <w:tcW w:w="382"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12.6</w:t>
            </w:r>
          </w:p>
        </w:tc>
        <w:tc>
          <w:tcPr>
            <w:tcW w:w="229"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0.5</w:t>
            </w:r>
          </w:p>
        </w:tc>
        <w:tc>
          <w:tcPr>
            <w:tcW w:w="326"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13.5</w:t>
            </w:r>
          </w:p>
        </w:tc>
        <w:tc>
          <w:tcPr>
            <w:tcW w:w="262"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0.6</w:t>
            </w:r>
          </w:p>
        </w:tc>
        <w:tc>
          <w:tcPr>
            <w:tcW w:w="390"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109.0</w:t>
            </w:r>
          </w:p>
        </w:tc>
        <w:tc>
          <w:tcPr>
            <w:tcW w:w="326"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16.3</w:t>
            </w:r>
          </w:p>
        </w:tc>
        <w:tc>
          <w:tcPr>
            <w:tcW w:w="327"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0.07</w:t>
            </w:r>
          </w:p>
        </w:tc>
        <w:tc>
          <w:tcPr>
            <w:tcW w:w="326"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0.01</w:t>
            </w:r>
          </w:p>
        </w:tc>
        <w:tc>
          <w:tcPr>
            <w:tcW w:w="326"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0.57</w:t>
            </w:r>
          </w:p>
        </w:tc>
        <w:tc>
          <w:tcPr>
            <w:tcW w:w="324"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0.06</w:t>
            </w:r>
          </w:p>
        </w:tc>
      </w:tr>
      <w:tr w:rsidR="00F72F2D" w:rsidRPr="00AB155A" w:rsidTr="000215EE">
        <w:trPr>
          <w:trHeight w:val="315"/>
        </w:trPr>
        <w:tc>
          <w:tcPr>
            <w:tcW w:w="561" w:type="pct"/>
            <w:tcMar>
              <w:top w:w="30" w:type="dxa"/>
              <w:left w:w="45" w:type="dxa"/>
              <w:bottom w:w="30" w:type="dxa"/>
              <w:right w:w="45" w:type="dxa"/>
            </w:tcMar>
            <w:vAlign w:val="bottom"/>
            <w:hideMark/>
          </w:tcPr>
          <w:p w:rsidR="00F72F2D" w:rsidRPr="00AB155A" w:rsidRDefault="00F72F2D" w:rsidP="000215EE">
            <w:pPr>
              <w:rPr>
                <w:b/>
                <w:bCs/>
                <w:sz w:val="14"/>
                <w:szCs w:val="16"/>
                <w:lang w:eastAsia="en-CA"/>
              </w:rPr>
            </w:pPr>
            <w:r w:rsidRPr="00AB155A">
              <w:rPr>
                <w:b/>
                <w:bCs/>
                <w:sz w:val="14"/>
                <w:szCs w:val="16"/>
                <w:lang w:eastAsia="en-CA"/>
              </w:rPr>
              <w:t>Lg Cyst</w:t>
            </w:r>
          </w:p>
        </w:tc>
        <w:tc>
          <w:tcPr>
            <w:tcW w:w="269"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858.3</w:t>
            </w:r>
          </w:p>
        </w:tc>
        <w:tc>
          <w:tcPr>
            <w:tcW w:w="257"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52.0</w:t>
            </w:r>
          </w:p>
        </w:tc>
        <w:tc>
          <w:tcPr>
            <w:tcW w:w="452"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114.0</w:t>
            </w:r>
          </w:p>
        </w:tc>
        <w:tc>
          <w:tcPr>
            <w:tcW w:w="242"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4.0</w:t>
            </w:r>
          </w:p>
        </w:tc>
        <w:tc>
          <w:tcPr>
            <w:tcW w:w="382"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31.5</w:t>
            </w:r>
          </w:p>
        </w:tc>
        <w:tc>
          <w:tcPr>
            <w:tcW w:w="229"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2.2</w:t>
            </w:r>
          </w:p>
        </w:tc>
        <w:tc>
          <w:tcPr>
            <w:tcW w:w="326"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36.0</w:t>
            </w:r>
          </w:p>
        </w:tc>
        <w:tc>
          <w:tcPr>
            <w:tcW w:w="262"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2.0</w:t>
            </w:r>
          </w:p>
        </w:tc>
        <w:tc>
          <w:tcPr>
            <w:tcW w:w="390"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174.5</w:t>
            </w:r>
          </w:p>
        </w:tc>
        <w:tc>
          <w:tcPr>
            <w:tcW w:w="326"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22.4</w:t>
            </w:r>
          </w:p>
        </w:tc>
        <w:tc>
          <w:tcPr>
            <w:tcW w:w="327"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0.06</w:t>
            </w:r>
          </w:p>
        </w:tc>
        <w:tc>
          <w:tcPr>
            <w:tcW w:w="326" w:type="pct"/>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0.01</w:t>
            </w:r>
          </w:p>
        </w:tc>
        <w:tc>
          <w:tcPr>
            <w:tcW w:w="326"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0.58</w:t>
            </w:r>
          </w:p>
        </w:tc>
        <w:tc>
          <w:tcPr>
            <w:tcW w:w="324" w:type="pct"/>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0.05</w:t>
            </w:r>
          </w:p>
        </w:tc>
      </w:tr>
      <w:tr w:rsidR="00F72F2D" w:rsidRPr="00AB155A" w:rsidTr="000215EE">
        <w:trPr>
          <w:trHeight w:val="315"/>
        </w:trPr>
        <w:tc>
          <w:tcPr>
            <w:tcW w:w="561" w:type="pct"/>
            <w:tcBorders>
              <w:bottom w:val="single" w:sz="4" w:space="0" w:color="auto"/>
            </w:tcBorders>
            <w:tcMar>
              <w:top w:w="30" w:type="dxa"/>
              <w:left w:w="45" w:type="dxa"/>
              <w:bottom w:w="30" w:type="dxa"/>
              <w:right w:w="45" w:type="dxa"/>
            </w:tcMar>
            <w:vAlign w:val="bottom"/>
            <w:hideMark/>
          </w:tcPr>
          <w:p w:rsidR="00F72F2D" w:rsidRPr="00AB155A" w:rsidRDefault="00F72F2D" w:rsidP="000215EE">
            <w:pPr>
              <w:rPr>
                <w:b/>
                <w:bCs/>
                <w:sz w:val="14"/>
                <w:szCs w:val="16"/>
                <w:lang w:eastAsia="en-CA"/>
              </w:rPr>
            </w:pPr>
            <w:r w:rsidRPr="00AB155A">
              <w:rPr>
                <w:b/>
                <w:bCs/>
                <w:sz w:val="14"/>
                <w:szCs w:val="16"/>
                <w:lang w:eastAsia="en-CA"/>
              </w:rPr>
              <w:t>Archaeocyte</w:t>
            </w:r>
          </w:p>
        </w:tc>
        <w:tc>
          <w:tcPr>
            <w:tcW w:w="269" w:type="pct"/>
            <w:tcBorders>
              <w:bottom w:val="single" w:sz="4" w:space="0" w:color="auto"/>
            </w:tcBorders>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433.3</w:t>
            </w:r>
          </w:p>
        </w:tc>
        <w:tc>
          <w:tcPr>
            <w:tcW w:w="257" w:type="pct"/>
            <w:tcBorders>
              <w:bottom w:val="single" w:sz="4" w:space="0" w:color="auto"/>
            </w:tcBorders>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28.1</w:t>
            </w:r>
          </w:p>
        </w:tc>
        <w:tc>
          <w:tcPr>
            <w:tcW w:w="452" w:type="pct"/>
            <w:tcBorders>
              <w:bottom w:val="single" w:sz="4" w:space="0" w:color="auto"/>
            </w:tcBorders>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94.2</w:t>
            </w:r>
          </w:p>
        </w:tc>
        <w:tc>
          <w:tcPr>
            <w:tcW w:w="242" w:type="pct"/>
            <w:tcBorders>
              <w:bottom w:val="single" w:sz="4" w:space="0" w:color="auto"/>
            </w:tcBorders>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3.3</w:t>
            </w:r>
          </w:p>
        </w:tc>
        <w:tc>
          <w:tcPr>
            <w:tcW w:w="382" w:type="pct"/>
            <w:tcBorders>
              <w:bottom w:val="single" w:sz="4" w:space="0" w:color="auto"/>
            </w:tcBorders>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24.8</w:t>
            </w:r>
          </w:p>
        </w:tc>
        <w:tc>
          <w:tcPr>
            <w:tcW w:w="229" w:type="pct"/>
            <w:tcBorders>
              <w:bottom w:val="single" w:sz="4" w:space="0" w:color="auto"/>
            </w:tcBorders>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1.5</w:t>
            </w:r>
          </w:p>
        </w:tc>
        <w:tc>
          <w:tcPr>
            <w:tcW w:w="326" w:type="pct"/>
            <w:tcBorders>
              <w:bottom w:val="single" w:sz="4" w:space="0" w:color="auto"/>
            </w:tcBorders>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22.6</w:t>
            </w:r>
          </w:p>
        </w:tc>
        <w:tc>
          <w:tcPr>
            <w:tcW w:w="262" w:type="pct"/>
            <w:tcBorders>
              <w:bottom w:val="single" w:sz="4" w:space="0" w:color="auto"/>
            </w:tcBorders>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1.8</w:t>
            </w:r>
          </w:p>
        </w:tc>
        <w:tc>
          <w:tcPr>
            <w:tcW w:w="390" w:type="pct"/>
            <w:tcBorders>
              <w:bottom w:val="single" w:sz="4" w:space="0" w:color="auto"/>
            </w:tcBorders>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349.0</w:t>
            </w:r>
          </w:p>
        </w:tc>
        <w:tc>
          <w:tcPr>
            <w:tcW w:w="326" w:type="pct"/>
            <w:tcBorders>
              <w:bottom w:val="single" w:sz="4" w:space="0" w:color="auto"/>
            </w:tcBorders>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46.2</w:t>
            </w:r>
          </w:p>
        </w:tc>
        <w:tc>
          <w:tcPr>
            <w:tcW w:w="327" w:type="pct"/>
            <w:tcBorders>
              <w:bottom w:val="single" w:sz="4" w:space="0" w:color="auto"/>
            </w:tcBorders>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0.1</w:t>
            </w:r>
          </w:p>
        </w:tc>
        <w:tc>
          <w:tcPr>
            <w:tcW w:w="326" w:type="pct"/>
            <w:tcBorders>
              <w:bottom w:val="single" w:sz="4" w:space="0" w:color="auto"/>
            </w:tcBorders>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0.01</w:t>
            </w:r>
          </w:p>
        </w:tc>
        <w:tc>
          <w:tcPr>
            <w:tcW w:w="326" w:type="pct"/>
            <w:tcBorders>
              <w:bottom w:val="single" w:sz="4" w:space="0" w:color="auto"/>
            </w:tcBorders>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0.5</w:t>
            </w:r>
          </w:p>
        </w:tc>
        <w:tc>
          <w:tcPr>
            <w:tcW w:w="324" w:type="pct"/>
            <w:tcBorders>
              <w:bottom w:val="single" w:sz="4" w:space="0" w:color="auto"/>
            </w:tcBorders>
            <w:shd w:val="clear" w:color="auto" w:fill="D0CECE" w:themeFill="background2" w:themeFillShade="E6"/>
            <w:tcMar>
              <w:top w:w="30" w:type="dxa"/>
              <w:left w:w="45" w:type="dxa"/>
              <w:bottom w:w="30" w:type="dxa"/>
              <w:right w:w="45" w:type="dxa"/>
            </w:tcMar>
            <w:vAlign w:val="bottom"/>
            <w:hideMark/>
          </w:tcPr>
          <w:p w:rsidR="00F72F2D" w:rsidRPr="00AB155A" w:rsidRDefault="00F72F2D" w:rsidP="000215EE">
            <w:pPr>
              <w:jc w:val="right"/>
              <w:rPr>
                <w:sz w:val="14"/>
                <w:szCs w:val="16"/>
                <w:lang w:eastAsia="en-CA"/>
              </w:rPr>
            </w:pPr>
            <w:r w:rsidRPr="00AB155A">
              <w:rPr>
                <w:sz w:val="14"/>
                <w:szCs w:val="16"/>
                <w:lang w:eastAsia="en-CA"/>
              </w:rPr>
              <w:t>± 0.05</w:t>
            </w:r>
          </w:p>
        </w:tc>
      </w:tr>
    </w:tbl>
    <w:p w:rsidR="00F72F2D" w:rsidRPr="00AB155A" w:rsidRDefault="00F72F2D" w:rsidP="00F72F2D">
      <w:pPr>
        <w:autoSpaceDE w:val="0"/>
        <w:autoSpaceDN w:val="0"/>
        <w:adjustRightInd w:val="0"/>
      </w:pPr>
    </w:p>
    <w:p w:rsidR="00F72F2D" w:rsidRPr="00AB155A" w:rsidRDefault="00F72F2D" w:rsidP="00F72F2D">
      <w:pPr>
        <w:autoSpaceDE w:val="0"/>
        <w:autoSpaceDN w:val="0"/>
        <w:adjustRightInd w:val="0"/>
      </w:pPr>
    </w:p>
    <w:p w:rsidR="00F72F2D" w:rsidRPr="00AB155A" w:rsidRDefault="00F72F2D" w:rsidP="00F72F2D">
      <w:r w:rsidRPr="00AB155A">
        <w:br w:type="page"/>
      </w:r>
    </w:p>
    <w:p w:rsidR="00F72F2D" w:rsidRPr="00AB155A" w:rsidRDefault="00F72F2D" w:rsidP="00F72F2D">
      <w:pPr>
        <w:autoSpaceDE w:val="0"/>
        <w:autoSpaceDN w:val="0"/>
        <w:adjustRightInd w:val="0"/>
      </w:pPr>
    </w:p>
    <w:p w:rsidR="00F72F2D" w:rsidRPr="00AB155A" w:rsidRDefault="00F72F2D" w:rsidP="00F72F2D">
      <w:pPr>
        <w:autoSpaceDE w:val="0"/>
        <w:autoSpaceDN w:val="0"/>
        <w:adjustRightInd w:val="0"/>
      </w:pPr>
      <w:r w:rsidRPr="00AB155A">
        <w:rPr>
          <w:noProof/>
        </w:rPr>
        <w:drawing>
          <wp:inline distT="0" distB="0" distL="0" distR="0" wp14:anchorId="221B98EA" wp14:editId="17C6161D">
            <wp:extent cx="5943600" cy="1187875"/>
            <wp:effectExtent l="0" t="0" r="0" b="0"/>
            <wp:docPr id="6" name="Picture 6" descr="C:\Users\sleys\A-Sally portege files\papers\Current\Submitted\Ephydatia morphology (submitted - May 28-24)\Revisions - EvoDevo - Sept 2024\Figure S1_St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leys\A-Sally portege files\papers\Current\Submitted\Ephydatia morphology (submitted - May 28-24)\Revisions - EvoDevo - Sept 2024\Figure S1_Stages.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1187875"/>
                    </a:xfrm>
                    <a:prstGeom prst="rect">
                      <a:avLst/>
                    </a:prstGeom>
                    <a:noFill/>
                    <a:ln>
                      <a:noFill/>
                    </a:ln>
                  </pic:spPr>
                </pic:pic>
              </a:graphicData>
            </a:graphic>
          </wp:inline>
        </w:drawing>
      </w:r>
    </w:p>
    <w:p w:rsidR="00F72F2D" w:rsidRPr="00AB155A" w:rsidRDefault="00F72F2D" w:rsidP="00F72F2D">
      <w:pPr>
        <w:rPr>
          <w:u w:val="single"/>
        </w:rPr>
      </w:pPr>
    </w:p>
    <w:p w:rsidR="00F72F2D" w:rsidRPr="00AB155A" w:rsidRDefault="00F72F2D" w:rsidP="00F72F2D">
      <w:r w:rsidRPr="00AB155A">
        <w:rPr>
          <w:u w:val="single"/>
        </w:rPr>
        <w:t>Figure S1:</w:t>
      </w:r>
      <w:r w:rsidRPr="00AB155A">
        <w:t xml:space="preserve"> </w:t>
      </w:r>
    </w:p>
    <w:p w:rsidR="00F72F2D" w:rsidRPr="00AB155A" w:rsidRDefault="00F72F2D" w:rsidP="00F72F2D">
      <w:r w:rsidRPr="00AB155A">
        <w:t>Staging juvenile freshwater sponges. Images captured by steromicroscope (Olympus SZX12) at different magnifications. Stage 1, just hatched, with cells coming out of the micropyle and anchoring the gemmule to the substrate.  Stage 2, one- to two-day old sponge with many undifferentiated cells and some sclerocytes and choanocytes between the surface pinacoderms (exopinacoderm and basopinacoderm).  Stage 3, two- to three-days old, with lacunae or pockets of the incipient canal system surrounded by white tissue containing early choanocyte chambers, sclerocytes, archaeocytes. Stage 4, four- to five-day old sponge with differentiated canals and chambers spreading throughout the sponge, however lacking the final organization of excurrent canals into only one or two much larger canals leading to the osculum.  Stage 5, five-day sponge or older, in which excurrent canals have their definitive organization leading to the osculum.</w:t>
      </w:r>
    </w:p>
    <w:p w:rsidR="00F72F2D" w:rsidRPr="00AB155A" w:rsidRDefault="00F72F2D" w:rsidP="00F72F2D"/>
    <w:p w:rsidR="00F72F2D" w:rsidRPr="00AB155A" w:rsidRDefault="00F72F2D" w:rsidP="00F72F2D"/>
    <w:p w:rsidR="00F72F2D" w:rsidRPr="00AB155A" w:rsidRDefault="00F72F2D" w:rsidP="00F72F2D">
      <w:r w:rsidRPr="00AB155A">
        <w:rPr>
          <w:noProof/>
        </w:rPr>
        <w:drawing>
          <wp:inline distT="0" distB="0" distL="0" distR="0" wp14:anchorId="254B067E" wp14:editId="4A44CCD7">
            <wp:extent cx="3367088" cy="2568383"/>
            <wp:effectExtent l="0" t="0" r="5080" b="3810"/>
            <wp:docPr id="1" name="Picture 1" descr="E:\Images\Ephydatia\Ephydatia 'highlights'\Ephydatia - incurrent can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ages\Ephydatia\Ephydatia 'highlights'\Ephydatia - incurrent canal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80450" cy="2578576"/>
                    </a:xfrm>
                    <a:prstGeom prst="rect">
                      <a:avLst/>
                    </a:prstGeom>
                    <a:noFill/>
                    <a:ln>
                      <a:noFill/>
                    </a:ln>
                  </pic:spPr>
                </pic:pic>
              </a:graphicData>
            </a:graphic>
          </wp:inline>
        </w:drawing>
      </w:r>
    </w:p>
    <w:p w:rsidR="00F72F2D" w:rsidRPr="00AB155A" w:rsidRDefault="00F72F2D" w:rsidP="00F72F2D">
      <w:r w:rsidRPr="00AB155A">
        <w:rPr>
          <w:u w:val="single"/>
        </w:rPr>
        <w:t xml:space="preserve">Figure S2: </w:t>
      </w:r>
    </w:p>
    <w:p w:rsidR="00F72F2D" w:rsidRPr="00AB155A" w:rsidRDefault="00F72F2D" w:rsidP="00F72F2D">
      <w:r w:rsidRPr="00AB155A">
        <w:t>Stage 5 sponge showing darker circles of incurrent canals. Abbreviations: ex, excurrent canals, SDS, subdermal space, Osc, osculum, g, gemmule.</w:t>
      </w:r>
    </w:p>
    <w:p w:rsidR="00F72F2D" w:rsidRPr="00AB155A" w:rsidRDefault="00F72F2D" w:rsidP="00F72F2D"/>
    <w:p w:rsidR="00F72F2D" w:rsidRPr="00AB155A" w:rsidRDefault="00F72F2D" w:rsidP="00F72F2D"/>
    <w:p w:rsidR="00F72F2D" w:rsidRPr="00AB155A" w:rsidRDefault="00F72F2D" w:rsidP="00F72F2D">
      <w:pPr>
        <w:rPr>
          <w:u w:val="single"/>
        </w:rPr>
      </w:pPr>
      <w:r w:rsidRPr="00AB155A">
        <w:rPr>
          <w:u w:val="single"/>
        </w:rPr>
        <w:t>Video S1</w:t>
      </w:r>
      <w:r w:rsidRPr="00AB155A">
        <w:t xml:space="preserve">: Choanocyte chamber of a stage 5 </w:t>
      </w:r>
      <w:r w:rsidRPr="00AB155A">
        <w:rPr>
          <w:i/>
        </w:rPr>
        <w:t xml:space="preserve">Ephydatia muelleri </w:t>
      </w:r>
      <w:r w:rsidRPr="00AB155A">
        <w:t>filmed using a high speed camera (MegaSpeed 5) at 100 frames per second, showing flagella beating in collars and the erratic whip-like beat of a cilium at the apopyle. Flagella beat rate is approximately 27hz, apopyle cilium beat rate is roughly 2 hz.</w:t>
      </w:r>
      <w:r w:rsidRPr="00AB155A">
        <w:rPr>
          <w:u w:val="single"/>
        </w:rPr>
        <w:t xml:space="preserve"> </w:t>
      </w:r>
    </w:p>
    <w:p w:rsidR="00F72F2D" w:rsidRPr="00AB155A" w:rsidRDefault="00F72F2D" w:rsidP="00F72F2D">
      <w:r w:rsidRPr="00AB155A">
        <w:rPr>
          <w:u w:val="single"/>
        </w:rPr>
        <w:lastRenderedPageBreak/>
        <w:t xml:space="preserve">Video S2: </w:t>
      </w:r>
      <w:r w:rsidRPr="00AB155A">
        <w:t xml:space="preserve">Central cell in a choanocyte chamber of stage 5 </w:t>
      </w:r>
      <w:r w:rsidRPr="00AB155A">
        <w:rPr>
          <w:i/>
        </w:rPr>
        <w:t>Ephydatia muelleri</w:t>
      </w:r>
      <w:r w:rsidRPr="00AB155A">
        <w:t xml:space="preserve"> filmed using a high speed camera (MegaSpeed 5) at 400 frames per second. While the flagella beat is uninterrupted by the presence of the central cell sitting on top of the collars and glycocalyx mesh, the beat of the flagella and/or movement of the water visibly shakes the central cell.</w:t>
      </w:r>
    </w:p>
    <w:p w:rsidR="00F72F2D" w:rsidRPr="00AB155A" w:rsidRDefault="00F72F2D" w:rsidP="00F72F2D">
      <w:r w:rsidRPr="00AB155A">
        <w:t xml:space="preserve"> </w:t>
      </w:r>
    </w:p>
    <w:p w:rsidR="00F72F2D" w:rsidRPr="00AB155A" w:rsidRDefault="00F72F2D" w:rsidP="00F72F2D">
      <w:pPr>
        <w:rPr>
          <w:u w:val="single"/>
        </w:rPr>
      </w:pPr>
      <w:r w:rsidRPr="00AB155A">
        <w:rPr>
          <w:u w:val="single"/>
        </w:rPr>
        <w:t>Video S3:</w:t>
      </w:r>
    </w:p>
    <w:p w:rsidR="00F72F2D" w:rsidRPr="00AB155A" w:rsidRDefault="00F72F2D" w:rsidP="00F72F2D">
      <w:r w:rsidRPr="00AB155A">
        <w:t xml:space="preserve">Cells moving in the mesohyl of the periphery of a Stage 5 </w:t>
      </w:r>
      <w:r w:rsidRPr="00AB155A">
        <w:rPr>
          <w:i/>
        </w:rPr>
        <w:t>E. muelleri</w:t>
      </w:r>
      <w:r w:rsidRPr="00AB155A">
        <w:t>. Filmed using phase contrast dippable lens. The types of cells crawling are identified in the still image of Figure 10 in the main text and in panel C of figure S5.</w:t>
      </w:r>
    </w:p>
    <w:p w:rsidR="00F72F2D" w:rsidRPr="00AB155A" w:rsidRDefault="00F72F2D" w:rsidP="00F72F2D"/>
    <w:p w:rsidR="00F72F2D" w:rsidRPr="00AB155A" w:rsidRDefault="00F72F2D" w:rsidP="00F72F2D"/>
    <w:p w:rsidR="00F72F2D" w:rsidRPr="00AB155A" w:rsidRDefault="00F72F2D" w:rsidP="00F72F2D">
      <w:r w:rsidRPr="00AB155A">
        <w:rPr>
          <w:noProof/>
        </w:rPr>
        <w:drawing>
          <wp:inline distT="0" distB="0" distL="0" distR="0" wp14:anchorId="4C732F5E" wp14:editId="79ED0C20">
            <wp:extent cx="5573395" cy="2114047"/>
            <wp:effectExtent l="0" t="0" r="8255" b="635"/>
            <wp:docPr id="5" name="Picture 5" descr="E:\Images\Ephydatia\Ephydatia 'highlights'\Emu4_actin_20x- suppl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Images\Ephydatia\Ephydatia 'highlights'\Emu4_actin_20x- supplemen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4256" cy="2129546"/>
                    </a:xfrm>
                    <a:prstGeom prst="rect">
                      <a:avLst/>
                    </a:prstGeom>
                    <a:noFill/>
                    <a:ln>
                      <a:noFill/>
                    </a:ln>
                  </pic:spPr>
                </pic:pic>
              </a:graphicData>
            </a:graphic>
          </wp:inline>
        </w:drawing>
      </w:r>
    </w:p>
    <w:p w:rsidR="00F72F2D" w:rsidRPr="00AB155A" w:rsidRDefault="00F72F2D" w:rsidP="00F72F2D">
      <w:pPr>
        <w:rPr>
          <w:u w:val="single"/>
        </w:rPr>
      </w:pPr>
      <w:r w:rsidRPr="00AB155A">
        <w:rPr>
          <w:u w:val="single"/>
        </w:rPr>
        <w:t>Figure S4:</w:t>
      </w:r>
    </w:p>
    <w:p w:rsidR="00F72F2D" w:rsidRPr="00AB155A" w:rsidRDefault="00F72F2D" w:rsidP="00F72F2D">
      <w:r w:rsidRPr="00AB155A">
        <w:t xml:space="preserve">Osculum of </w:t>
      </w:r>
      <w:r w:rsidRPr="00AB155A">
        <w:rPr>
          <w:i/>
        </w:rPr>
        <w:t>E. muelleri</w:t>
      </w:r>
      <w:r w:rsidRPr="00AB155A">
        <w:t xml:space="preserve"> labelled with phalloidin for actin. A. Image showing some cell boundaries, but more obviously actin tracts go around the circumference of the osculum. B. Contracted osculum with sphincters showing actin.</w:t>
      </w:r>
    </w:p>
    <w:p w:rsidR="00F72F2D" w:rsidRPr="00AB155A" w:rsidRDefault="00F72F2D" w:rsidP="00F72F2D"/>
    <w:p w:rsidR="00F72F2D" w:rsidRPr="00AB155A" w:rsidRDefault="00F72F2D" w:rsidP="00F72F2D"/>
    <w:p w:rsidR="00F72F2D" w:rsidRPr="00AB155A" w:rsidRDefault="00F72F2D" w:rsidP="00F72F2D">
      <w:pPr>
        <w:rPr>
          <w:u w:val="single"/>
        </w:rPr>
      </w:pPr>
    </w:p>
    <w:p w:rsidR="00F72F2D" w:rsidRPr="00AB155A" w:rsidRDefault="00F72F2D" w:rsidP="00F72F2D">
      <w:r w:rsidRPr="00AB155A">
        <w:rPr>
          <w:noProof/>
        </w:rPr>
        <w:lastRenderedPageBreak/>
        <w:drawing>
          <wp:inline distT="0" distB="0" distL="0" distR="0" wp14:anchorId="15F725CF" wp14:editId="4572252E">
            <wp:extent cx="5356391" cy="4477773"/>
            <wp:effectExtent l="0" t="0" r="0" b="0"/>
            <wp:docPr id="3" name="Picture 3" descr="E:\Images\Ephydatia\Ephydatia 'highlights'\Cell tracks f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mages\Ephydatia\Ephydatia 'highlights'\Cell tracks figur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60043" cy="4480826"/>
                    </a:xfrm>
                    <a:prstGeom prst="rect">
                      <a:avLst/>
                    </a:prstGeom>
                    <a:noFill/>
                    <a:ln>
                      <a:noFill/>
                    </a:ln>
                  </pic:spPr>
                </pic:pic>
              </a:graphicData>
            </a:graphic>
          </wp:inline>
        </w:drawing>
      </w:r>
    </w:p>
    <w:p w:rsidR="00F72F2D" w:rsidRPr="00AB155A" w:rsidRDefault="00F72F2D" w:rsidP="00F72F2D">
      <w:r w:rsidRPr="00AB155A">
        <w:rPr>
          <w:u w:val="single"/>
        </w:rPr>
        <w:t>Figure S5:</w:t>
      </w:r>
    </w:p>
    <w:p w:rsidR="00F72F2D" w:rsidRPr="00AB155A" w:rsidRDefault="00F72F2D" w:rsidP="00F72F2D">
      <w:r w:rsidRPr="00AB155A">
        <w:t>Motile mesohyl cells are distinguished from each other by morphology and behavior. A) Total surface area and perimeter of each cell type. B)  Velocity and length of the path taken by each mobile cell type. Mean and standard error. C) Mobile cell types identified the mesohyl, imaged using differential interference contrast (DIC) microscopy. D) The respective paths of each of the cells shown in (C); colours correspond to the cells indicated by the coloured arrows in (C). Scales in C,D 50 µm.</w:t>
      </w:r>
    </w:p>
    <w:p w:rsidR="00F72F2D" w:rsidRPr="00AB155A" w:rsidRDefault="00F72F2D" w:rsidP="00F72F2D"/>
    <w:p w:rsidR="00F72F2D" w:rsidRPr="00AB155A" w:rsidRDefault="00F72F2D" w:rsidP="00F72F2D"/>
    <w:p w:rsidR="00F72F2D" w:rsidRPr="00AB155A" w:rsidRDefault="00F72F2D" w:rsidP="00F72F2D">
      <w:r w:rsidRPr="00AB155A">
        <w:rPr>
          <w:noProof/>
        </w:rPr>
        <w:lastRenderedPageBreak/>
        <w:drawing>
          <wp:inline distT="0" distB="0" distL="0" distR="0" wp14:anchorId="47092B47" wp14:editId="45CE2D44">
            <wp:extent cx="5943600" cy="4437063"/>
            <wp:effectExtent l="0" t="0" r="0" b="1905"/>
            <wp:docPr id="8" name="Picture 8" descr="C:\Users\sleys\A-Sally portege files\papers\Current\Submitted\Ephydatia morphology (submitted - May 28-24)\Revisions - EvoDevo - Sept 2024\Supp figure S6 - TEMs of cell typ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leys\A-Sally portege files\papers\Current\Submitted\Ephydatia morphology (submitted - May 28-24)\Revisions - EvoDevo - Sept 2024\Supp figure S6 - TEMs of cell typ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437063"/>
                    </a:xfrm>
                    <a:prstGeom prst="rect">
                      <a:avLst/>
                    </a:prstGeom>
                    <a:noFill/>
                    <a:ln>
                      <a:noFill/>
                    </a:ln>
                  </pic:spPr>
                </pic:pic>
              </a:graphicData>
            </a:graphic>
          </wp:inline>
        </w:drawing>
      </w:r>
    </w:p>
    <w:p w:rsidR="00F72F2D" w:rsidRPr="00006060" w:rsidRDefault="00F72F2D" w:rsidP="00F72F2D">
      <w:pPr>
        <w:rPr>
          <w:u w:val="single"/>
        </w:rPr>
      </w:pPr>
      <w:r w:rsidRPr="00006060">
        <w:rPr>
          <w:u w:val="single"/>
        </w:rPr>
        <w:t>Figure S6:</w:t>
      </w:r>
    </w:p>
    <w:p w:rsidR="00F72F2D" w:rsidRPr="00006060" w:rsidRDefault="00F72F2D" w:rsidP="00F72F2D">
      <w:r w:rsidRPr="00006060">
        <w:t xml:space="preserve">Transmission electron micrographs of choanocytes and motile cell types shown in Figure 10. A, Two choanocytes, showing microvilli (mv) forming the collar and flagellum (fl) in the collar of the left hand cell. The nucleus (n) takes up most of the cell body and has dispersed heterochromatin. The choanocyte base is exposed to water. B, Sclerocyte lying below a choanocyte, identified by the microvilli (mv) of the collar. The sclerocyte contains a membrane bound inclusion that is the space that housed the spicule (ss) prior to dissolution. The remains of the axial filament – a protein rod forming the innermost part of the spicule – can be seen at one side of the ss. C, Archaeocyte containing algae (alg), and with various empty vesicles (white arrowheads) in the cytoplasm. Archaeocytes are identifiable by the nucleolated (nu) nucleus (n), and their generally round, stocky shape. D, Archaeocyte with a nucleolated nucleus and clear vesicles (arrowheads). E. Large cystencyte with a nucleus (n) in the foot (ft) that is ahead of the large ovoid inclusion (incl). This inclusion has a clear space that is likely introduced during fixation. F, Small cystencyte showing a very small cytoplasm to inclusion (incl). G, Small polyblast, with algae (alg) in inclusions as well as clear vesicles (arrowheads). Mitochondria (mi) are easily seen in the cytoplasm, and cells usually have pseudopodia (black arrows). H, Large polyblast, lying below the choanoderm (ch), with a clear nucleus (lacking a nucleolus), and numerous round grey inclusion in the cytoplasm. </w:t>
      </w:r>
    </w:p>
    <w:p w:rsidR="00F72F2D" w:rsidRPr="00006060" w:rsidRDefault="00F72F2D" w:rsidP="00F72F2D"/>
    <w:p w:rsidR="00F72F2D" w:rsidRPr="00AB155A" w:rsidRDefault="00F72F2D" w:rsidP="00F72F2D"/>
    <w:p w:rsidR="00F72F2D" w:rsidRPr="00AB155A" w:rsidRDefault="00F72F2D" w:rsidP="00F72F2D">
      <w:pPr>
        <w:rPr>
          <w:u w:val="single"/>
        </w:rPr>
      </w:pPr>
      <w:r w:rsidRPr="00AB155A">
        <w:rPr>
          <w:noProof/>
        </w:rPr>
        <w:lastRenderedPageBreak/>
        <w:drawing>
          <wp:anchor distT="0" distB="0" distL="114300" distR="114300" simplePos="0" relativeHeight="251659264" behindDoc="1" locked="0" layoutInCell="1" allowOverlap="1" wp14:anchorId="11AB67D1" wp14:editId="77BA75CB">
            <wp:simplePos x="0" y="0"/>
            <wp:positionH relativeFrom="margin">
              <wp:align>left</wp:align>
            </wp:positionH>
            <wp:positionV relativeFrom="paragraph">
              <wp:posOffset>197434</wp:posOffset>
            </wp:positionV>
            <wp:extent cx="3328035" cy="2538095"/>
            <wp:effectExtent l="0" t="0" r="5715" b="0"/>
            <wp:wrapTopAndBottom/>
            <wp:docPr id="4" name="Picture 4" descr="E:\Images\Ephydatia\Ephydatia 'highlights'\basopinacocyte tubu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mages\Ephydatia\Ephydatia 'highlights'\basopinacocyte tubuli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28035" cy="25380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72F2D" w:rsidRPr="00AB155A" w:rsidRDefault="00F72F2D" w:rsidP="00F72F2D">
      <w:pPr>
        <w:rPr>
          <w:u w:val="single"/>
        </w:rPr>
      </w:pPr>
      <w:r w:rsidRPr="00AB155A">
        <w:rPr>
          <w:u w:val="single"/>
        </w:rPr>
        <w:t>Figure S7:</w:t>
      </w:r>
    </w:p>
    <w:p w:rsidR="00F72F2D" w:rsidRPr="00AB155A" w:rsidRDefault="00F72F2D" w:rsidP="00F72F2D">
      <w:r w:rsidRPr="00AB155A">
        <w:t xml:space="preserve">Two basopinacocytes in the basopinacoderm of </w:t>
      </w:r>
      <w:r w:rsidRPr="00AB155A">
        <w:rPr>
          <w:i/>
        </w:rPr>
        <w:t>E. muelleri</w:t>
      </w:r>
      <w:r w:rsidRPr="00AB155A">
        <w:t xml:space="preserve"> labelled with Developmental Studies Hybridoma Bank (DSHB) anti beta tubulin (green), Hoechst 33342 for nuclei (blue), and phalloidin 594 for actin (red). Microtubules radiate out from the central nucleus. The large yellow/orange spheres are autofluorescence of the inclusions in cystencytes, and small yellow spheres are vesicles in other cells that are out of the plane of focus.</w:t>
      </w:r>
    </w:p>
    <w:p w:rsidR="00F72F2D" w:rsidRPr="00AB155A" w:rsidRDefault="00F72F2D" w:rsidP="00F72F2D"/>
    <w:p w:rsidR="00F72F2D" w:rsidRPr="00AB155A" w:rsidRDefault="00F72F2D" w:rsidP="00F72F2D"/>
    <w:p w:rsidR="00F72F2D" w:rsidRPr="00AB155A" w:rsidRDefault="00F72F2D" w:rsidP="00F72F2D"/>
    <w:p w:rsidR="00F72F2D" w:rsidRPr="00AB155A" w:rsidRDefault="00F72F2D" w:rsidP="00F72F2D">
      <w:pPr>
        <w:rPr>
          <w:b/>
          <w:bCs/>
          <w:i/>
          <w:iCs/>
          <w:shd w:val="clear" w:color="auto" w:fill="FFFFFF"/>
        </w:rPr>
      </w:pPr>
    </w:p>
    <w:p w:rsidR="00F72F2D" w:rsidRPr="00AB155A" w:rsidRDefault="00F72F2D" w:rsidP="00F72F2D">
      <w:pPr>
        <w:rPr>
          <w:bCs/>
          <w:iCs/>
          <w:u w:val="single"/>
          <w:shd w:val="clear" w:color="auto" w:fill="FFFFFF"/>
        </w:rPr>
      </w:pPr>
    </w:p>
    <w:p w:rsidR="00F72F2D" w:rsidRPr="00AB155A" w:rsidRDefault="00F72F2D" w:rsidP="00F72F2D">
      <w:pPr>
        <w:rPr>
          <w:shd w:val="clear" w:color="auto" w:fill="FFFFFF"/>
        </w:rPr>
      </w:pPr>
      <w:r w:rsidRPr="00AB155A">
        <w:rPr>
          <w:bCs/>
          <w:iCs/>
          <w:u w:val="single"/>
          <w:shd w:val="clear" w:color="auto" w:fill="FFFFFF"/>
        </w:rPr>
        <w:t>Data S7:</w:t>
      </w:r>
      <w:r w:rsidRPr="00AB155A">
        <w:rPr>
          <w:b/>
          <w:bCs/>
          <w:iCs/>
          <w:shd w:val="clear" w:color="auto" w:fill="FFFFFF"/>
        </w:rPr>
        <w:t xml:space="preserve"> </w:t>
      </w:r>
      <w:r w:rsidRPr="00AB155A">
        <w:rPr>
          <w:b/>
          <w:bCs/>
          <w:i/>
          <w:iCs/>
          <w:shd w:val="clear" w:color="auto" w:fill="FFFFFF"/>
        </w:rPr>
        <w:t>Integrating Single-cell transcriptomics with cell morphology</w:t>
      </w:r>
    </w:p>
    <w:p w:rsidR="00F72F2D" w:rsidRPr="00AB155A" w:rsidRDefault="00F72F2D" w:rsidP="00F72F2D">
      <w:pPr>
        <w:rPr>
          <w:shd w:val="clear" w:color="auto" w:fill="FFFFFF"/>
        </w:rPr>
      </w:pPr>
    </w:p>
    <w:p w:rsidR="00F72F2D" w:rsidRPr="00AB155A" w:rsidRDefault="00F72F2D" w:rsidP="00F72F2D">
      <w:pPr>
        <w:rPr>
          <w:shd w:val="clear" w:color="auto" w:fill="FFFFFF"/>
        </w:rPr>
      </w:pPr>
      <w:r w:rsidRPr="00AB155A">
        <w:rPr>
          <w:shd w:val="clear" w:color="auto" w:fill="FFFFFF"/>
        </w:rPr>
        <w:t xml:space="preserve">As opposed to droplet-based sequencing methods (e.g., 10X), which rely on gene expression profiles and marker genes to identify cell types, scRNA-Seq of dissociated cells with Smart Seq libraries allows for detailed cellular morphologies (Additional File 1; Figure S8) to be seamlessly integrated with high-resolution gene expression profiles. </w:t>
      </w:r>
    </w:p>
    <w:p w:rsidR="00F72F2D" w:rsidRPr="00AB155A" w:rsidRDefault="00F72F2D" w:rsidP="00F72F2D">
      <w:pPr>
        <w:rPr>
          <w:shd w:val="clear" w:color="auto" w:fill="FFFFFF"/>
        </w:rPr>
      </w:pPr>
    </w:p>
    <w:p w:rsidR="00F72F2D" w:rsidRPr="00AB155A" w:rsidRDefault="00F72F2D" w:rsidP="00F72F2D">
      <w:pPr>
        <w:rPr>
          <w:b/>
          <w:bCs/>
          <w:i/>
          <w:iCs/>
          <w:shd w:val="clear" w:color="auto" w:fill="FFFFFF"/>
        </w:rPr>
      </w:pPr>
      <w:r w:rsidRPr="00AB155A">
        <w:rPr>
          <w:b/>
          <w:bCs/>
          <w:i/>
          <w:iCs/>
          <w:noProof/>
          <w:shd w:val="clear" w:color="auto" w:fill="FFFFFF"/>
        </w:rPr>
        <w:lastRenderedPageBreak/>
        <w:drawing>
          <wp:inline distT="0" distB="0" distL="0" distR="0" wp14:anchorId="4745E7C7" wp14:editId="5FD9A105">
            <wp:extent cx="5943600" cy="4069080"/>
            <wp:effectExtent l="0" t="0" r="0" b="0"/>
            <wp:docPr id="1675155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55325" name="Picture 1675155325"/>
                    <pic:cNvPicPr/>
                  </pic:nvPicPr>
                  <pic:blipFill>
                    <a:blip r:embed="rId10">
                      <a:extLst>
                        <a:ext uri="{28A0092B-C50C-407E-A947-70E740481C1C}">
                          <a14:useLocalDpi xmlns:a14="http://schemas.microsoft.com/office/drawing/2010/main" val="0"/>
                        </a:ext>
                      </a:extLst>
                    </a:blip>
                    <a:stretch>
                      <a:fillRect/>
                    </a:stretch>
                  </pic:blipFill>
                  <pic:spPr>
                    <a:xfrm>
                      <a:off x="0" y="0"/>
                      <a:ext cx="5943600" cy="4069080"/>
                    </a:xfrm>
                    <a:prstGeom prst="rect">
                      <a:avLst/>
                    </a:prstGeom>
                  </pic:spPr>
                </pic:pic>
              </a:graphicData>
            </a:graphic>
          </wp:inline>
        </w:drawing>
      </w:r>
    </w:p>
    <w:p w:rsidR="00F72F2D" w:rsidRPr="00AB155A" w:rsidRDefault="00F72F2D" w:rsidP="00F72F2D">
      <w:pPr>
        <w:rPr>
          <w:shd w:val="clear" w:color="auto" w:fill="FFFFFF"/>
        </w:rPr>
      </w:pPr>
      <w:r w:rsidRPr="00AB155A">
        <w:rPr>
          <w:bCs/>
          <w:u w:val="single"/>
          <w:shd w:val="clear" w:color="auto" w:fill="FFFFFF"/>
        </w:rPr>
        <w:t>Figure S8</w:t>
      </w:r>
      <w:r w:rsidRPr="00AB155A">
        <w:rPr>
          <w:b/>
          <w:bCs/>
          <w:u w:val="single"/>
          <w:shd w:val="clear" w:color="auto" w:fill="FFFFFF"/>
        </w:rPr>
        <w:t>:</w:t>
      </w:r>
      <w:r w:rsidRPr="00AB155A">
        <w:rPr>
          <w:b/>
          <w:bCs/>
          <w:shd w:val="clear" w:color="auto" w:fill="FFFFFF"/>
        </w:rPr>
        <w:t xml:space="preserve"> </w:t>
      </w:r>
    </w:p>
    <w:p w:rsidR="00F72F2D" w:rsidRPr="00AB155A" w:rsidRDefault="00F72F2D" w:rsidP="00F72F2D">
      <w:r w:rsidRPr="00AB155A">
        <w:rPr>
          <w:shd w:val="clear" w:color="auto" w:fill="FFFFFF"/>
        </w:rPr>
        <w:t xml:space="preserve">Dissociated </w:t>
      </w:r>
      <w:r w:rsidRPr="00AB155A">
        <w:rPr>
          <w:i/>
          <w:iCs/>
          <w:shd w:val="clear" w:color="auto" w:fill="FFFFFF"/>
        </w:rPr>
        <w:t>Ephydatia</w:t>
      </w:r>
      <w:r w:rsidRPr="00AB155A">
        <w:rPr>
          <w:shd w:val="clear" w:color="auto" w:fill="FFFFFF"/>
        </w:rPr>
        <w:t xml:space="preserve"> cells were isolated </w:t>
      </w:r>
      <w:r w:rsidRPr="00AB155A">
        <w:t xml:space="preserve">from primary cell culture of disassociated sponges Stage 5: cystencytes (C1-C5), archaeocytes (A1-A4), and choanocytes (Ch1-Ch5). Distinct morphological characteristics enable unambiguous cell type identification. The cells were dissociated using enzymatic cocktail (Trypsin 1mg/ml, Collagenase 1mg/ml) and divalent cation free M-media. Single cells were collected using disposable glass pipettes (out of focus), fixed in lysis buffer, and kept at -80C until library preparation and sequencing. Smart-seq V4 libraries were generated from these </w:t>
      </w:r>
      <w:r w:rsidRPr="00AB155A">
        <w:rPr>
          <w:shd w:val="clear" w:color="auto" w:fill="FFFFFF"/>
        </w:rPr>
        <w:t xml:space="preserve">cells, which then underwent single-cell RNA sequencing. </w:t>
      </w:r>
      <w:r w:rsidRPr="00AB155A">
        <w:t>See methods for details. Scale bars: 20µm.</w:t>
      </w:r>
    </w:p>
    <w:p w:rsidR="00F72F2D" w:rsidRPr="00AB155A" w:rsidRDefault="00F72F2D" w:rsidP="00F72F2D">
      <w:pPr>
        <w:rPr>
          <w:shd w:val="clear" w:color="auto" w:fill="FFFFFF"/>
        </w:rPr>
      </w:pPr>
    </w:p>
    <w:p w:rsidR="00F72F2D" w:rsidRPr="00AB155A" w:rsidRDefault="00F72F2D" w:rsidP="00F72F2D">
      <w:pPr>
        <w:rPr>
          <w:b/>
          <w:bCs/>
          <w:i/>
          <w:iCs/>
          <w:shd w:val="clear" w:color="auto" w:fill="FFFFFF"/>
        </w:rPr>
      </w:pPr>
    </w:p>
    <w:p w:rsidR="00F72F2D" w:rsidRPr="00AB155A" w:rsidRDefault="00F72F2D" w:rsidP="00F72F2D">
      <w:pPr>
        <w:rPr>
          <w:b/>
          <w:bCs/>
          <w:i/>
          <w:iCs/>
          <w:shd w:val="clear" w:color="auto" w:fill="FFFFFF"/>
        </w:rPr>
      </w:pPr>
      <w:r w:rsidRPr="00AB155A">
        <w:rPr>
          <w:b/>
          <w:bCs/>
          <w:i/>
          <w:iCs/>
          <w:shd w:val="clear" w:color="auto" w:fill="FFFFFF"/>
        </w:rPr>
        <w:t>Batch effects do not explain reduced number of genes expressed in choanocyte transcriptomes</w:t>
      </w:r>
    </w:p>
    <w:p w:rsidR="00F72F2D" w:rsidRPr="00AB155A" w:rsidRDefault="00F72F2D" w:rsidP="00F72F2D">
      <w:pPr>
        <w:rPr>
          <w:shd w:val="clear" w:color="auto" w:fill="FFFFFF"/>
        </w:rPr>
      </w:pPr>
      <w:r w:rsidRPr="00AB155A">
        <w:rPr>
          <w:shd w:val="clear" w:color="auto" w:fill="FFFFFF"/>
        </w:rPr>
        <w:t>Our evidence suggests that the reduced number of genes expressed in choanocytes was not due to batch effects. Choanocytes and archaeocytes were collected and sequenced in the same batch. Despite this, the number of genes present in archaeocytes and cystencytes are similar, whereas choanocytes are significantly different from archaeocytes (Figure 11E; Additional File 1; Table S3).</w:t>
      </w:r>
    </w:p>
    <w:p w:rsidR="00F72F2D" w:rsidRPr="00AB155A" w:rsidRDefault="00F72F2D" w:rsidP="00F72F2D">
      <w:pPr>
        <w:rPr>
          <w:shd w:val="clear" w:color="auto" w:fill="FFFFFF"/>
        </w:rPr>
      </w:pPr>
    </w:p>
    <w:p w:rsidR="00F72F2D" w:rsidRPr="00AB155A" w:rsidRDefault="00F72F2D" w:rsidP="00F72F2D">
      <w:pPr>
        <w:rPr>
          <w:shd w:val="clear" w:color="auto" w:fill="FFFFFF"/>
        </w:rPr>
      </w:pPr>
    </w:p>
    <w:p w:rsidR="00F72F2D" w:rsidRPr="00AB155A" w:rsidRDefault="00F72F2D" w:rsidP="00F72F2D">
      <w:pPr>
        <w:rPr>
          <w:u w:val="single"/>
          <w:shd w:val="clear" w:color="auto" w:fill="FFFFFF"/>
        </w:rPr>
      </w:pPr>
    </w:p>
    <w:p w:rsidR="00F72F2D" w:rsidRPr="00AB155A" w:rsidRDefault="00F72F2D" w:rsidP="00F72F2D">
      <w:pPr>
        <w:rPr>
          <w:u w:val="single"/>
          <w:shd w:val="clear" w:color="auto" w:fill="FFFFFF"/>
        </w:rPr>
      </w:pPr>
    </w:p>
    <w:p w:rsidR="00F72F2D" w:rsidRPr="00AB155A" w:rsidRDefault="00F72F2D" w:rsidP="00F72F2D">
      <w:pPr>
        <w:rPr>
          <w:u w:val="single"/>
          <w:shd w:val="clear" w:color="auto" w:fill="FFFFFF"/>
        </w:rPr>
      </w:pPr>
    </w:p>
    <w:p w:rsidR="00F72F2D" w:rsidRPr="00AB155A" w:rsidRDefault="00F72F2D" w:rsidP="00F72F2D">
      <w:pPr>
        <w:rPr>
          <w:u w:val="single"/>
          <w:shd w:val="clear" w:color="auto" w:fill="FFFFFF"/>
        </w:rPr>
      </w:pPr>
    </w:p>
    <w:p w:rsidR="00F72F2D" w:rsidRPr="00AB155A" w:rsidRDefault="00F72F2D" w:rsidP="00F72F2D">
      <w:pPr>
        <w:rPr>
          <w:u w:val="single"/>
          <w:shd w:val="clear" w:color="auto" w:fill="FFFFFF"/>
        </w:rPr>
      </w:pPr>
      <w:r w:rsidRPr="00AB155A">
        <w:rPr>
          <w:u w:val="single"/>
          <w:shd w:val="clear" w:color="auto" w:fill="FFFFFF"/>
        </w:rPr>
        <w:lastRenderedPageBreak/>
        <w:t>Table S3:</w:t>
      </w:r>
    </w:p>
    <w:p w:rsidR="00F72F2D" w:rsidRPr="00AB155A" w:rsidRDefault="00F72F2D" w:rsidP="00F72F2D">
      <w:pPr>
        <w:rPr>
          <w:shd w:val="clear" w:color="auto" w:fill="FFFFFF"/>
        </w:rPr>
      </w:pPr>
      <w:r w:rsidRPr="00AB155A">
        <w:rPr>
          <w:shd w:val="clear" w:color="auto" w:fill="FFFFFF"/>
        </w:rPr>
        <w:t>Count of genes with Transcript per million (TPM) values &gt; 0 in choanocyte (Ch), cystencyte (Cy), and archaeocytes (Ar) samples.</w:t>
      </w:r>
    </w:p>
    <w:p w:rsidR="00F72F2D" w:rsidRPr="00AB155A" w:rsidRDefault="00F72F2D" w:rsidP="00F72F2D">
      <w:pPr>
        <w:rPr>
          <w:b/>
          <w:bCs/>
          <w:shd w:val="clear" w:color="auto" w:fill="FFFFFF"/>
        </w:rPr>
      </w:pPr>
    </w:p>
    <w:tbl>
      <w:tblPr>
        <w:tblStyle w:val="TableGrid"/>
        <w:tblW w:w="9575" w:type="dxa"/>
        <w:tblLook w:val="04A0" w:firstRow="1" w:lastRow="0" w:firstColumn="1" w:lastColumn="0" w:noHBand="0" w:noVBand="1"/>
      </w:tblPr>
      <w:tblGrid>
        <w:gridCol w:w="988"/>
        <w:gridCol w:w="626"/>
        <w:gridCol w:w="599"/>
        <w:gridCol w:w="599"/>
        <w:gridCol w:w="599"/>
        <w:gridCol w:w="599"/>
        <w:gridCol w:w="626"/>
        <w:gridCol w:w="626"/>
        <w:gridCol w:w="593"/>
        <w:gridCol w:w="626"/>
        <w:gridCol w:w="626"/>
        <w:gridCol w:w="590"/>
        <w:gridCol w:w="626"/>
        <w:gridCol w:w="626"/>
        <w:gridCol w:w="626"/>
      </w:tblGrid>
      <w:tr w:rsidR="00F72F2D" w:rsidRPr="00AB155A" w:rsidTr="000215EE">
        <w:trPr>
          <w:trHeight w:val="249"/>
        </w:trPr>
        <w:tc>
          <w:tcPr>
            <w:tcW w:w="988" w:type="dxa"/>
          </w:tcPr>
          <w:p w:rsidR="00F72F2D" w:rsidRPr="00AB155A" w:rsidRDefault="00F72F2D" w:rsidP="000215EE">
            <w:pPr>
              <w:rPr>
                <w:b/>
                <w:bCs/>
                <w:sz w:val="20"/>
                <w:szCs w:val="20"/>
                <w:shd w:val="clear" w:color="auto" w:fill="FFFFFF"/>
              </w:rPr>
            </w:pPr>
            <w:r w:rsidRPr="00AB155A">
              <w:rPr>
                <w:b/>
                <w:bCs/>
                <w:sz w:val="20"/>
                <w:szCs w:val="20"/>
                <w:shd w:val="clear" w:color="auto" w:fill="FFFFFF"/>
              </w:rPr>
              <w:t>Cell ID</w:t>
            </w:r>
          </w:p>
        </w:tc>
        <w:tc>
          <w:tcPr>
            <w:tcW w:w="626" w:type="dxa"/>
            <w:shd w:val="clear" w:color="auto" w:fill="D0CECE" w:themeFill="background2" w:themeFillShade="E6"/>
          </w:tcPr>
          <w:p w:rsidR="00F72F2D" w:rsidRPr="00AB155A" w:rsidRDefault="00F72F2D" w:rsidP="000215EE">
            <w:pPr>
              <w:rPr>
                <w:b/>
                <w:bCs/>
                <w:sz w:val="19"/>
                <w:szCs w:val="19"/>
                <w:shd w:val="clear" w:color="auto" w:fill="FFFFFF"/>
              </w:rPr>
            </w:pPr>
            <w:r w:rsidRPr="00AB155A">
              <w:rPr>
                <w:b/>
                <w:bCs/>
                <w:sz w:val="19"/>
                <w:szCs w:val="19"/>
                <w:highlight w:val="lightGray"/>
                <w:shd w:val="clear" w:color="auto" w:fill="FFFFFF"/>
              </w:rPr>
              <w:t>Ch1</w:t>
            </w:r>
          </w:p>
        </w:tc>
        <w:tc>
          <w:tcPr>
            <w:tcW w:w="599" w:type="dxa"/>
            <w:shd w:val="clear" w:color="auto" w:fill="D0CECE" w:themeFill="background2" w:themeFillShade="E6"/>
          </w:tcPr>
          <w:p w:rsidR="00F72F2D" w:rsidRPr="00AB155A" w:rsidRDefault="00F72F2D" w:rsidP="000215EE">
            <w:pPr>
              <w:rPr>
                <w:b/>
                <w:bCs/>
                <w:sz w:val="19"/>
                <w:szCs w:val="19"/>
                <w:highlight w:val="lightGray"/>
                <w:shd w:val="clear" w:color="auto" w:fill="FFFFFF"/>
              </w:rPr>
            </w:pPr>
            <w:r w:rsidRPr="00AB155A">
              <w:rPr>
                <w:b/>
                <w:bCs/>
                <w:sz w:val="19"/>
                <w:szCs w:val="19"/>
                <w:highlight w:val="lightGray"/>
                <w:shd w:val="clear" w:color="auto" w:fill="FFFFFF"/>
              </w:rPr>
              <w:t>Ch2</w:t>
            </w:r>
          </w:p>
        </w:tc>
        <w:tc>
          <w:tcPr>
            <w:tcW w:w="599" w:type="dxa"/>
            <w:shd w:val="clear" w:color="auto" w:fill="D0CECE" w:themeFill="background2" w:themeFillShade="E6"/>
          </w:tcPr>
          <w:p w:rsidR="00F72F2D" w:rsidRPr="00AB155A" w:rsidRDefault="00F72F2D" w:rsidP="000215EE">
            <w:pPr>
              <w:rPr>
                <w:b/>
                <w:bCs/>
                <w:sz w:val="19"/>
                <w:szCs w:val="19"/>
                <w:highlight w:val="lightGray"/>
                <w:shd w:val="clear" w:color="auto" w:fill="FFFFFF"/>
              </w:rPr>
            </w:pPr>
            <w:r w:rsidRPr="00AB155A">
              <w:rPr>
                <w:b/>
                <w:bCs/>
                <w:sz w:val="19"/>
                <w:szCs w:val="19"/>
                <w:highlight w:val="lightGray"/>
                <w:shd w:val="clear" w:color="auto" w:fill="FFFFFF"/>
              </w:rPr>
              <w:t>Ch3</w:t>
            </w:r>
          </w:p>
        </w:tc>
        <w:tc>
          <w:tcPr>
            <w:tcW w:w="599" w:type="dxa"/>
            <w:shd w:val="clear" w:color="auto" w:fill="D0CECE" w:themeFill="background2" w:themeFillShade="E6"/>
          </w:tcPr>
          <w:p w:rsidR="00F72F2D" w:rsidRPr="00AB155A" w:rsidRDefault="00F72F2D" w:rsidP="000215EE">
            <w:pPr>
              <w:rPr>
                <w:b/>
                <w:bCs/>
                <w:sz w:val="19"/>
                <w:szCs w:val="19"/>
                <w:highlight w:val="lightGray"/>
                <w:shd w:val="clear" w:color="auto" w:fill="FFFFFF"/>
              </w:rPr>
            </w:pPr>
            <w:r w:rsidRPr="00AB155A">
              <w:rPr>
                <w:b/>
                <w:bCs/>
                <w:sz w:val="19"/>
                <w:szCs w:val="19"/>
                <w:highlight w:val="lightGray"/>
                <w:shd w:val="clear" w:color="auto" w:fill="FFFFFF"/>
              </w:rPr>
              <w:t>Ch4</w:t>
            </w:r>
          </w:p>
        </w:tc>
        <w:tc>
          <w:tcPr>
            <w:tcW w:w="599" w:type="dxa"/>
            <w:shd w:val="clear" w:color="auto" w:fill="D0CECE" w:themeFill="background2" w:themeFillShade="E6"/>
          </w:tcPr>
          <w:p w:rsidR="00F72F2D" w:rsidRPr="00AB155A" w:rsidRDefault="00F72F2D" w:rsidP="000215EE">
            <w:pPr>
              <w:rPr>
                <w:b/>
                <w:bCs/>
                <w:sz w:val="19"/>
                <w:szCs w:val="19"/>
                <w:highlight w:val="lightGray"/>
                <w:shd w:val="clear" w:color="auto" w:fill="FFFFFF"/>
              </w:rPr>
            </w:pPr>
            <w:r w:rsidRPr="00AB155A">
              <w:rPr>
                <w:b/>
                <w:bCs/>
                <w:sz w:val="19"/>
                <w:szCs w:val="19"/>
                <w:highlight w:val="lightGray"/>
                <w:shd w:val="clear" w:color="auto" w:fill="FFFFFF"/>
              </w:rPr>
              <w:t>Ch5</w:t>
            </w:r>
          </w:p>
        </w:tc>
        <w:tc>
          <w:tcPr>
            <w:tcW w:w="626" w:type="dxa"/>
          </w:tcPr>
          <w:p w:rsidR="00F72F2D" w:rsidRPr="00AB155A" w:rsidRDefault="00F72F2D" w:rsidP="000215EE">
            <w:pPr>
              <w:rPr>
                <w:b/>
                <w:bCs/>
                <w:sz w:val="19"/>
                <w:szCs w:val="19"/>
                <w:shd w:val="clear" w:color="auto" w:fill="FFFFFF"/>
              </w:rPr>
            </w:pPr>
            <w:r w:rsidRPr="00AB155A">
              <w:rPr>
                <w:b/>
                <w:bCs/>
                <w:sz w:val="19"/>
                <w:szCs w:val="19"/>
                <w:shd w:val="clear" w:color="auto" w:fill="FFFFFF"/>
              </w:rPr>
              <w:t>Cy1</w:t>
            </w:r>
          </w:p>
        </w:tc>
        <w:tc>
          <w:tcPr>
            <w:tcW w:w="626" w:type="dxa"/>
          </w:tcPr>
          <w:p w:rsidR="00F72F2D" w:rsidRPr="00AB155A" w:rsidRDefault="00F72F2D" w:rsidP="000215EE">
            <w:pPr>
              <w:rPr>
                <w:b/>
                <w:bCs/>
                <w:sz w:val="19"/>
                <w:szCs w:val="19"/>
                <w:shd w:val="clear" w:color="auto" w:fill="FFFFFF"/>
              </w:rPr>
            </w:pPr>
            <w:r w:rsidRPr="00AB155A">
              <w:rPr>
                <w:b/>
                <w:bCs/>
                <w:sz w:val="19"/>
                <w:szCs w:val="19"/>
                <w:shd w:val="clear" w:color="auto" w:fill="FFFFFF"/>
              </w:rPr>
              <w:t>Cy2</w:t>
            </w:r>
          </w:p>
        </w:tc>
        <w:tc>
          <w:tcPr>
            <w:tcW w:w="593" w:type="dxa"/>
          </w:tcPr>
          <w:p w:rsidR="00F72F2D" w:rsidRPr="00AB155A" w:rsidRDefault="00F72F2D" w:rsidP="000215EE">
            <w:pPr>
              <w:rPr>
                <w:b/>
                <w:bCs/>
                <w:sz w:val="19"/>
                <w:szCs w:val="19"/>
                <w:shd w:val="clear" w:color="auto" w:fill="FFFFFF"/>
              </w:rPr>
            </w:pPr>
            <w:r w:rsidRPr="00AB155A">
              <w:rPr>
                <w:b/>
                <w:bCs/>
                <w:sz w:val="19"/>
                <w:szCs w:val="19"/>
                <w:shd w:val="clear" w:color="auto" w:fill="FFFFFF"/>
              </w:rPr>
              <w:t>Cy3</w:t>
            </w:r>
          </w:p>
        </w:tc>
        <w:tc>
          <w:tcPr>
            <w:tcW w:w="626" w:type="dxa"/>
          </w:tcPr>
          <w:p w:rsidR="00F72F2D" w:rsidRPr="00AB155A" w:rsidRDefault="00F72F2D" w:rsidP="000215EE">
            <w:pPr>
              <w:rPr>
                <w:b/>
                <w:bCs/>
                <w:sz w:val="19"/>
                <w:szCs w:val="19"/>
                <w:shd w:val="clear" w:color="auto" w:fill="FFFFFF"/>
              </w:rPr>
            </w:pPr>
            <w:r w:rsidRPr="00AB155A">
              <w:rPr>
                <w:b/>
                <w:bCs/>
                <w:sz w:val="19"/>
                <w:szCs w:val="19"/>
                <w:shd w:val="clear" w:color="auto" w:fill="FFFFFF"/>
              </w:rPr>
              <w:t>Cy4</w:t>
            </w:r>
          </w:p>
        </w:tc>
        <w:tc>
          <w:tcPr>
            <w:tcW w:w="626" w:type="dxa"/>
          </w:tcPr>
          <w:p w:rsidR="00F72F2D" w:rsidRPr="00AB155A" w:rsidRDefault="00F72F2D" w:rsidP="000215EE">
            <w:pPr>
              <w:rPr>
                <w:b/>
                <w:bCs/>
                <w:sz w:val="19"/>
                <w:szCs w:val="19"/>
                <w:shd w:val="clear" w:color="auto" w:fill="FFFFFF"/>
              </w:rPr>
            </w:pPr>
            <w:r w:rsidRPr="00AB155A">
              <w:rPr>
                <w:b/>
                <w:bCs/>
                <w:sz w:val="19"/>
                <w:szCs w:val="19"/>
                <w:shd w:val="clear" w:color="auto" w:fill="FFFFFF"/>
              </w:rPr>
              <w:t>Cy5</w:t>
            </w:r>
          </w:p>
        </w:tc>
        <w:tc>
          <w:tcPr>
            <w:tcW w:w="590" w:type="dxa"/>
            <w:shd w:val="clear" w:color="auto" w:fill="D0CECE" w:themeFill="background2" w:themeFillShade="E6"/>
          </w:tcPr>
          <w:p w:rsidR="00F72F2D" w:rsidRPr="00AB155A" w:rsidRDefault="00F72F2D" w:rsidP="000215EE">
            <w:pPr>
              <w:rPr>
                <w:b/>
                <w:bCs/>
                <w:sz w:val="19"/>
                <w:szCs w:val="19"/>
                <w:highlight w:val="lightGray"/>
                <w:shd w:val="clear" w:color="auto" w:fill="FFFFFF"/>
              </w:rPr>
            </w:pPr>
            <w:r w:rsidRPr="00AB155A">
              <w:rPr>
                <w:b/>
                <w:bCs/>
                <w:sz w:val="19"/>
                <w:szCs w:val="19"/>
                <w:highlight w:val="lightGray"/>
                <w:shd w:val="clear" w:color="auto" w:fill="FFFFFF"/>
              </w:rPr>
              <w:t>Ar1</w:t>
            </w:r>
          </w:p>
        </w:tc>
        <w:tc>
          <w:tcPr>
            <w:tcW w:w="626" w:type="dxa"/>
            <w:shd w:val="clear" w:color="auto" w:fill="D0CECE" w:themeFill="background2" w:themeFillShade="E6"/>
          </w:tcPr>
          <w:p w:rsidR="00F72F2D" w:rsidRPr="00AB155A" w:rsidRDefault="00F72F2D" w:rsidP="000215EE">
            <w:pPr>
              <w:rPr>
                <w:b/>
                <w:bCs/>
                <w:sz w:val="19"/>
                <w:szCs w:val="19"/>
                <w:highlight w:val="lightGray"/>
                <w:shd w:val="clear" w:color="auto" w:fill="FFFFFF"/>
              </w:rPr>
            </w:pPr>
            <w:r w:rsidRPr="00AB155A">
              <w:rPr>
                <w:b/>
                <w:bCs/>
                <w:sz w:val="19"/>
                <w:szCs w:val="19"/>
                <w:highlight w:val="lightGray"/>
                <w:shd w:val="clear" w:color="auto" w:fill="FFFFFF"/>
              </w:rPr>
              <w:t>Ar2</w:t>
            </w:r>
          </w:p>
        </w:tc>
        <w:tc>
          <w:tcPr>
            <w:tcW w:w="626" w:type="dxa"/>
            <w:shd w:val="clear" w:color="auto" w:fill="D0CECE" w:themeFill="background2" w:themeFillShade="E6"/>
          </w:tcPr>
          <w:p w:rsidR="00F72F2D" w:rsidRPr="00AB155A" w:rsidRDefault="00F72F2D" w:rsidP="000215EE">
            <w:pPr>
              <w:rPr>
                <w:b/>
                <w:bCs/>
                <w:sz w:val="19"/>
                <w:szCs w:val="19"/>
                <w:highlight w:val="lightGray"/>
                <w:shd w:val="clear" w:color="auto" w:fill="FFFFFF"/>
              </w:rPr>
            </w:pPr>
            <w:r w:rsidRPr="00AB155A">
              <w:rPr>
                <w:b/>
                <w:bCs/>
                <w:sz w:val="19"/>
                <w:szCs w:val="19"/>
                <w:highlight w:val="lightGray"/>
                <w:shd w:val="clear" w:color="auto" w:fill="FFFFFF"/>
              </w:rPr>
              <w:t>Ar3</w:t>
            </w:r>
          </w:p>
        </w:tc>
        <w:tc>
          <w:tcPr>
            <w:tcW w:w="626" w:type="dxa"/>
            <w:shd w:val="clear" w:color="auto" w:fill="D0CECE" w:themeFill="background2" w:themeFillShade="E6"/>
          </w:tcPr>
          <w:p w:rsidR="00F72F2D" w:rsidRPr="00AB155A" w:rsidRDefault="00F72F2D" w:rsidP="000215EE">
            <w:pPr>
              <w:rPr>
                <w:b/>
                <w:bCs/>
                <w:sz w:val="19"/>
                <w:szCs w:val="19"/>
                <w:highlight w:val="lightGray"/>
                <w:shd w:val="clear" w:color="auto" w:fill="FFFFFF"/>
              </w:rPr>
            </w:pPr>
            <w:r w:rsidRPr="00AB155A">
              <w:rPr>
                <w:b/>
                <w:bCs/>
                <w:sz w:val="19"/>
                <w:szCs w:val="19"/>
                <w:highlight w:val="lightGray"/>
                <w:shd w:val="clear" w:color="auto" w:fill="FFFFFF"/>
              </w:rPr>
              <w:t>Ar5</w:t>
            </w:r>
          </w:p>
        </w:tc>
      </w:tr>
      <w:tr w:rsidR="00F72F2D" w:rsidRPr="00AB155A" w:rsidTr="000215EE">
        <w:trPr>
          <w:trHeight w:val="432"/>
        </w:trPr>
        <w:tc>
          <w:tcPr>
            <w:tcW w:w="988" w:type="dxa"/>
          </w:tcPr>
          <w:p w:rsidR="00F72F2D" w:rsidRPr="00AB155A" w:rsidRDefault="00F72F2D" w:rsidP="000215EE">
            <w:pPr>
              <w:jc w:val="center"/>
              <w:rPr>
                <w:b/>
                <w:bCs/>
                <w:sz w:val="20"/>
                <w:szCs w:val="20"/>
                <w:shd w:val="clear" w:color="auto" w:fill="FFFFFF"/>
              </w:rPr>
            </w:pPr>
            <w:r w:rsidRPr="00AB155A">
              <w:rPr>
                <w:b/>
                <w:bCs/>
                <w:sz w:val="20"/>
                <w:szCs w:val="20"/>
                <w:shd w:val="clear" w:color="auto" w:fill="FFFFFF"/>
              </w:rPr>
              <w:t>#Genes TPM &gt; 0</w:t>
            </w:r>
          </w:p>
        </w:tc>
        <w:tc>
          <w:tcPr>
            <w:tcW w:w="626" w:type="dxa"/>
            <w:shd w:val="clear" w:color="auto" w:fill="D0CECE" w:themeFill="background2" w:themeFillShade="E6"/>
          </w:tcPr>
          <w:p w:rsidR="00F72F2D" w:rsidRPr="00AB155A" w:rsidRDefault="00F72F2D" w:rsidP="000215EE">
            <w:pPr>
              <w:jc w:val="center"/>
              <w:rPr>
                <w:sz w:val="17"/>
                <w:szCs w:val="17"/>
                <w:shd w:val="clear" w:color="auto" w:fill="FFFFFF"/>
              </w:rPr>
            </w:pPr>
            <w:r w:rsidRPr="00AB155A">
              <w:rPr>
                <w:rFonts w:ascii="Aptos Narrow" w:hAnsi="Aptos Narrow"/>
                <w:sz w:val="17"/>
                <w:szCs w:val="17"/>
              </w:rPr>
              <w:t>1455</w:t>
            </w:r>
          </w:p>
        </w:tc>
        <w:tc>
          <w:tcPr>
            <w:tcW w:w="599" w:type="dxa"/>
            <w:shd w:val="clear" w:color="auto" w:fill="D0CECE" w:themeFill="background2" w:themeFillShade="E6"/>
          </w:tcPr>
          <w:p w:rsidR="00F72F2D" w:rsidRPr="00AB155A" w:rsidRDefault="00F72F2D" w:rsidP="000215EE">
            <w:pPr>
              <w:jc w:val="center"/>
              <w:rPr>
                <w:sz w:val="17"/>
                <w:szCs w:val="17"/>
                <w:shd w:val="clear" w:color="auto" w:fill="FFFFFF"/>
              </w:rPr>
            </w:pPr>
            <w:r w:rsidRPr="00AB155A">
              <w:rPr>
                <w:rFonts w:ascii="Aptos Narrow" w:hAnsi="Aptos Narrow"/>
                <w:sz w:val="17"/>
                <w:szCs w:val="17"/>
              </w:rPr>
              <w:t>566</w:t>
            </w:r>
          </w:p>
        </w:tc>
        <w:tc>
          <w:tcPr>
            <w:tcW w:w="599" w:type="dxa"/>
            <w:shd w:val="clear" w:color="auto" w:fill="D0CECE" w:themeFill="background2" w:themeFillShade="E6"/>
          </w:tcPr>
          <w:p w:rsidR="00F72F2D" w:rsidRPr="00AB155A" w:rsidRDefault="00F72F2D" w:rsidP="000215EE">
            <w:pPr>
              <w:jc w:val="center"/>
              <w:rPr>
                <w:sz w:val="17"/>
                <w:szCs w:val="17"/>
                <w:shd w:val="clear" w:color="auto" w:fill="FFFFFF"/>
              </w:rPr>
            </w:pPr>
            <w:r w:rsidRPr="00AB155A">
              <w:rPr>
                <w:rFonts w:ascii="Aptos Narrow" w:hAnsi="Aptos Narrow"/>
                <w:sz w:val="17"/>
                <w:szCs w:val="17"/>
              </w:rPr>
              <w:t>307</w:t>
            </w:r>
          </w:p>
        </w:tc>
        <w:tc>
          <w:tcPr>
            <w:tcW w:w="599" w:type="dxa"/>
            <w:shd w:val="clear" w:color="auto" w:fill="D0CECE" w:themeFill="background2" w:themeFillShade="E6"/>
          </w:tcPr>
          <w:p w:rsidR="00F72F2D" w:rsidRPr="00AB155A" w:rsidRDefault="00F72F2D" w:rsidP="000215EE">
            <w:pPr>
              <w:jc w:val="center"/>
              <w:rPr>
                <w:sz w:val="17"/>
                <w:szCs w:val="17"/>
                <w:shd w:val="clear" w:color="auto" w:fill="FFFFFF"/>
              </w:rPr>
            </w:pPr>
            <w:r w:rsidRPr="00AB155A">
              <w:rPr>
                <w:sz w:val="17"/>
                <w:szCs w:val="17"/>
                <w:highlight w:val="lightGray"/>
                <w:shd w:val="clear" w:color="auto" w:fill="FFFFFF"/>
              </w:rPr>
              <w:t>623</w:t>
            </w:r>
          </w:p>
        </w:tc>
        <w:tc>
          <w:tcPr>
            <w:tcW w:w="599" w:type="dxa"/>
            <w:shd w:val="clear" w:color="auto" w:fill="D0CECE" w:themeFill="background2" w:themeFillShade="E6"/>
          </w:tcPr>
          <w:p w:rsidR="00F72F2D" w:rsidRPr="00AB155A" w:rsidRDefault="00F72F2D" w:rsidP="000215EE">
            <w:pPr>
              <w:jc w:val="center"/>
              <w:rPr>
                <w:sz w:val="17"/>
                <w:szCs w:val="17"/>
                <w:shd w:val="clear" w:color="auto" w:fill="FFFFFF"/>
              </w:rPr>
            </w:pPr>
            <w:r w:rsidRPr="00AB155A">
              <w:rPr>
                <w:rFonts w:ascii="Aptos Narrow" w:hAnsi="Aptos Narrow"/>
                <w:sz w:val="17"/>
                <w:szCs w:val="17"/>
              </w:rPr>
              <w:t>92</w:t>
            </w:r>
          </w:p>
        </w:tc>
        <w:tc>
          <w:tcPr>
            <w:tcW w:w="626" w:type="dxa"/>
          </w:tcPr>
          <w:p w:rsidR="00F72F2D" w:rsidRPr="00AB155A" w:rsidRDefault="00F72F2D" w:rsidP="000215EE">
            <w:pPr>
              <w:jc w:val="center"/>
              <w:rPr>
                <w:sz w:val="17"/>
                <w:szCs w:val="17"/>
                <w:shd w:val="clear" w:color="auto" w:fill="FFFFFF"/>
              </w:rPr>
            </w:pPr>
            <w:r w:rsidRPr="00AB155A">
              <w:rPr>
                <w:rFonts w:ascii="Aptos Narrow" w:hAnsi="Aptos Narrow"/>
                <w:sz w:val="17"/>
                <w:szCs w:val="17"/>
              </w:rPr>
              <w:t>1528</w:t>
            </w:r>
          </w:p>
        </w:tc>
        <w:tc>
          <w:tcPr>
            <w:tcW w:w="626" w:type="dxa"/>
          </w:tcPr>
          <w:p w:rsidR="00F72F2D" w:rsidRPr="00AB155A" w:rsidRDefault="00F72F2D" w:rsidP="000215EE">
            <w:pPr>
              <w:jc w:val="center"/>
              <w:rPr>
                <w:sz w:val="17"/>
                <w:szCs w:val="17"/>
                <w:shd w:val="clear" w:color="auto" w:fill="FFFFFF"/>
              </w:rPr>
            </w:pPr>
            <w:r w:rsidRPr="00AB155A">
              <w:rPr>
                <w:rFonts w:ascii="Aptos Narrow" w:hAnsi="Aptos Narrow"/>
                <w:sz w:val="17"/>
                <w:szCs w:val="17"/>
              </w:rPr>
              <w:t>1793</w:t>
            </w:r>
          </w:p>
        </w:tc>
        <w:tc>
          <w:tcPr>
            <w:tcW w:w="593" w:type="dxa"/>
          </w:tcPr>
          <w:p w:rsidR="00F72F2D" w:rsidRPr="00AB155A" w:rsidRDefault="00F72F2D" w:rsidP="000215EE">
            <w:pPr>
              <w:jc w:val="center"/>
              <w:rPr>
                <w:sz w:val="17"/>
                <w:szCs w:val="17"/>
                <w:shd w:val="clear" w:color="auto" w:fill="FFFFFF"/>
              </w:rPr>
            </w:pPr>
            <w:r w:rsidRPr="00AB155A">
              <w:rPr>
                <w:sz w:val="17"/>
                <w:szCs w:val="17"/>
                <w:shd w:val="clear" w:color="auto" w:fill="FFFFFF"/>
              </w:rPr>
              <w:t>2465</w:t>
            </w:r>
          </w:p>
        </w:tc>
        <w:tc>
          <w:tcPr>
            <w:tcW w:w="626" w:type="dxa"/>
          </w:tcPr>
          <w:p w:rsidR="00F72F2D" w:rsidRPr="00AB155A" w:rsidRDefault="00F72F2D" w:rsidP="000215EE">
            <w:pPr>
              <w:jc w:val="center"/>
              <w:rPr>
                <w:sz w:val="17"/>
                <w:szCs w:val="17"/>
                <w:shd w:val="clear" w:color="auto" w:fill="FFFFFF"/>
              </w:rPr>
            </w:pPr>
            <w:r w:rsidRPr="00AB155A">
              <w:rPr>
                <w:rFonts w:ascii="Aptos Narrow" w:hAnsi="Aptos Narrow"/>
                <w:sz w:val="17"/>
                <w:szCs w:val="17"/>
              </w:rPr>
              <w:t>1845</w:t>
            </w:r>
          </w:p>
        </w:tc>
        <w:tc>
          <w:tcPr>
            <w:tcW w:w="626" w:type="dxa"/>
          </w:tcPr>
          <w:p w:rsidR="00F72F2D" w:rsidRPr="00AB155A" w:rsidRDefault="00F72F2D" w:rsidP="000215EE">
            <w:pPr>
              <w:jc w:val="center"/>
              <w:rPr>
                <w:sz w:val="17"/>
                <w:szCs w:val="17"/>
                <w:shd w:val="clear" w:color="auto" w:fill="FFFFFF"/>
              </w:rPr>
            </w:pPr>
            <w:r w:rsidRPr="00AB155A">
              <w:rPr>
                <w:rFonts w:ascii="Aptos Narrow" w:hAnsi="Aptos Narrow"/>
                <w:sz w:val="17"/>
                <w:szCs w:val="17"/>
              </w:rPr>
              <w:t>2552</w:t>
            </w:r>
          </w:p>
        </w:tc>
        <w:tc>
          <w:tcPr>
            <w:tcW w:w="590" w:type="dxa"/>
            <w:shd w:val="clear" w:color="auto" w:fill="D0CECE" w:themeFill="background2" w:themeFillShade="E6"/>
          </w:tcPr>
          <w:p w:rsidR="00F72F2D" w:rsidRPr="00AB155A" w:rsidRDefault="00F72F2D" w:rsidP="000215EE">
            <w:pPr>
              <w:jc w:val="center"/>
              <w:rPr>
                <w:sz w:val="17"/>
                <w:szCs w:val="17"/>
                <w:shd w:val="clear" w:color="auto" w:fill="FFFFFF"/>
              </w:rPr>
            </w:pPr>
            <w:r w:rsidRPr="00AB155A">
              <w:rPr>
                <w:rFonts w:ascii="Aptos Narrow" w:hAnsi="Aptos Narrow"/>
                <w:sz w:val="17"/>
                <w:szCs w:val="17"/>
              </w:rPr>
              <w:t>923</w:t>
            </w:r>
          </w:p>
        </w:tc>
        <w:tc>
          <w:tcPr>
            <w:tcW w:w="626" w:type="dxa"/>
            <w:shd w:val="clear" w:color="auto" w:fill="D0CECE" w:themeFill="background2" w:themeFillShade="E6"/>
          </w:tcPr>
          <w:p w:rsidR="00F72F2D" w:rsidRPr="00AB155A" w:rsidRDefault="00F72F2D" w:rsidP="000215EE">
            <w:pPr>
              <w:jc w:val="center"/>
              <w:rPr>
                <w:sz w:val="17"/>
                <w:szCs w:val="17"/>
                <w:shd w:val="clear" w:color="auto" w:fill="FFFFFF"/>
              </w:rPr>
            </w:pPr>
            <w:r w:rsidRPr="00AB155A">
              <w:rPr>
                <w:rFonts w:ascii="Aptos Narrow" w:hAnsi="Aptos Narrow"/>
                <w:sz w:val="17"/>
                <w:szCs w:val="17"/>
              </w:rPr>
              <w:t>1947</w:t>
            </w:r>
          </w:p>
        </w:tc>
        <w:tc>
          <w:tcPr>
            <w:tcW w:w="626" w:type="dxa"/>
            <w:shd w:val="clear" w:color="auto" w:fill="D0CECE" w:themeFill="background2" w:themeFillShade="E6"/>
          </w:tcPr>
          <w:p w:rsidR="00F72F2D" w:rsidRPr="00AB155A" w:rsidRDefault="00F72F2D" w:rsidP="000215EE">
            <w:pPr>
              <w:jc w:val="center"/>
              <w:rPr>
                <w:sz w:val="17"/>
                <w:szCs w:val="17"/>
                <w:shd w:val="clear" w:color="auto" w:fill="FFFFFF"/>
              </w:rPr>
            </w:pPr>
            <w:r w:rsidRPr="00AB155A">
              <w:rPr>
                <w:rFonts w:ascii="Aptos Narrow" w:hAnsi="Aptos Narrow"/>
                <w:sz w:val="17"/>
                <w:szCs w:val="17"/>
              </w:rPr>
              <w:t>3263</w:t>
            </w:r>
          </w:p>
        </w:tc>
        <w:tc>
          <w:tcPr>
            <w:tcW w:w="626" w:type="dxa"/>
            <w:shd w:val="clear" w:color="auto" w:fill="D0CECE" w:themeFill="background2" w:themeFillShade="E6"/>
          </w:tcPr>
          <w:p w:rsidR="00F72F2D" w:rsidRPr="00AB155A" w:rsidRDefault="00F72F2D" w:rsidP="000215EE">
            <w:pPr>
              <w:jc w:val="center"/>
              <w:rPr>
                <w:sz w:val="17"/>
                <w:szCs w:val="17"/>
                <w:shd w:val="clear" w:color="auto" w:fill="FFFFFF"/>
              </w:rPr>
            </w:pPr>
            <w:r w:rsidRPr="00AB155A">
              <w:rPr>
                <w:rFonts w:ascii="Aptos Narrow" w:hAnsi="Aptos Narrow"/>
                <w:sz w:val="17"/>
                <w:szCs w:val="17"/>
              </w:rPr>
              <w:t>1844</w:t>
            </w:r>
          </w:p>
        </w:tc>
      </w:tr>
    </w:tbl>
    <w:p w:rsidR="00F72F2D" w:rsidRPr="00AB155A" w:rsidRDefault="00F72F2D" w:rsidP="00F72F2D">
      <w:pPr>
        <w:rPr>
          <w:shd w:val="clear" w:color="auto" w:fill="FFFFFF"/>
        </w:rPr>
      </w:pPr>
    </w:p>
    <w:p w:rsidR="00F72F2D" w:rsidRPr="00AB155A" w:rsidRDefault="00F72F2D" w:rsidP="00F72F2D">
      <w:pPr>
        <w:rPr>
          <w:shd w:val="clear" w:color="auto" w:fill="FFFFFF"/>
        </w:rPr>
      </w:pPr>
    </w:p>
    <w:p w:rsidR="00F72F2D" w:rsidRPr="00AB155A" w:rsidRDefault="00F72F2D" w:rsidP="00F72F2D">
      <w:pPr>
        <w:rPr>
          <w:b/>
          <w:bCs/>
          <w:i/>
          <w:iCs/>
          <w:shd w:val="clear" w:color="auto" w:fill="FFFFFF"/>
        </w:rPr>
      </w:pPr>
      <w:r w:rsidRPr="00AB155A">
        <w:rPr>
          <w:b/>
          <w:bCs/>
          <w:i/>
          <w:iCs/>
          <w:shd w:val="clear" w:color="auto" w:fill="FFFFFF"/>
        </w:rPr>
        <w:t>Sequence depth does not explain reduced number of genes expressed in choanocyte transcriptomes</w:t>
      </w:r>
    </w:p>
    <w:p w:rsidR="00F72F2D" w:rsidRPr="00AB155A" w:rsidRDefault="00F72F2D" w:rsidP="00F72F2D">
      <w:pPr>
        <w:rPr>
          <w:shd w:val="clear" w:color="auto" w:fill="FFFFFF"/>
        </w:rPr>
      </w:pPr>
    </w:p>
    <w:p w:rsidR="00F72F2D" w:rsidRPr="00AB155A" w:rsidRDefault="00F72F2D" w:rsidP="00F72F2D">
      <w:pPr>
        <w:rPr>
          <w:shd w:val="clear" w:color="auto" w:fill="FFFFFF"/>
        </w:rPr>
      </w:pPr>
      <w:r w:rsidRPr="00AB155A">
        <w:rPr>
          <w:shd w:val="clear" w:color="auto" w:fill="FFFFFF"/>
        </w:rPr>
        <w:t xml:space="preserve">Our evidence suggests that the reduced number of genes expressed in choanocytes was not due to sequencing coverage (total read pairs; Additional File 1; Figure S10_A) or alignable reads (Additional File 1; Figure S10_B). The number of total read pairs generated per cell is very similar between the three cell types (Additional File 1; Figure S10A). Even though the number of alignable reads (i.e. reads that align to </w:t>
      </w:r>
      <w:r w:rsidRPr="00AB155A">
        <w:rPr>
          <w:i/>
          <w:iCs/>
          <w:shd w:val="clear" w:color="auto" w:fill="FFFFFF"/>
        </w:rPr>
        <w:t>Ephydatia</w:t>
      </w:r>
      <w:r w:rsidRPr="00AB155A">
        <w:rPr>
          <w:shd w:val="clear" w:color="auto" w:fill="FFFFFF"/>
        </w:rPr>
        <w:t xml:space="preserve"> gene models) in archaeocytes is substantially larger, the fact that the numbers are very similar in the choanocyte and cystencyte samples (Additional File 1; Figure S10_B) suggests that the alignability of the choanocyte reads is not driving the pattern of low numbers of genes expressed in choanocytes.</w:t>
      </w:r>
    </w:p>
    <w:p w:rsidR="00F72F2D" w:rsidRPr="00AB155A" w:rsidRDefault="00F72F2D" w:rsidP="00F72F2D">
      <w:pPr>
        <w:rPr>
          <w:shd w:val="clear" w:color="auto" w:fill="FFFFFF"/>
        </w:rPr>
      </w:pPr>
    </w:p>
    <w:p w:rsidR="00F72F2D" w:rsidRPr="00AB155A" w:rsidRDefault="00F72F2D" w:rsidP="00F72F2D">
      <w:pPr>
        <w:rPr>
          <w:shd w:val="clear" w:color="auto" w:fill="FFFFFF"/>
        </w:rPr>
      </w:pPr>
    </w:p>
    <w:p w:rsidR="00F72F2D" w:rsidRPr="00AB155A" w:rsidRDefault="00F72F2D" w:rsidP="00F72F2D">
      <w:pPr>
        <w:rPr>
          <w:b/>
          <w:bCs/>
          <w:szCs w:val="20"/>
          <w:shd w:val="clear" w:color="auto" w:fill="FFFFFF"/>
        </w:rPr>
      </w:pPr>
      <w:r w:rsidRPr="00AB155A">
        <w:rPr>
          <w:noProof/>
        </w:rPr>
        <w:drawing>
          <wp:inline distT="0" distB="0" distL="0" distR="0" wp14:anchorId="3B0333F4" wp14:editId="04ECEA24">
            <wp:extent cx="5943600" cy="21329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132965"/>
                    </a:xfrm>
                    <a:prstGeom prst="rect">
                      <a:avLst/>
                    </a:prstGeom>
                  </pic:spPr>
                </pic:pic>
              </a:graphicData>
            </a:graphic>
          </wp:inline>
        </w:drawing>
      </w:r>
      <w:r w:rsidRPr="00AB155A">
        <w:rPr>
          <w:bCs/>
          <w:szCs w:val="20"/>
          <w:u w:val="single"/>
          <w:shd w:val="clear" w:color="auto" w:fill="FFFFFF"/>
        </w:rPr>
        <w:t>Figure S9:</w:t>
      </w:r>
      <w:r w:rsidRPr="00AB155A">
        <w:rPr>
          <w:b/>
          <w:bCs/>
          <w:szCs w:val="20"/>
          <w:shd w:val="clear" w:color="auto" w:fill="FFFFFF"/>
        </w:rPr>
        <w:t xml:space="preserve"> </w:t>
      </w:r>
    </w:p>
    <w:p w:rsidR="00F72F2D" w:rsidRPr="00AB155A" w:rsidRDefault="00F72F2D" w:rsidP="00F72F2D">
      <w:pPr>
        <w:rPr>
          <w:shd w:val="clear" w:color="auto" w:fill="FFFFFF"/>
        </w:rPr>
      </w:pPr>
      <w:r w:rsidRPr="00AB155A">
        <w:rPr>
          <w:b/>
          <w:bCs/>
          <w:szCs w:val="20"/>
          <w:shd w:val="clear" w:color="auto" w:fill="FFFFFF"/>
        </w:rPr>
        <w:t>MA plots showing unbalanced differences in expression levels between chaonocytes and other cell types.</w:t>
      </w:r>
      <w:r w:rsidRPr="00AB155A">
        <w:rPr>
          <w:szCs w:val="20"/>
          <w:shd w:val="clear" w:color="auto" w:fill="FFFFFF"/>
        </w:rPr>
        <w:t xml:space="preserve"> Dots represent genes. Positive log fold change (logFC) corresponds with the first listed cell type in the panel title. Red indicates genes that exhibit logFC differences above the threshold. (A) MA Plot showing differences in expression between archaeocytes and cystencytes are relatively balanced (compared to B and C). (B) MA Plot showing differences in expression between choanocytes and cystencytes are highly skewed towards cystencytes. (C) MA Plot showing differences in expression between choanocytes and archaeocytes are highly skewed towards archaeocytes. In choanocytes, the single significant differentially expressed gene, cathepsin, is labeled.</w:t>
      </w:r>
    </w:p>
    <w:p w:rsidR="00F72F2D" w:rsidRPr="00AB155A" w:rsidRDefault="00F72F2D" w:rsidP="00F72F2D">
      <w:pPr>
        <w:rPr>
          <w:shd w:val="clear" w:color="auto" w:fill="FFFFFF"/>
        </w:rPr>
      </w:pPr>
    </w:p>
    <w:p w:rsidR="00F72F2D" w:rsidRPr="00AB155A" w:rsidRDefault="00F72F2D" w:rsidP="00F72F2D">
      <w:pPr>
        <w:rPr>
          <w:shd w:val="clear" w:color="auto" w:fill="FFFFFF"/>
        </w:rPr>
      </w:pPr>
      <w:r w:rsidRPr="00AB155A">
        <w:rPr>
          <w:noProof/>
          <w:shd w:val="clear" w:color="auto" w:fill="FFFFFF"/>
        </w:rPr>
        <w:lastRenderedPageBreak/>
        <w:drawing>
          <wp:inline distT="0" distB="0" distL="0" distR="0" wp14:anchorId="0FDF1A08" wp14:editId="7CF66C29">
            <wp:extent cx="4662488" cy="3161625"/>
            <wp:effectExtent l="0" t="0" r="5080" b="1270"/>
            <wp:docPr id="16125466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546615" name="Picture 1612546615"/>
                    <pic:cNvPicPr/>
                  </pic:nvPicPr>
                  <pic:blipFill>
                    <a:blip r:embed="rId12">
                      <a:extLst>
                        <a:ext uri="{28A0092B-C50C-407E-A947-70E740481C1C}">
                          <a14:useLocalDpi xmlns:a14="http://schemas.microsoft.com/office/drawing/2010/main" val="0"/>
                        </a:ext>
                      </a:extLst>
                    </a:blip>
                    <a:stretch>
                      <a:fillRect/>
                    </a:stretch>
                  </pic:blipFill>
                  <pic:spPr>
                    <a:xfrm>
                      <a:off x="0" y="0"/>
                      <a:ext cx="4668283" cy="3165555"/>
                    </a:xfrm>
                    <a:prstGeom prst="rect">
                      <a:avLst/>
                    </a:prstGeom>
                  </pic:spPr>
                </pic:pic>
              </a:graphicData>
            </a:graphic>
          </wp:inline>
        </w:drawing>
      </w:r>
    </w:p>
    <w:p w:rsidR="00F72F2D" w:rsidRPr="00AB155A" w:rsidRDefault="00F72F2D" w:rsidP="00F72F2D">
      <w:pPr>
        <w:rPr>
          <w:b/>
          <w:bCs/>
          <w:szCs w:val="20"/>
          <w:shd w:val="clear" w:color="auto" w:fill="FFFFFF"/>
        </w:rPr>
      </w:pPr>
      <w:r w:rsidRPr="00AB155A">
        <w:rPr>
          <w:bCs/>
          <w:szCs w:val="20"/>
          <w:u w:val="single"/>
          <w:shd w:val="clear" w:color="auto" w:fill="FFFFFF"/>
        </w:rPr>
        <w:t>Figure S10:</w:t>
      </w:r>
      <w:r w:rsidRPr="00AB155A">
        <w:rPr>
          <w:b/>
          <w:bCs/>
          <w:szCs w:val="20"/>
          <w:shd w:val="clear" w:color="auto" w:fill="FFFFFF"/>
        </w:rPr>
        <w:t xml:space="preserve"> </w:t>
      </w:r>
    </w:p>
    <w:p w:rsidR="00F72F2D" w:rsidRPr="00AB155A" w:rsidRDefault="00F72F2D" w:rsidP="00F72F2D">
      <w:pPr>
        <w:rPr>
          <w:szCs w:val="20"/>
          <w:shd w:val="clear" w:color="auto" w:fill="FFFFFF"/>
        </w:rPr>
      </w:pPr>
      <w:r w:rsidRPr="00AB155A">
        <w:rPr>
          <w:b/>
          <w:bCs/>
          <w:szCs w:val="20"/>
          <w:shd w:val="clear" w:color="auto" w:fill="FFFFFF"/>
        </w:rPr>
        <w:t>Box and whisker plots showing choanocytes are not outliers in terms of total read pairs and alignable reads.</w:t>
      </w:r>
      <w:r w:rsidRPr="00AB155A">
        <w:rPr>
          <w:szCs w:val="20"/>
          <w:shd w:val="clear" w:color="auto" w:fill="FFFFFF"/>
        </w:rPr>
        <w:t xml:space="preserve"> (A) The number of read pairs generated for each sample is similar across all of the archaeocyte, choanocyte, and cystencytes cell types. (B) The number of reads that align to the </w:t>
      </w:r>
      <w:r w:rsidRPr="00AB155A">
        <w:rPr>
          <w:i/>
          <w:iCs/>
          <w:szCs w:val="20"/>
          <w:shd w:val="clear" w:color="auto" w:fill="FFFFFF"/>
        </w:rPr>
        <w:t>Ephydatia</w:t>
      </w:r>
      <w:r w:rsidRPr="00AB155A">
        <w:rPr>
          <w:szCs w:val="20"/>
          <w:shd w:val="clear" w:color="auto" w:fill="FFFFFF"/>
        </w:rPr>
        <w:t xml:space="preserve"> gene models is similar in the cystencyte and choanocyte samples.</w:t>
      </w:r>
    </w:p>
    <w:p w:rsidR="00F72F2D" w:rsidRPr="00AB155A" w:rsidRDefault="00F72F2D" w:rsidP="00F72F2D">
      <w:pPr>
        <w:rPr>
          <w:shd w:val="clear" w:color="auto" w:fill="FFFFFF"/>
        </w:rPr>
      </w:pPr>
    </w:p>
    <w:p w:rsidR="00F72F2D" w:rsidRPr="00AB155A" w:rsidRDefault="00F72F2D" w:rsidP="00F72F2D">
      <w:pPr>
        <w:rPr>
          <w:shd w:val="clear" w:color="auto" w:fill="FFFFFF"/>
        </w:rPr>
      </w:pPr>
    </w:p>
    <w:p w:rsidR="00F72F2D" w:rsidRPr="00AB155A" w:rsidRDefault="00F72F2D" w:rsidP="00F72F2D">
      <w:pPr>
        <w:rPr>
          <w:shd w:val="clear" w:color="auto" w:fill="FFFFFF"/>
        </w:rPr>
      </w:pPr>
      <w:r w:rsidRPr="00AB155A">
        <w:rPr>
          <w:noProof/>
        </w:rPr>
        <w:drawing>
          <wp:inline distT="0" distB="0" distL="0" distR="0" wp14:anchorId="14A05722" wp14:editId="663B7F1A">
            <wp:extent cx="5666420" cy="2680653"/>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71386" cy="2683002"/>
                    </a:xfrm>
                    <a:prstGeom prst="rect">
                      <a:avLst/>
                    </a:prstGeom>
                  </pic:spPr>
                </pic:pic>
              </a:graphicData>
            </a:graphic>
          </wp:inline>
        </w:drawing>
      </w:r>
    </w:p>
    <w:p w:rsidR="00F72F2D" w:rsidRPr="00AB155A" w:rsidRDefault="00F72F2D" w:rsidP="00F72F2D">
      <w:pPr>
        <w:rPr>
          <w:shd w:val="clear" w:color="auto" w:fill="FFFFFF"/>
        </w:rPr>
      </w:pPr>
      <w:r w:rsidRPr="00AB155A">
        <w:rPr>
          <w:u w:val="single"/>
          <w:shd w:val="clear" w:color="auto" w:fill="FFFFFF"/>
        </w:rPr>
        <w:t>Figure S11:</w:t>
      </w:r>
      <w:r w:rsidRPr="00AB155A">
        <w:rPr>
          <w:shd w:val="clear" w:color="auto" w:fill="FFFFFF"/>
        </w:rPr>
        <w:t xml:space="preserve"> </w:t>
      </w:r>
    </w:p>
    <w:p w:rsidR="00F72F2D" w:rsidRPr="00AB155A" w:rsidRDefault="00F72F2D" w:rsidP="00F72F2D">
      <w:pPr>
        <w:rPr>
          <w:shd w:val="clear" w:color="auto" w:fill="FFFFFF"/>
        </w:rPr>
      </w:pPr>
      <w:r w:rsidRPr="00AB155A">
        <w:t xml:space="preserve">Expression of the germline genes </w:t>
      </w:r>
      <w:r w:rsidRPr="00AB155A">
        <w:rPr>
          <w:i/>
        </w:rPr>
        <w:t xml:space="preserve">Nanos </w:t>
      </w:r>
      <w:r w:rsidRPr="00AB155A">
        <w:t xml:space="preserve">in juveniles and adult tissue of </w:t>
      </w:r>
      <w:r w:rsidRPr="00AB155A">
        <w:rPr>
          <w:i/>
        </w:rPr>
        <w:t>E. muelleri</w:t>
      </w:r>
      <w:r w:rsidRPr="00AB155A">
        <w:t>.</w:t>
      </w:r>
    </w:p>
    <w:p w:rsidR="001A6F68" w:rsidRPr="00F72F2D" w:rsidRDefault="00F72F2D">
      <w:pPr>
        <w:rPr>
          <w:u w:val="single"/>
        </w:rPr>
      </w:pPr>
      <w:r w:rsidRPr="00AB155A">
        <w:t xml:space="preserve">(A,B) A subset of archaeocytes show a </w:t>
      </w:r>
      <w:r w:rsidRPr="00AB155A">
        <w:rPr>
          <w:i/>
        </w:rPr>
        <w:t xml:space="preserve">Nanos </w:t>
      </w:r>
      <w:r w:rsidRPr="00AB155A">
        <w:t xml:space="preserve">positive label (black arrowheads) in a large area of the cytoplasm (arrows show unlabeled archaeocytes). Labeled archaeocytes are always located close to choanocyte chambers (cc); in panel B, few choanocytes are labeled with </w:t>
      </w:r>
      <w:r w:rsidRPr="00AB155A">
        <w:rPr>
          <w:i/>
        </w:rPr>
        <w:t>Nanos</w:t>
      </w:r>
      <w:r w:rsidRPr="00AB155A">
        <w:t xml:space="preserve"> (black arrowheads). Cys, cystencyte; scl, sclerocyte; sp, spicule; cc, choanocyte chamber.</w:t>
      </w:r>
      <w:bookmarkStart w:id="0" w:name="_GoBack"/>
      <w:bookmarkEnd w:id="0"/>
    </w:p>
    <w:sectPr w:rsidR="001A6F68" w:rsidRPr="00F72F2D" w:rsidSect="00F72F2D">
      <w:pgSz w:w="12240" w:h="15840"/>
      <w:pgMar w:top="1440" w:right="1440" w:bottom="1440" w:left="1440" w:header="708" w:footer="708" w:gutter="0"/>
      <w:lnNumType w:countBy="1" w:restart="continuou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Narrow">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F2D"/>
    <w:rsid w:val="000272BD"/>
    <w:rsid w:val="0045158A"/>
    <w:rsid w:val="00623F12"/>
    <w:rsid w:val="006B10CF"/>
    <w:rsid w:val="006F3060"/>
    <w:rsid w:val="00CB066E"/>
    <w:rsid w:val="00D17B9E"/>
    <w:rsid w:val="00F72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C7A7"/>
  <w15:chartTrackingRefBased/>
  <w15:docId w15:val="{ED596521-667B-4D28-A4FA-27433A2C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F2D"/>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2F2D"/>
    <w:rPr>
      <w:rFonts w:eastAsia="Times New Roman" w:cs="Times New Roman"/>
      <w:szCs w:val="24"/>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72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emf"/><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1583</Words>
  <Characters>9026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Leys</dc:creator>
  <cp:keywords/>
  <dc:description/>
  <cp:lastModifiedBy>Sally Leys</cp:lastModifiedBy>
  <cp:revision>1</cp:revision>
  <dcterms:created xsi:type="dcterms:W3CDTF">2024-10-08T21:36:00Z</dcterms:created>
  <dcterms:modified xsi:type="dcterms:W3CDTF">2024-10-08T21:37:00Z</dcterms:modified>
</cp:coreProperties>
</file>