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802FC7" w14:textId="77777777" w:rsidR="0015230F" w:rsidRPr="0015230F" w:rsidRDefault="0015230F" w:rsidP="0015230F">
      <w:pPr>
        <w:widowControl w:val="0"/>
        <w:autoSpaceDE w:val="0"/>
        <w:autoSpaceDN w:val="0"/>
        <w:adjustRightInd w:val="0"/>
        <w:ind w:right="198"/>
        <w:jc w:val="both"/>
        <w:rPr>
          <w:rFonts w:ascii="Helvetica" w:hAnsi="Helvetica" w:cs="Helvetica"/>
          <w:b/>
          <w:lang w:val="en-US"/>
        </w:rPr>
      </w:pPr>
      <w:r w:rsidRPr="0015230F">
        <w:rPr>
          <w:rFonts w:ascii="Helvetica" w:hAnsi="Helvetica" w:cs="Helvetica"/>
          <w:b/>
          <w:lang w:val="en-US"/>
        </w:rPr>
        <w:t xml:space="preserve">Exclusion criteria </w:t>
      </w:r>
      <w:r w:rsidR="00BB5052" w:rsidRPr="00BB5052">
        <w:rPr>
          <w:rFonts w:ascii="Helvetica" w:hAnsi="Helvetica" w:cs="Helvetica"/>
          <w:b/>
          <w:lang w:val="en-US"/>
        </w:rPr>
        <w:t xml:space="preserve">adopted to populate the </w:t>
      </w:r>
      <w:r w:rsidR="00BB5052">
        <w:rPr>
          <w:rFonts w:ascii="Helvetica" w:hAnsi="Helvetica" w:cs="Helvetica"/>
          <w:b/>
          <w:lang w:val="en-US"/>
        </w:rPr>
        <w:t xml:space="preserve">ASD </w:t>
      </w:r>
      <w:r w:rsidR="00BB5052">
        <w:rPr>
          <w:rFonts w:ascii="Helvetica" w:hAnsi="Helvetica" w:cs="Helvetica"/>
          <w:b/>
          <w:lang w:val="en-US"/>
        </w:rPr>
        <w:t xml:space="preserve">and the </w:t>
      </w:r>
      <w:r w:rsidR="00BB5052" w:rsidRPr="00BB5052">
        <w:rPr>
          <w:rFonts w:ascii="Helvetica" w:hAnsi="Helvetica" w:cs="Helvetica"/>
          <w:b/>
          <w:lang w:val="en-US"/>
        </w:rPr>
        <w:t>control data sample</w:t>
      </w:r>
      <w:r w:rsidR="00BB5052">
        <w:rPr>
          <w:rFonts w:ascii="Helvetica" w:hAnsi="Helvetica" w:cs="Helvetica"/>
          <w:b/>
          <w:lang w:val="en-US"/>
        </w:rPr>
        <w:t>s</w:t>
      </w:r>
      <w:r>
        <w:rPr>
          <w:rFonts w:ascii="Helvetica" w:hAnsi="Helvetica" w:cs="Helvetica"/>
          <w:b/>
          <w:lang w:val="en-US"/>
        </w:rPr>
        <w:t xml:space="preserve">, </w:t>
      </w:r>
      <w:r w:rsidRPr="0015230F">
        <w:rPr>
          <w:rFonts w:ascii="Helvetica" w:hAnsi="Helvetica" w:cs="Helvetica"/>
          <w:b/>
          <w:lang w:val="en-US"/>
        </w:rPr>
        <w:t xml:space="preserve">rephrased from </w:t>
      </w:r>
      <w:proofErr w:type="spellStart"/>
      <w:r w:rsidRPr="0015230F">
        <w:rPr>
          <w:rFonts w:ascii="Helvetica" w:hAnsi="Helvetica" w:cs="Helvetica"/>
          <w:b/>
          <w:lang w:val="en-US"/>
        </w:rPr>
        <w:t>Calderoni</w:t>
      </w:r>
      <w:proofErr w:type="spellEnd"/>
      <w:r w:rsidRPr="0015230F">
        <w:rPr>
          <w:rFonts w:ascii="Helvetica" w:hAnsi="Helvetica" w:cs="Helvetica"/>
          <w:b/>
          <w:lang w:val="en-US"/>
        </w:rPr>
        <w:t xml:space="preserve"> </w:t>
      </w:r>
      <w:r w:rsidRPr="0015230F">
        <w:rPr>
          <w:rFonts w:ascii="Helvetica" w:hAnsi="Helvetica" w:cs="Helvetica"/>
          <w:b/>
          <w:i/>
          <w:lang w:val="en-US"/>
        </w:rPr>
        <w:t>et al</w:t>
      </w:r>
      <w:r w:rsidRPr="0015230F">
        <w:rPr>
          <w:rFonts w:ascii="Helvetica" w:hAnsi="Helvetica" w:cs="Helvetica"/>
          <w:b/>
          <w:i/>
          <w:lang w:val="en-US"/>
        </w:rPr>
        <w:t>.</w:t>
      </w:r>
      <w:r w:rsidRPr="0015230F">
        <w:rPr>
          <w:rFonts w:ascii="Helvetica" w:hAnsi="Helvetica" w:cs="Helvetica"/>
          <w:b/>
          <w:lang w:val="en-US"/>
        </w:rPr>
        <w:t xml:space="preserve"> (</w:t>
      </w:r>
      <w:proofErr w:type="spellStart"/>
      <w:r w:rsidRPr="0015230F">
        <w:rPr>
          <w:rFonts w:ascii="Helvetica" w:hAnsi="Helvetica" w:cs="Helvetica"/>
          <w:b/>
          <w:lang w:val="en-US"/>
        </w:rPr>
        <w:t>Neuroimage</w:t>
      </w:r>
      <w:proofErr w:type="spellEnd"/>
      <w:r w:rsidRPr="0015230F">
        <w:rPr>
          <w:rFonts w:ascii="Helvetica" w:hAnsi="Helvetica" w:cs="Helvetica"/>
          <w:b/>
          <w:lang w:val="en-US"/>
        </w:rPr>
        <w:t xml:space="preserve"> 59, 1013-1022, 2012).</w:t>
      </w:r>
    </w:p>
    <w:p w14:paraId="42B5B371" w14:textId="77777777" w:rsidR="0015230F" w:rsidRPr="00AC4E2E" w:rsidRDefault="0015230F" w:rsidP="0015230F">
      <w:pPr>
        <w:widowControl w:val="0"/>
        <w:autoSpaceDE w:val="0"/>
        <w:autoSpaceDN w:val="0"/>
        <w:adjustRightInd w:val="0"/>
        <w:ind w:right="198"/>
        <w:jc w:val="both"/>
        <w:rPr>
          <w:rFonts w:ascii="Helvetica" w:hAnsi="Helvetica" w:cs="Helvetica"/>
          <w:i/>
          <w:lang w:val="en-US"/>
        </w:rPr>
      </w:pPr>
    </w:p>
    <w:p w14:paraId="4FB1E133" w14:textId="77777777" w:rsidR="0015230F" w:rsidRPr="0015230F" w:rsidRDefault="0015230F" w:rsidP="0015230F">
      <w:pPr>
        <w:widowControl w:val="0"/>
        <w:autoSpaceDE w:val="0"/>
        <w:autoSpaceDN w:val="0"/>
        <w:adjustRightInd w:val="0"/>
        <w:ind w:right="198"/>
        <w:jc w:val="both"/>
        <w:rPr>
          <w:rFonts w:ascii="Helvetica" w:hAnsi="Helvetica" w:cs="Helvetica"/>
          <w:lang w:val="en-US"/>
        </w:rPr>
      </w:pPr>
      <w:r w:rsidRPr="0015230F">
        <w:rPr>
          <w:rFonts w:ascii="Helvetica" w:hAnsi="Helvetica" w:cs="Helvetica"/>
          <w:lang w:val="en-US"/>
        </w:rPr>
        <w:t xml:space="preserve">Exclusion criteria for ASD subjects included: 1) anomalies detected by MRI; 2) for children under 48 months, lack of follow-up after 48 months of chronological age confirming the clinical diagnosis of ASD; 3) neurological syndromes or focal neurological signs; 4) </w:t>
      </w:r>
      <w:proofErr w:type="spellStart"/>
      <w:r w:rsidRPr="0015230F">
        <w:rPr>
          <w:rFonts w:ascii="Helvetica" w:hAnsi="Helvetica" w:cs="Helvetica"/>
          <w:lang w:val="en-US"/>
        </w:rPr>
        <w:t>dysmorphic</w:t>
      </w:r>
      <w:proofErr w:type="spellEnd"/>
      <w:r w:rsidRPr="0015230F">
        <w:rPr>
          <w:rFonts w:ascii="Helvetica" w:hAnsi="Helvetica" w:cs="Helvetica"/>
          <w:lang w:val="en-US"/>
        </w:rPr>
        <w:t xml:space="preserve"> features suggestive of a genetic syndrome; 5) significant sensory impairment (e.g., blindness, deafness); 6) anthropometric parameters (weight, height and head circumference) lying outside two SD from the mean of normal subjects; 7) anamnesis of birth asphyxia, premature birth, head injury or epilepsy; 8) use of any psychotropic medication; 9) presence or history of any other axis I mental disorder and 10) insufficient image quality. The control group was selected so as to meet the same exclusionary criteria as the ASD (except the s</w:t>
      </w:r>
      <w:bookmarkStart w:id="0" w:name="_GoBack"/>
      <w:bookmarkEnd w:id="0"/>
      <w:r w:rsidRPr="0015230F">
        <w:rPr>
          <w:rFonts w:ascii="Helvetica" w:hAnsi="Helvetica" w:cs="Helvetica"/>
          <w:lang w:val="en-US"/>
        </w:rPr>
        <w:t xml:space="preserve">econd criterion specified above) with the further requirements of no family history of ASD (assessed in both DD and </w:t>
      </w:r>
      <w:proofErr w:type="spellStart"/>
      <w:r w:rsidRPr="0015230F">
        <w:rPr>
          <w:rFonts w:ascii="Helvetica" w:hAnsi="Helvetica" w:cs="Helvetica"/>
          <w:lang w:val="en-US"/>
        </w:rPr>
        <w:t>noDD</w:t>
      </w:r>
      <w:proofErr w:type="spellEnd"/>
      <w:r w:rsidRPr="0015230F">
        <w:rPr>
          <w:rFonts w:ascii="Helvetica" w:hAnsi="Helvetica" w:cs="Helvetica"/>
          <w:lang w:val="en-US"/>
        </w:rPr>
        <w:t xml:space="preserve">) and a score below 20 on the CARS, available for DD patients only. The diagnosis of idiopathic DD was performed after a 5–7 days of thorough multidisciplinary assessment when the mental retardation (IQ&lt;70) remains of unknown etiology after an exhaustive investigation (both clinical and </w:t>
      </w:r>
      <w:proofErr w:type="spellStart"/>
      <w:r w:rsidRPr="0015230F">
        <w:rPr>
          <w:rFonts w:ascii="Helvetica" w:hAnsi="Helvetica" w:cs="Helvetica"/>
          <w:lang w:val="en-US"/>
        </w:rPr>
        <w:t>laboratoristic</w:t>
      </w:r>
      <w:proofErr w:type="spellEnd"/>
      <w:r w:rsidRPr="0015230F">
        <w:rPr>
          <w:rFonts w:ascii="Helvetica" w:hAnsi="Helvetica" w:cs="Helvetica"/>
          <w:lang w:val="en-US"/>
        </w:rPr>
        <w:t xml:space="preserve">) for underlying causes. In fact, ASD and DD patients performed also the recommended laboratory tests to rule out medical causes of ASD/DD, including audiometry, thyroid hormone disorders, high-resolution karyotyping, DNA analysis of FRA-X and screening tests for inborn errors of metabolism (plasma and urine </w:t>
      </w:r>
      <w:proofErr w:type="spellStart"/>
      <w:r w:rsidRPr="0015230F">
        <w:rPr>
          <w:rFonts w:ascii="Helvetica" w:hAnsi="Helvetica" w:cs="Helvetica"/>
          <w:lang w:val="en-US"/>
        </w:rPr>
        <w:t>aminoacid</w:t>
      </w:r>
      <w:proofErr w:type="spellEnd"/>
      <w:r w:rsidRPr="0015230F">
        <w:rPr>
          <w:rFonts w:ascii="Helvetica" w:hAnsi="Helvetica" w:cs="Helvetica"/>
          <w:lang w:val="en-US"/>
        </w:rPr>
        <w:t xml:space="preserve"> analysis, urine organic acid measurement, urine </w:t>
      </w:r>
      <w:proofErr w:type="spellStart"/>
      <w:r w:rsidRPr="0015230F">
        <w:rPr>
          <w:rFonts w:ascii="Helvetica" w:hAnsi="Helvetica" w:cs="Helvetica"/>
          <w:lang w:val="en-US"/>
        </w:rPr>
        <w:t>mucopolysaccarides</w:t>
      </w:r>
      <w:proofErr w:type="spellEnd"/>
      <w:r w:rsidRPr="0015230F">
        <w:rPr>
          <w:rFonts w:ascii="Helvetica" w:hAnsi="Helvetica" w:cs="Helvetica"/>
          <w:lang w:val="en-US"/>
        </w:rPr>
        <w:t xml:space="preserve"> quantitation, plasma and urine </w:t>
      </w:r>
      <w:proofErr w:type="spellStart"/>
      <w:r w:rsidRPr="0015230F">
        <w:rPr>
          <w:rFonts w:ascii="Helvetica" w:hAnsi="Helvetica" w:cs="Helvetica"/>
          <w:lang w:val="en-US"/>
        </w:rPr>
        <w:t>creatine</w:t>
      </w:r>
      <w:proofErr w:type="spellEnd"/>
      <w:r w:rsidRPr="0015230F">
        <w:rPr>
          <w:rFonts w:ascii="Helvetica" w:hAnsi="Helvetica" w:cs="Helvetica"/>
          <w:lang w:val="en-US"/>
        </w:rPr>
        <w:t xml:space="preserve"> and </w:t>
      </w:r>
      <w:proofErr w:type="spellStart"/>
      <w:r w:rsidRPr="0015230F">
        <w:rPr>
          <w:rFonts w:ascii="Helvetica" w:hAnsi="Helvetica" w:cs="Helvetica"/>
          <w:lang w:val="en-US"/>
        </w:rPr>
        <w:t>guanidinoacetate</w:t>
      </w:r>
      <w:proofErr w:type="spellEnd"/>
      <w:r w:rsidRPr="0015230F">
        <w:rPr>
          <w:rFonts w:ascii="Helvetica" w:hAnsi="Helvetica" w:cs="Helvetica"/>
          <w:lang w:val="en-US"/>
        </w:rPr>
        <w:t xml:space="preserve"> analysis).</w:t>
      </w:r>
    </w:p>
    <w:p w14:paraId="7619319F" w14:textId="77777777" w:rsidR="0015230F" w:rsidRPr="005521A3" w:rsidRDefault="0015230F" w:rsidP="0015230F">
      <w:pPr>
        <w:widowControl w:val="0"/>
        <w:autoSpaceDE w:val="0"/>
        <w:autoSpaceDN w:val="0"/>
        <w:adjustRightInd w:val="0"/>
        <w:ind w:right="198"/>
        <w:jc w:val="both"/>
        <w:rPr>
          <w:rFonts w:ascii="Helvetica" w:hAnsi="Helvetica" w:cs="Helvetica"/>
          <w:sz w:val="22"/>
          <w:lang w:val="en-US"/>
        </w:rPr>
      </w:pPr>
    </w:p>
    <w:p w14:paraId="3F91A7A2" w14:textId="77777777" w:rsidR="007F4385" w:rsidRDefault="007F4385"/>
    <w:sectPr w:rsidR="007F4385" w:rsidSect="007F4385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30F"/>
    <w:rsid w:val="0015230F"/>
    <w:rsid w:val="007F4385"/>
    <w:rsid w:val="00BB505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4C61A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230F"/>
    <w:pPr>
      <w:suppressAutoHyphens/>
    </w:pPr>
    <w:rPr>
      <w:rFonts w:ascii="Times New Roman" w:eastAsia="Times New Roman" w:hAnsi="Times New Roman" w:cs="Times New Roman"/>
      <w:sz w:val="20"/>
      <w:szCs w:val="20"/>
      <w:lang w:val="it-IT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230F"/>
    <w:pPr>
      <w:suppressAutoHyphens/>
    </w:pPr>
    <w:rPr>
      <w:rFonts w:ascii="Times New Roman" w:eastAsia="Times New Roman" w:hAnsi="Times New Roman" w:cs="Times New Roman"/>
      <w:sz w:val="20"/>
      <w:szCs w:val="20"/>
      <w:lang w:val="it-IT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269</Words>
  <Characters>1571</Characters>
  <Application>Microsoft Macintosh Word</Application>
  <DocSecurity>0</DocSecurity>
  <Lines>24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INFN</Company>
  <LinksUpToDate>false</LinksUpToDate>
  <CharactersWithSpaces>1838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Retico</dc:creator>
  <cp:keywords/>
  <dc:description/>
  <cp:lastModifiedBy>Alessandra Retico</cp:lastModifiedBy>
  <cp:revision>2</cp:revision>
  <dcterms:created xsi:type="dcterms:W3CDTF">2015-07-14T19:35:00Z</dcterms:created>
  <dcterms:modified xsi:type="dcterms:W3CDTF">2015-07-14T19:38:00Z</dcterms:modified>
  <cp:category/>
</cp:coreProperties>
</file>