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427" w:rsidRPr="003333B0" w:rsidRDefault="009C43AA" w:rsidP="00D31427">
      <w:pPr>
        <w:rPr>
          <w:sz w:val="24"/>
          <w:szCs w:val="24"/>
        </w:rPr>
      </w:pPr>
      <w:bookmarkStart w:id="0" w:name="_GoBack"/>
      <w:r w:rsidRPr="003333B0">
        <w:rPr>
          <w:b/>
          <w:sz w:val="24"/>
          <w:szCs w:val="24"/>
        </w:rPr>
        <w:t>Table S3</w:t>
      </w:r>
      <w:r w:rsidR="00D31427" w:rsidRPr="003333B0">
        <w:rPr>
          <w:b/>
          <w:sz w:val="24"/>
          <w:szCs w:val="24"/>
        </w:rPr>
        <w:t xml:space="preserve">. Within connectivity in the gamma band: </w:t>
      </w:r>
      <w:r w:rsidR="00D31427" w:rsidRPr="003333B0">
        <w:rPr>
          <w:sz w:val="24"/>
          <w:szCs w:val="24"/>
        </w:rPr>
        <w:t xml:space="preserve">Number of connections for each AAL node within the significant </w:t>
      </w:r>
      <w:r w:rsidR="003333B0" w:rsidRPr="003333B0">
        <w:rPr>
          <w:bCs/>
          <w:sz w:val="24"/>
          <w:szCs w:val="24"/>
        </w:rPr>
        <w:t>NBS components</w:t>
      </w:r>
      <w:r w:rsidR="00D31427" w:rsidRPr="003333B0">
        <w:rPr>
          <w:sz w:val="24"/>
          <w:szCs w:val="24"/>
        </w:rPr>
        <w:t>. Nodes are ordered by the sum of the connections across groups and conditions (from the greater to the smaller value).</w:t>
      </w:r>
    </w:p>
    <w:bookmarkEnd w:id="0"/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605"/>
        <w:gridCol w:w="873"/>
        <w:gridCol w:w="1071"/>
        <w:gridCol w:w="837"/>
        <w:gridCol w:w="873"/>
        <w:gridCol w:w="1071"/>
        <w:gridCol w:w="837"/>
      </w:tblGrid>
      <w:tr w:rsidR="004A181B" w:rsidRPr="00D31427" w:rsidTr="00D31427">
        <w:trPr>
          <w:trHeight w:val="283"/>
        </w:trPr>
        <w:tc>
          <w:tcPr>
            <w:tcW w:w="2183" w:type="pct"/>
            <w:gridSpan w:val="2"/>
            <w:vMerge w:val="restar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b/>
                <w:color w:val="000000"/>
              </w:rPr>
            </w:pPr>
          </w:p>
        </w:tc>
        <w:tc>
          <w:tcPr>
            <w:tcW w:w="2817" w:type="pct"/>
            <w:gridSpan w:val="6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D31427">
              <w:rPr>
                <w:rFonts w:eastAsia="Times New Roman" w:cs="Times New Roman"/>
                <w:b/>
                <w:color w:val="000000"/>
              </w:rPr>
              <w:t>GAMMA BAND</w:t>
            </w:r>
          </w:p>
        </w:tc>
      </w:tr>
      <w:tr w:rsidR="004A181B" w:rsidRPr="00D31427" w:rsidTr="00D31427">
        <w:trPr>
          <w:trHeight w:val="283"/>
        </w:trPr>
        <w:tc>
          <w:tcPr>
            <w:tcW w:w="2183" w:type="pct"/>
            <w:gridSpan w:val="2"/>
            <w:vMerge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b/>
                <w:color w:val="000000"/>
              </w:rPr>
            </w:pPr>
          </w:p>
        </w:tc>
        <w:tc>
          <w:tcPr>
            <w:tcW w:w="1409" w:type="pct"/>
            <w:gridSpan w:val="3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D31427">
              <w:rPr>
                <w:rFonts w:eastAsia="Times New Roman" w:cs="Times New Roman"/>
                <w:b/>
                <w:color w:val="000000"/>
              </w:rPr>
              <w:t>TD</w:t>
            </w:r>
          </w:p>
        </w:tc>
        <w:tc>
          <w:tcPr>
            <w:tcW w:w="1408" w:type="pct"/>
            <w:gridSpan w:val="3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D31427">
              <w:rPr>
                <w:rFonts w:eastAsia="Times New Roman" w:cs="Times New Roman"/>
                <w:b/>
                <w:color w:val="000000"/>
              </w:rPr>
              <w:t>ASD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b/>
                <w:color w:val="000000"/>
              </w:rPr>
            </w:pPr>
            <w:r w:rsidRPr="00D31427">
              <w:rPr>
                <w:rFonts w:eastAsia="Times New Roman" w:cs="Times New Roman"/>
                <w:b/>
                <w:color w:val="000000"/>
              </w:rPr>
              <w:t>AAL seeds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D31427">
              <w:rPr>
                <w:rFonts w:eastAsia="Times New Roman" w:cs="Times New Roman"/>
                <w:b/>
                <w:color w:val="000000"/>
              </w:rPr>
              <w:t>L/R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D31427">
              <w:rPr>
                <w:rFonts w:eastAsia="Times New Roman" w:cs="Times New Roman"/>
                <w:b/>
                <w:color w:val="000000"/>
              </w:rPr>
              <w:t>ANGRY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D31427">
              <w:rPr>
                <w:rFonts w:eastAsia="Times New Roman" w:cs="Times New Roman"/>
                <w:b/>
                <w:color w:val="000000"/>
              </w:rPr>
              <w:t>NEUTRAL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D31427">
              <w:rPr>
                <w:rFonts w:eastAsia="Times New Roman" w:cs="Times New Roman"/>
                <w:b/>
                <w:color w:val="000000"/>
              </w:rPr>
              <w:t>HAPPY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D31427">
              <w:rPr>
                <w:rFonts w:eastAsia="Times New Roman" w:cs="Times New Roman"/>
                <w:b/>
                <w:color w:val="000000"/>
              </w:rPr>
              <w:t>ANGRY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D31427">
              <w:rPr>
                <w:rFonts w:eastAsia="Times New Roman" w:cs="Times New Roman"/>
                <w:b/>
                <w:color w:val="000000"/>
              </w:rPr>
              <w:t>NEUTRAL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D31427">
              <w:rPr>
                <w:rFonts w:eastAsia="Times New Roman" w:cs="Times New Roman"/>
                <w:b/>
                <w:color w:val="000000"/>
              </w:rPr>
              <w:t>HAPPY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Cuneus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9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25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13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20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Cuneus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10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37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31427">
              <w:rPr>
                <w:rFonts w:eastAsia="Times New Roman" w:cs="Times New Roman"/>
                <w:color w:val="000000"/>
              </w:rPr>
              <w:t>Calcarine</w:t>
            </w:r>
            <w:proofErr w:type="spellEnd"/>
            <w:r w:rsidRPr="00D31427">
              <w:rPr>
                <w:rFonts w:eastAsia="Times New Roman" w:cs="Times New Roman"/>
                <w:color w:val="000000"/>
              </w:rPr>
              <w:t xml:space="preserve"> Sulcus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17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7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7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31427">
              <w:rPr>
                <w:rFonts w:eastAsia="Times New Roman" w:cs="Times New Roman"/>
                <w:color w:val="000000"/>
              </w:rPr>
              <w:t>Calcarine</w:t>
            </w:r>
            <w:proofErr w:type="spellEnd"/>
            <w:r w:rsidRPr="00D31427">
              <w:rPr>
                <w:rFonts w:eastAsia="Times New Roman" w:cs="Times New Roman"/>
                <w:color w:val="000000"/>
              </w:rPr>
              <w:t xml:space="preserve"> Sulcus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7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6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Superior Occipital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14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15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Superior Occipital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7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13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9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Middle Occipital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10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Lingual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Lingual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6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6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Middle Occipital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5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Inferior Occipital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6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31427">
              <w:rPr>
                <w:rFonts w:eastAsia="Times New Roman" w:cs="Times New Roman"/>
                <w:color w:val="000000"/>
              </w:rPr>
              <w:t>Precuneus</w:t>
            </w:r>
            <w:proofErr w:type="spellEnd"/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Anterior Cingulate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Putamen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6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Pallidum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 xml:space="preserve">Hippocampus 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Inferior Occipital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Angular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Precentral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Caudate Nucleus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Putamen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Amygdala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31427">
              <w:rPr>
                <w:rFonts w:eastAsia="Times New Roman" w:cs="Times New Roman"/>
                <w:color w:val="000000"/>
              </w:rPr>
              <w:t>Heschl</w:t>
            </w:r>
            <w:proofErr w:type="spellEnd"/>
            <w:r w:rsidRPr="00D31427">
              <w:rPr>
                <w:rFonts w:eastAsia="Times New Roman" w:cs="Times New Roman"/>
                <w:color w:val="000000"/>
              </w:rPr>
              <w:t xml:space="preserve">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6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Medial Frontal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Middle Temporal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Postcentral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 xml:space="preserve">Thalamus 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Angular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Fusiform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Fusiform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Insula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Insula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Midcingulate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31427">
              <w:rPr>
                <w:rFonts w:eastAsia="Times New Roman" w:cs="Times New Roman"/>
                <w:color w:val="000000"/>
              </w:rPr>
              <w:t>Precuneus</w:t>
            </w:r>
            <w:proofErr w:type="spellEnd"/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 xml:space="preserve">Thalamus 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Anterior Cingulate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 xml:space="preserve">Hippocampus 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 xml:space="preserve">Inferior Frontal Gyrus, pars </w:t>
            </w:r>
            <w:proofErr w:type="spellStart"/>
            <w:r w:rsidRPr="00D31427">
              <w:rPr>
                <w:rFonts w:eastAsia="Times New Roman" w:cs="Times New Roman"/>
                <w:color w:val="000000"/>
              </w:rPr>
              <w:t>opercularis</w:t>
            </w:r>
            <w:proofErr w:type="spellEnd"/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Inferior Temporal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Midcingulate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Paracentral Lobule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Postcentral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Posterior Cingulate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lastRenderedPageBreak/>
              <w:t>Superior Temporal Pole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Supplementary Motor Area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Inferior Frontal Gyrus, pars orbitalis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 xml:space="preserve">Inferior Frontal Gyrus, pars </w:t>
            </w:r>
            <w:proofErr w:type="spellStart"/>
            <w:r w:rsidRPr="00D31427">
              <w:rPr>
                <w:rFonts w:eastAsia="Times New Roman" w:cs="Times New Roman"/>
                <w:color w:val="000000"/>
              </w:rPr>
              <w:t>triangularis</w:t>
            </w:r>
            <w:proofErr w:type="spellEnd"/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Inferior Parietal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Middle Frontal Gyrus, orbital part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Middle Frontal Gyrus, orbital part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Middle Temporal Pole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Olfactory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Olfactory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Pallidum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31427">
              <w:rPr>
                <w:rFonts w:eastAsia="Times New Roman" w:cs="Times New Roman"/>
                <w:color w:val="000000"/>
              </w:rPr>
              <w:t>Rolandic</w:t>
            </w:r>
            <w:proofErr w:type="spellEnd"/>
            <w:r w:rsidRPr="00D31427">
              <w:rPr>
                <w:rFonts w:eastAsia="Times New Roman" w:cs="Times New Roman"/>
                <w:color w:val="000000"/>
              </w:rPr>
              <w:t xml:space="preserve"> Operculum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Superior Frontal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31427">
              <w:rPr>
                <w:rFonts w:eastAsia="Times New Roman" w:cs="Times New Roman"/>
                <w:color w:val="000000"/>
              </w:rPr>
              <w:t>Supramarginal</w:t>
            </w:r>
            <w:proofErr w:type="spellEnd"/>
            <w:r w:rsidRPr="00D31427">
              <w:rPr>
                <w:rFonts w:eastAsia="Times New Roman" w:cs="Times New Roman"/>
                <w:color w:val="000000"/>
              </w:rPr>
              <w:t xml:space="preserve">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Amygdala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Inferior Frontal Gyrus, pars orbitalis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 xml:space="preserve">Inferior Frontal Gyrus, pars </w:t>
            </w:r>
            <w:proofErr w:type="spellStart"/>
            <w:r w:rsidRPr="00D31427">
              <w:rPr>
                <w:rFonts w:eastAsia="Times New Roman" w:cs="Times New Roman"/>
                <w:color w:val="000000"/>
              </w:rPr>
              <w:t>triangularis</w:t>
            </w:r>
            <w:proofErr w:type="spellEnd"/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Medial Frontal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Middle Frontal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Paracentral Lobule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31427">
              <w:rPr>
                <w:rFonts w:eastAsia="Times New Roman" w:cs="Times New Roman"/>
                <w:color w:val="000000"/>
              </w:rPr>
              <w:t>ParaHippocampal</w:t>
            </w:r>
            <w:proofErr w:type="spellEnd"/>
            <w:r w:rsidRPr="00D31427">
              <w:rPr>
                <w:rFonts w:eastAsia="Times New Roman" w:cs="Times New Roman"/>
                <w:color w:val="000000"/>
              </w:rPr>
              <w:t xml:space="preserve">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Precentral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Superior Frontal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Superior Frontal Gyrus, orbital part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Superior Parietal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Superior Temporal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31427">
              <w:rPr>
                <w:rFonts w:eastAsia="Times New Roman" w:cs="Times New Roman"/>
                <w:color w:val="000000"/>
              </w:rPr>
              <w:t>Supramarginal</w:t>
            </w:r>
            <w:proofErr w:type="spellEnd"/>
            <w:r w:rsidRPr="00D31427">
              <w:rPr>
                <w:rFonts w:eastAsia="Times New Roman" w:cs="Times New Roman"/>
                <w:color w:val="000000"/>
              </w:rPr>
              <w:t xml:space="preserve">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 xml:space="preserve">Inferior Frontal Gyrus, pars </w:t>
            </w:r>
            <w:proofErr w:type="spellStart"/>
            <w:r w:rsidRPr="00D31427">
              <w:rPr>
                <w:rFonts w:eastAsia="Times New Roman" w:cs="Times New Roman"/>
                <w:color w:val="000000"/>
              </w:rPr>
              <w:t>opercularis</w:t>
            </w:r>
            <w:proofErr w:type="spellEnd"/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Medial Orbitofrontal Cortex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Medial Orbitofrontal Cortex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Middle Frontal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Middle Temporal Pole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31427">
              <w:rPr>
                <w:rFonts w:eastAsia="Times New Roman" w:cs="Times New Roman"/>
                <w:color w:val="000000"/>
              </w:rPr>
              <w:t>ParaHippocampal</w:t>
            </w:r>
            <w:proofErr w:type="spellEnd"/>
            <w:r w:rsidRPr="00D31427">
              <w:rPr>
                <w:rFonts w:eastAsia="Times New Roman" w:cs="Times New Roman"/>
                <w:color w:val="000000"/>
              </w:rPr>
              <w:t xml:space="preserve">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Rectus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31427">
              <w:rPr>
                <w:rFonts w:eastAsia="Times New Roman" w:cs="Times New Roman"/>
                <w:color w:val="000000"/>
              </w:rPr>
              <w:t>Rolandic</w:t>
            </w:r>
            <w:proofErr w:type="spellEnd"/>
            <w:r w:rsidRPr="00D31427">
              <w:rPr>
                <w:rFonts w:eastAsia="Times New Roman" w:cs="Times New Roman"/>
                <w:color w:val="000000"/>
              </w:rPr>
              <w:t xml:space="preserve"> Operculum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Superior Frontal Gyrus, orbital part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Superior Parietal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Superior Temporal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31427">
              <w:rPr>
                <w:rFonts w:eastAsia="Times New Roman" w:cs="Times New Roman"/>
                <w:color w:val="000000"/>
              </w:rPr>
              <w:t>Heschl</w:t>
            </w:r>
            <w:proofErr w:type="spellEnd"/>
            <w:r w:rsidRPr="00D31427">
              <w:rPr>
                <w:rFonts w:eastAsia="Times New Roman" w:cs="Times New Roman"/>
                <w:color w:val="000000"/>
              </w:rPr>
              <w:t xml:space="preserve">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Inferior Parietal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Inferior Temporal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Middle Temporal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Posterior Cingulate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Superior Temporal Pole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Supplementary Motor Area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Caudate Nucleus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4A181B" w:rsidRPr="00D31427" w:rsidTr="00D31427">
        <w:trPr>
          <w:trHeight w:val="283"/>
        </w:trPr>
        <w:tc>
          <w:tcPr>
            <w:tcW w:w="171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Rectus Gyrus</w:t>
            </w:r>
          </w:p>
        </w:tc>
        <w:tc>
          <w:tcPr>
            <w:tcW w:w="47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L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1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65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:rsidR="004A181B" w:rsidRPr="00D31427" w:rsidRDefault="004A181B" w:rsidP="004A18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31427">
              <w:rPr>
                <w:rFonts w:eastAsia="Times New Roman" w:cs="Times New Roman"/>
                <w:color w:val="000000"/>
              </w:rPr>
              <w:t>1</w:t>
            </w:r>
          </w:p>
        </w:tc>
      </w:tr>
    </w:tbl>
    <w:p w:rsidR="000A1ECE" w:rsidRPr="004A181B" w:rsidRDefault="000A1ECE">
      <w:pPr>
        <w:rPr>
          <w:sz w:val="20"/>
          <w:szCs w:val="20"/>
        </w:rPr>
      </w:pPr>
    </w:p>
    <w:sectPr w:rsidR="000A1ECE" w:rsidRPr="004A18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1B"/>
    <w:rsid w:val="000A1ECE"/>
    <w:rsid w:val="003333B0"/>
    <w:rsid w:val="004A181B"/>
    <w:rsid w:val="009C43AA"/>
    <w:rsid w:val="00D31427"/>
    <w:rsid w:val="00F4713F"/>
    <w:rsid w:val="00F8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rocco mennella</dc:creator>
  <cp:lastModifiedBy>rocco mennella</cp:lastModifiedBy>
  <cp:revision>4</cp:revision>
  <dcterms:created xsi:type="dcterms:W3CDTF">2016-06-20T16:41:00Z</dcterms:created>
  <dcterms:modified xsi:type="dcterms:W3CDTF">2016-10-20T12:55:00Z</dcterms:modified>
</cp:coreProperties>
</file>