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42115" w14:textId="13006C7D" w:rsidR="0059520F" w:rsidRPr="003540EC" w:rsidRDefault="0059520F" w:rsidP="003540EC">
      <w:pPr>
        <w:spacing w:line="240" w:lineRule="auto"/>
        <w:jc w:val="center"/>
        <w:rPr>
          <w:rFonts w:ascii="Arial" w:hAnsi="Arial" w:cs="Arial"/>
          <w:b/>
          <w:bCs/>
          <w:u w:val="single"/>
        </w:rPr>
      </w:pPr>
      <w:r w:rsidRPr="003540EC">
        <w:rPr>
          <w:rFonts w:ascii="Arial" w:hAnsi="Arial" w:cs="Arial"/>
          <w:b/>
          <w:bCs/>
          <w:u w:val="single"/>
        </w:rPr>
        <w:t xml:space="preserve">Supplemental </w:t>
      </w:r>
      <w:r w:rsidR="003540EC" w:rsidRPr="003540EC">
        <w:rPr>
          <w:rFonts w:ascii="Arial" w:hAnsi="Arial" w:cs="Arial"/>
          <w:b/>
          <w:bCs/>
          <w:u w:val="single"/>
        </w:rPr>
        <w:t>Results</w:t>
      </w:r>
    </w:p>
    <w:p w14:paraId="0DBEAE45" w14:textId="77777777" w:rsidR="003540EC" w:rsidRPr="003540EC" w:rsidRDefault="003540EC" w:rsidP="0059520F">
      <w:pPr>
        <w:spacing w:line="240" w:lineRule="auto"/>
        <w:jc w:val="center"/>
        <w:rPr>
          <w:rFonts w:ascii="Arial" w:hAnsi="Arial" w:cs="Arial"/>
          <w:b/>
          <w:bCs/>
        </w:rPr>
      </w:pPr>
    </w:p>
    <w:p w14:paraId="61CAD26F" w14:textId="1E2654D4" w:rsidR="0059520F" w:rsidRDefault="0059520F" w:rsidP="0059520F">
      <w:pPr>
        <w:rPr>
          <w:rFonts w:ascii="Arial" w:hAnsi="Arial" w:cs="Arial"/>
          <w:sz w:val="20"/>
          <w:szCs w:val="20"/>
        </w:rPr>
      </w:pPr>
      <w:r>
        <w:rPr>
          <w:noProof/>
        </w:rPr>
        <mc:AlternateContent>
          <mc:Choice Requires="wps">
            <w:drawing>
              <wp:anchor distT="0" distB="0" distL="114300" distR="114300" simplePos="0" relativeHeight="251660288" behindDoc="1" locked="0" layoutInCell="1" allowOverlap="1" wp14:anchorId="6DD6434B" wp14:editId="64ED0D18">
                <wp:simplePos x="0" y="0"/>
                <wp:positionH relativeFrom="margin">
                  <wp:posOffset>-452755</wp:posOffset>
                </wp:positionH>
                <wp:positionV relativeFrom="paragraph">
                  <wp:posOffset>4179796</wp:posOffset>
                </wp:positionV>
                <wp:extent cx="9144000" cy="122174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9144000" cy="1221740"/>
                        </a:xfrm>
                        <a:prstGeom prst="rect">
                          <a:avLst/>
                        </a:prstGeom>
                        <a:solidFill>
                          <a:prstClr val="white"/>
                        </a:solidFill>
                        <a:ln>
                          <a:noFill/>
                        </a:ln>
                      </wps:spPr>
                      <wps:txbx>
                        <w:txbxContent>
                          <w:p w14:paraId="5C280D30" w14:textId="3839CABD" w:rsidR="0059520F" w:rsidRPr="000E166E" w:rsidRDefault="0059520F" w:rsidP="0059520F">
                            <w:pPr>
                              <w:pStyle w:val="Caption"/>
                              <w:rPr>
                                <w:rFonts w:ascii="Arial" w:hAnsi="Arial" w:cs="Arial"/>
                                <w:i w:val="0"/>
                                <w:iCs w:val="0"/>
                                <w:noProof/>
                                <w:color w:val="auto"/>
                              </w:rPr>
                            </w:pPr>
                            <w:r w:rsidRPr="000E166E">
                              <w:rPr>
                                <w:rFonts w:ascii="Arial" w:hAnsi="Arial" w:cs="Arial"/>
                                <w:b/>
                                <w:bCs/>
                                <w:i w:val="0"/>
                                <w:iCs w:val="0"/>
                                <w:color w:val="auto"/>
                              </w:rPr>
                              <w:t>Figure S</w:t>
                            </w:r>
                            <w:r w:rsidRPr="000E166E">
                              <w:rPr>
                                <w:rFonts w:ascii="Arial" w:hAnsi="Arial" w:cs="Arial"/>
                                <w:b/>
                                <w:bCs/>
                                <w:i w:val="0"/>
                                <w:iCs w:val="0"/>
                                <w:color w:val="auto"/>
                              </w:rPr>
                              <w:fldChar w:fldCharType="begin"/>
                            </w:r>
                            <w:r w:rsidRPr="000E166E">
                              <w:rPr>
                                <w:rFonts w:ascii="Arial" w:hAnsi="Arial" w:cs="Arial"/>
                                <w:b/>
                                <w:bCs/>
                                <w:i w:val="0"/>
                                <w:iCs w:val="0"/>
                                <w:color w:val="auto"/>
                              </w:rPr>
                              <w:instrText xml:space="preserve"> SEQ Figure \* ARABIC </w:instrText>
                            </w:r>
                            <w:r w:rsidRPr="000E166E">
                              <w:rPr>
                                <w:rFonts w:ascii="Arial" w:hAnsi="Arial" w:cs="Arial"/>
                                <w:b/>
                                <w:bCs/>
                                <w:i w:val="0"/>
                                <w:iCs w:val="0"/>
                                <w:color w:val="auto"/>
                              </w:rPr>
                              <w:fldChar w:fldCharType="separate"/>
                            </w:r>
                            <w:r w:rsidRPr="000E166E">
                              <w:rPr>
                                <w:rFonts w:ascii="Arial" w:hAnsi="Arial" w:cs="Arial"/>
                                <w:b/>
                                <w:bCs/>
                                <w:i w:val="0"/>
                                <w:iCs w:val="0"/>
                                <w:noProof/>
                                <w:color w:val="auto"/>
                              </w:rPr>
                              <w:t>1</w:t>
                            </w:r>
                            <w:r w:rsidRPr="000E166E">
                              <w:rPr>
                                <w:rFonts w:ascii="Arial" w:hAnsi="Arial" w:cs="Arial"/>
                                <w:b/>
                                <w:bCs/>
                                <w:i w:val="0"/>
                                <w:iCs w:val="0"/>
                                <w:color w:val="auto"/>
                              </w:rPr>
                              <w:fldChar w:fldCharType="end"/>
                            </w:r>
                            <w:r w:rsidRPr="000E166E">
                              <w:rPr>
                                <w:rFonts w:ascii="Arial" w:hAnsi="Arial" w:cs="Arial"/>
                                <w:i w:val="0"/>
                                <w:iCs w:val="0"/>
                                <w:color w:val="auto"/>
                              </w:rPr>
                              <w:t>: Power curves of differential expression and epigenome-wide association analyses</w:t>
                            </w:r>
                            <w:r w:rsidRPr="000E166E">
                              <w:rPr>
                                <w:rFonts w:ascii="Arial" w:hAnsi="Arial" w:cs="Arial"/>
                                <w:color w:val="auto"/>
                              </w:rPr>
                              <w:t>.</w:t>
                            </w:r>
                            <w:r w:rsidRPr="000E166E">
                              <w:rPr>
                                <w:rFonts w:ascii="Arial" w:hAnsi="Arial" w:cs="Arial"/>
                                <w:i w:val="0"/>
                                <w:iCs w:val="0"/>
                                <w:color w:val="auto"/>
                              </w:rPr>
                              <w:t xml:space="preserve"> </w:t>
                            </w:r>
                            <w:r w:rsidRPr="000E166E">
                              <w:rPr>
                                <w:rFonts w:ascii="Arial" w:hAnsi="Arial" w:cs="Arial"/>
                                <w:b/>
                                <w:bCs/>
                                <w:i w:val="0"/>
                                <w:iCs w:val="0"/>
                                <w:color w:val="auto"/>
                              </w:rPr>
                              <w:t>(A)</w:t>
                            </w:r>
                            <w:r w:rsidRPr="000E166E">
                              <w:rPr>
                                <w:rFonts w:ascii="Arial" w:hAnsi="Arial" w:cs="Arial"/>
                                <w:i w:val="0"/>
                                <w:iCs w:val="0"/>
                                <w:color w:val="auto"/>
                              </w:rPr>
                              <w:t xml:space="preserve"> For differential mRNA expression analysis, plot of power (Y-axis) to detect a given fold change (X-axis) across different mean and dispersion settings for </w:t>
                            </w:r>
                            <w:r w:rsidR="001948C9">
                              <w:rPr>
                                <w:rFonts w:ascii="Arial" w:hAnsi="Arial" w:cs="Arial"/>
                                <w:i w:val="0"/>
                                <w:iCs w:val="0"/>
                                <w:color w:val="auto"/>
                              </w:rPr>
                              <w:t xml:space="preserve">expression of </w:t>
                            </w:r>
                            <w:r w:rsidRPr="000E166E">
                              <w:rPr>
                                <w:rFonts w:ascii="Arial" w:hAnsi="Arial" w:cs="Arial"/>
                                <w:i w:val="0"/>
                                <w:iCs w:val="0"/>
                                <w:color w:val="auto"/>
                              </w:rPr>
                              <w:t xml:space="preserve">a gene across 12,000 genes, an FDR of 0.01, a significance level of 0.05, and a sample size of 379. </w:t>
                            </w:r>
                            <w:r w:rsidR="003B6A58" w:rsidRPr="000E166E">
                              <w:rPr>
                                <w:rFonts w:ascii="Arial" w:hAnsi="Arial" w:cs="Arial"/>
                                <w:i w:val="0"/>
                                <w:iCs w:val="0"/>
                                <w:color w:val="auto"/>
                              </w:rPr>
                              <w:t xml:space="preserve">The plot provides the estimated power (Y) to detect the corresponding fold change (X) in a gene whose mRNA expression has provided mean and variance. </w:t>
                            </w:r>
                            <w:r w:rsidRPr="000E166E">
                              <w:rPr>
                                <w:rFonts w:ascii="Arial" w:hAnsi="Arial" w:cs="Arial"/>
                                <w:b/>
                                <w:bCs/>
                                <w:i w:val="0"/>
                                <w:iCs w:val="0"/>
                                <w:color w:val="auto"/>
                              </w:rPr>
                              <w:t>(B)</w:t>
                            </w:r>
                            <w:r w:rsidRPr="000E166E">
                              <w:rPr>
                                <w:rFonts w:ascii="Arial" w:hAnsi="Arial" w:cs="Arial"/>
                                <w:i w:val="0"/>
                                <w:iCs w:val="0"/>
                                <w:color w:val="auto"/>
                              </w:rPr>
                              <w:t xml:space="preserve"> For differential miRNA expression analysis, plot of power (Y-axis) to detect a given fold change (X-axis) across different mean and dispersion settings for a gene across 2,000 genes, an FDR of 0.01, a significance level of 0.05, and a sample size of 379. </w:t>
                            </w:r>
                            <w:r w:rsidR="003B6A58" w:rsidRPr="000E166E">
                              <w:rPr>
                                <w:rFonts w:ascii="Arial" w:hAnsi="Arial" w:cs="Arial"/>
                                <w:i w:val="0"/>
                                <w:iCs w:val="0"/>
                                <w:color w:val="auto"/>
                              </w:rPr>
                              <w:t>The plot provides the estimated power (Y) to detect the corresponding fold change (X) in a</w:t>
                            </w:r>
                            <w:r w:rsidR="000E166E" w:rsidRPr="000E166E">
                              <w:rPr>
                                <w:rFonts w:ascii="Arial" w:hAnsi="Arial" w:cs="Arial"/>
                                <w:i w:val="0"/>
                                <w:iCs w:val="0"/>
                                <w:color w:val="auto"/>
                              </w:rPr>
                              <w:t xml:space="preserve"> miRNA whose </w:t>
                            </w:r>
                            <w:r w:rsidR="003B6A58" w:rsidRPr="000E166E">
                              <w:rPr>
                                <w:rFonts w:ascii="Arial" w:hAnsi="Arial" w:cs="Arial"/>
                                <w:i w:val="0"/>
                                <w:iCs w:val="0"/>
                                <w:color w:val="auto"/>
                              </w:rPr>
                              <w:t>expression has provided mean and variance.</w:t>
                            </w:r>
                            <w:r w:rsidR="003B6A58" w:rsidRPr="000E166E">
                              <w:rPr>
                                <w:rFonts w:ascii="Arial" w:hAnsi="Arial" w:cs="Arial"/>
                                <w:b/>
                                <w:bCs/>
                                <w:i w:val="0"/>
                                <w:iCs w:val="0"/>
                                <w:color w:val="auto"/>
                              </w:rPr>
                              <w:t xml:space="preserve"> </w:t>
                            </w:r>
                            <w:r w:rsidR="008B5C05" w:rsidRPr="008B5C05">
                              <w:rPr>
                                <w:rFonts w:ascii="Arial" w:hAnsi="Arial" w:cs="Arial"/>
                                <w:i w:val="0"/>
                                <w:iCs w:val="0"/>
                                <w:color w:val="auto"/>
                              </w:rPr>
                              <w:t>Here the dispersion of a gene</w:t>
                            </w:r>
                            <w:r w:rsidR="008B5C05">
                              <w:rPr>
                                <w:rFonts w:ascii="Arial" w:hAnsi="Arial" w:cs="Arial"/>
                                <w:b/>
                                <w:bCs/>
                                <w:i w:val="0"/>
                                <w:iCs w:val="0"/>
                                <w:color w:val="auto"/>
                              </w:rPr>
                              <w:t xml:space="preserve"> </w:t>
                            </w:r>
                            <w:r w:rsidR="008B5C05">
                              <w:rPr>
                                <w:rFonts w:ascii="Arial" w:hAnsi="Arial" w:cs="Arial"/>
                                <w:i w:val="0"/>
                                <w:iCs w:val="0"/>
                                <w:color w:val="auto"/>
                              </w:rPr>
                              <w:t xml:space="preserve">measures how </w:t>
                            </w:r>
                            <w:r w:rsidR="000253B2">
                              <w:rPr>
                                <w:rFonts w:ascii="Arial" w:hAnsi="Arial" w:cs="Arial"/>
                                <w:i w:val="0"/>
                                <w:iCs w:val="0"/>
                                <w:color w:val="auto"/>
                              </w:rPr>
                              <w:t xml:space="preserve">much the variance deviates from the mean, as in the traditional definition of a negative binomial distribution. </w:t>
                            </w:r>
                            <w:r w:rsidRPr="000E166E">
                              <w:rPr>
                                <w:rFonts w:ascii="Arial" w:hAnsi="Arial" w:cs="Arial"/>
                                <w:b/>
                                <w:bCs/>
                                <w:i w:val="0"/>
                                <w:iCs w:val="0"/>
                                <w:color w:val="auto"/>
                              </w:rPr>
                              <w:t>(C)</w:t>
                            </w:r>
                            <w:r w:rsidRPr="000E166E">
                              <w:rPr>
                                <w:rFonts w:ascii="Arial" w:hAnsi="Arial" w:cs="Arial"/>
                                <w:i w:val="0"/>
                                <w:iCs w:val="0"/>
                                <w:color w:val="auto"/>
                              </w:rPr>
                              <w:t xml:space="preserve"> For EWAS</w:t>
                            </w:r>
                            <w:r w:rsidR="00C84A6B">
                              <w:rPr>
                                <w:rFonts w:ascii="Arial" w:hAnsi="Arial" w:cs="Arial"/>
                                <w:i w:val="0"/>
                                <w:iCs w:val="0"/>
                                <w:color w:val="auto"/>
                              </w:rPr>
                              <w:t xml:space="preserve"> (differential methylation analysis)</w:t>
                            </w:r>
                            <w:r w:rsidRPr="000E166E">
                              <w:rPr>
                                <w:rFonts w:ascii="Arial" w:hAnsi="Arial" w:cs="Arial"/>
                                <w:i w:val="0"/>
                                <w:iCs w:val="0"/>
                                <w:color w:val="auto"/>
                              </w:rPr>
                              <w:t>, plot of power (Y-axis) to detect a given proportion of differentially methylated sites (X-axis) across various effect sizes for 850,000 genes, an FDR of 0.01, a significance level of 0.05, and a sample size of 379.</w:t>
                            </w:r>
                            <w:r w:rsidR="000E166E" w:rsidRPr="000E166E">
                              <w:rPr>
                                <w:rFonts w:ascii="Arial" w:hAnsi="Arial" w:cs="Arial"/>
                                <w:i w:val="0"/>
                                <w:iCs w:val="0"/>
                                <w:color w:val="auto"/>
                              </w:rPr>
                              <w:t xml:space="preserve"> The plot provides the estimated power (Y) to detect </w:t>
                            </w:r>
                            <w:r w:rsidR="00C84A6B">
                              <w:rPr>
                                <w:rFonts w:ascii="Arial" w:hAnsi="Arial" w:cs="Arial"/>
                                <w:i w:val="0"/>
                                <w:iCs w:val="0"/>
                                <w:color w:val="auto"/>
                              </w:rPr>
                              <w:t xml:space="preserve">a given proportion of sites </w:t>
                            </w:r>
                            <w:r w:rsidR="000E166E" w:rsidRPr="000E166E">
                              <w:rPr>
                                <w:rFonts w:ascii="Arial" w:hAnsi="Arial" w:cs="Arial"/>
                                <w:i w:val="0"/>
                                <w:iCs w:val="0"/>
                                <w:color w:val="auto"/>
                              </w:rPr>
                              <w:t xml:space="preserve">(X) </w:t>
                            </w:r>
                            <w:r w:rsidR="00C84A6B">
                              <w:rPr>
                                <w:rFonts w:ascii="Arial" w:hAnsi="Arial" w:cs="Arial"/>
                                <w:i w:val="0"/>
                                <w:iCs w:val="0"/>
                                <w:color w:val="auto"/>
                              </w:rPr>
                              <w:t xml:space="preserve">for a </w:t>
                            </w:r>
                            <w:r w:rsidR="00541FA1">
                              <w:rPr>
                                <w:rFonts w:ascii="Arial" w:hAnsi="Arial" w:cs="Arial"/>
                                <w:i w:val="0"/>
                                <w:iCs w:val="0"/>
                                <w:color w:val="auto"/>
                              </w:rPr>
                              <w:t xml:space="preserve">mean difference in 1, 2, 3, or 5% in </w:t>
                            </w:r>
                            <w:r w:rsidR="00517FF9">
                              <w:rPr>
                                <w:rFonts w:ascii="Arial" w:hAnsi="Arial" w:cs="Arial"/>
                                <w:i w:val="0"/>
                                <w:iCs w:val="0"/>
                                <w:color w:val="auto"/>
                              </w:rPr>
                              <w:t>the outcome</w:t>
                            </w:r>
                            <w:r w:rsidR="001F259D">
                              <w:rPr>
                                <w:rFonts w:ascii="Arial" w:hAnsi="Arial" w:cs="Arial"/>
                                <w:i w:val="0"/>
                                <w:iCs w:val="0"/>
                                <w:color w:val="auto"/>
                              </w:rPr>
                              <w:t xml:space="preserve"> per unit of M-value of the CpG site</w:t>
                            </w:r>
                            <w:r w:rsidR="000E166E" w:rsidRPr="000E166E">
                              <w:rPr>
                                <w:rFonts w:ascii="Arial" w:hAnsi="Arial" w:cs="Arial"/>
                                <w:i w:val="0"/>
                                <w:i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D6434B" id="_x0000_t202" coordsize="21600,21600" o:spt="202" path="m,l,21600r21600,l21600,xe">
                <v:stroke joinstyle="miter"/>
                <v:path gradientshapeok="t" o:connecttype="rect"/>
              </v:shapetype>
              <v:shape id="Text Box 2" o:spid="_x0000_s1026" type="#_x0000_t202" style="position:absolute;margin-left:-35.65pt;margin-top:329.1pt;width:10in;height:96.2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" stroked="f">
                <v:textbox inset="0,0,0,0">
                  <w:txbxContent>
                    <w:p w14:paraId="5C280D30" w14:textId="3839CABD" w:rsidR="0059520F" w:rsidRPr="000E166E" w:rsidRDefault="0059520F" w:rsidP="0059520F">
                      <w:pPr>
                        <w:pStyle w:val="Caption"/>
                        <w:rPr>
                          <w:rFonts w:ascii="Arial" w:hAnsi="Arial" w:cs="Arial"/>
                          <w:i w:val="0"/>
                          <w:iCs w:val="0"/>
                          <w:noProof/>
                          <w:color w:val="auto"/>
                        </w:rPr>
                      </w:pPr>
                      <w:r w:rsidRPr="000E166E">
                        <w:rPr>
                          <w:rFonts w:ascii="Arial" w:hAnsi="Arial" w:cs="Arial"/>
                          <w:b/>
                          <w:bCs/>
                          <w:i w:val="0"/>
                          <w:iCs w:val="0"/>
                          <w:color w:val="auto"/>
                        </w:rPr>
                        <w:t>Figure S</w:t>
                      </w:r>
                      <w:r w:rsidRPr="000E166E">
                        <w:rPr>
                          <w:rFonts w:ascii="Arial" w:hAnsi="Arial" w:cs="Arial"/>
                          <w:b/>
                          <w:bCs/>
                          <w:i w:val="0"/>
                          <w:iCs w:val="0"/>
                          <w:color w:val="auto"/>
                        </w:rPr>
                        <w:fldChar w:fldCharType="begin"/>
                      </w:r>
                      <w:r w:rsidRPr="000E166E">
                        <w:rPr>
                          <w:rFonts w:ascii="Arial" w:hAnsi="Arial" w:cs="Arial"/>
                          <w:b/>
                          <w:bCs/>
                          <w:i w:val="0"/>
                          <w:iCs w:val="0"/>
                          <w:color w:val="auto"/>
                        </w:rPr>
                        <w:instrText xml:space="preserve"> SEQ Figure \* ARABIC </w:instrText>
                      </w:r>
                      <w:r w:rsidRPr="000E166E">
                        <w:rPr>
                          <w:rFonts w:ascii="Arial" w:hAnsi="Arial" w:cs="Arial"/>
                          <w:b/>
                          <w:bCs/>
                          <w:i w:val="0"/>
                          <w:iCs w:val="0"/>
                          <w:color w:val="auto"/>
                        </w:rPr>
                        <w:fldChar w:fldCharType="separate"/>
                      </w:r>
                      <w:r w:rsidRPr="000E166E">
                        <w:rPr>
                          <w:rFonts w:ascii="Arial" w:hAnsi="Arial" w:cs="Arial"/>
                          <w:b/>
                          <w:bCs/>
                          <w:i w:val="0"/>
                          <w:iCs w:val="0"/>
                          <w:noProof/>
                          <w:color w:val="auto"/>
                        </w:rPr>
                        <w:t>1</w:t>
                      </w:r>
                      <w:r w:rsidRPr="000E166E">
                        <w:rPr>
                          <w:rFonts w:ascii="Arial" w:hAnsi="Arial" w:cs="Arial"/>
                          <w:b/>
                          <w:bCs/>
                          <w:i w:val="0"/>
                          <w:iCs w:val="0"/>
                          <w:color w:val="auto"/>
                        </w:rPr>
                        <w:fldChar w:fldCharType="end"/>
                      </w:r>
                      <w:r w:rsidRPr="000E166E">
                        <w:rPr>
                          <w:rFonts w:ascii="Arial" w:hAnsi="Arial" w:cs="Arial"/>
                          <w:i w:val="0"/>
                          <w:iCs w:val="0"/>
                          <w:color w:val="auto"/>
                        </w:rPr>
                        <w:t>: Power curves of differential expression and epigenome-wide association analyses</w:t>
                      </w:r>
                      <w:r w:rsidRPr="000E166E">
                        <w:rPr>
                          <w:rFonts w:ascii="Arial" w:hAnsi="Arial" w:cs="Arial"/>
                          <w:color w:val="auto"/>
                        </w:rPr>
                        <w:t>.</w:t>
                      </w:r>
                      <w:r w:rsidRPr="000E166E">
                        <w:rPr>
                          <w:rFonts w:ascii="Arial" w:hAnsi="Arial" w:cs="Arial"/>
                          <w:i w:val="0"/>
                          <w:iCs w:val="0"/>
                          <w:color w:val="auto"/>
                        </w:rPr>
                        <w:t xml:space="preserve"> </w:t>
                      </w:r>
                      <w:r w:rsidRPr="000E166E">
                        <w:rPr>
                          <w:rFonts w:ascii="Arial" w:hAnsi="Arial" w:cs="Arial"/>
                          <w:b/>
                          <w:bCs/>
                          <w:i w:val="0"/>
                          <w:iCs w:val="0"/>
                          <w:color w:val="auto"/>
                        </w:rPr>
                        <w:t>(A)</w:t>
                      </w:r>
                      <w:r w:rsidRPr="000E166E">
                        <w:rPr>
                          <w:rFonts w:ascii="Arial" w:hAnsi="Arial" w:cs="Arial"/>
                          <w:i w:val="0"/>
                          <w:iCs w:val="0"/>
                          <w:color w:val="auto"/>
                        </w:rPr>
                        <w:t xml:space="preserve"> For differential mRNA expression analysis, plot of power (Y-axis) to detect a given fold change (X-axis) across different mean and dispersion settings for </w:t>
                      </w:r>
                      <w:r w:rsidR="001948C9">
                        <w:rPr>
                          <w:rFonts w:ascii="Arial" w:hAnsi="Arial" w:cs="Arial"/>
                          <w:i w:val="0"/>
                          <w:iCs w:val="0"/>
                          <w:color w:val="auto"/>
                        </w:rPr>
                        <w:t xml:space="preserve">expression of </w:t>
                      </w:r>
                      <w:r w:rsidRPr="000E166E">
                        <w:rPr>
                          <w:rFonts w:ascii="Arial" w:hAnsi="Arial" w:cs="Arial"/>
                          <w:i w:val="0"/>
                          <w:iCs w:val="0"/>
                          <w:color w:val="auto"/>
                        </w:rPr>
                        <w:t xml:space="preserve">a gene across 12,000 genes, an FDR of 0.01, a significance level of 0.05, and a sample size of 379. </w:t>
                      </w:r>
                      <w:r w:rsidR="003B6A58" w:rsidRPr="000E166E">
                        <w:rPr>
                          <w:rFonts w:ascii="Arial" w:hAnsi="Arial" w:cs="Arial"/>
                          <w:i w:val="0"/>
                          <w:iCs w:val="0"/>
                          <w:color w:val="auto"/>
                        </w:rPr>
                        <w:t xml:space="preserve">The plot provides the estimated power (Y) to detect the corresponding fold change (X) in a gene whose mRNA expression has provided mean and variance. </w:t>
                      </w:r>
                      <w:r w:rsidRPr="000E166E">
                        <w:rPr>
                          <w:rFonts w:ascii="Arial" w:hAnsi="Arial" w:cs="Arial"/>
                          <w:b/>
                          <w:bCs/>
                          <w:i w:val="0"/>
                          <w:iCs w:val="0"/>
                          <w:color w:val="auto"/>
                        </w:rPr>
                        <w:t>(B)</w:t>
                      </w:r>
                      <w:r w:rsidRPr="000E166E">
                        <w:rPr>
                          <w:rFonts w:ascii="Arial" w:hAnsi="Arial" w:cs="Arial"/>
                          <w:i w:val="0"/>
                          <w:iCs w:val="0"/>
                          <w:color w:val="auto"/>
                        </w:rPr>
                        <w:t xml:space="preserve"> For differential miRNA expression analysis, plot of power (Y-axis) to detect a given fold change (X-axis) across different mean and dispersion settings for a gene across 2,000 genes, an FDR of 0.01, a significance level of 0.05, and a sample size of 379. </w:t>
                      </w:r>
                      <w:r w:rsidR="003B6A58" w:rsidRPr="000E166E">
                        <w:rPr>
                          <w:rFonts w:ascii="Arial" w:hAnsi="Arial" w:cs="Arial"/>
                          <w:i w:val="0"/>
                          <w:iCs w:val="0"/>
                          <w:color w:val="auto"/>
                        </w:rPr>
                        <w:t>The plot provides the estimated power (Y) to detect the corresponding fold change (X) in a</w:t>
                      </w:r>
                      <w:r w:rsidR="000E166E" w:rsidRPr="000E166E">
                        <w:rPr>
                          <w:rFonts w:ascii="Arial" w:hAnsi="Arial" w:cs="Arial"/>
                          <w:i w:val="0"/>
                          <w:iCs w:val="0"/>
                          <w:color w:val="auto"/>
                        </w:rPr>
                        <w:t xml:space="preserve"> miRNA whose </w:t>
                      </w:r>
                      <w:r w:rsidR="003B6A58" w:rsidRPr="000E166E">
                        <w:rPr>
                          <w:rFonts w:ascii="Arial" w:hAnsi="Arial" w:cs="Arial"/>
                          <w:i w:val="0"/>
                          <w:iCs w:val="0"/>
                          <w:color w:val="auto"/>
                        </w:rPr>
                        <w:t>expression has provided mean and variance.</w:t>
                      </w:r>
                      <w:r w:rsidR="003B6A58" w:rsidRPr="000E166E">
                        <w:rPr>
                          <w:rFonts w:ascii="Arial" w:hAnsi="Arial" w:cs="Arial"/>
                          <w:b/>
                          <w:bCs/>
                          <w:i w:val="0"/>
                          <w:iCs w:val="0"/>
                          <w:color w:val="auto"/>
                        </w:rPr>
                        <w:t xml:space="preserve"> </w:t>
                      </w:r>
                      <w:r w:rsidR="008B5C05" w:rsidRPr="008B5C05">
                        <w:rPr>
                          <w:rFonts w:ascii="Arial" w:hAnsi="Arial" w:cs="Arial"/>
                          <w:i w:val="0"/>
                          <w:iCs w:val="0"/>
                          <w:color w:val="auto"/>
                        </w:rPr>
                        <w:t>Here the dispersion of a gene</w:t>
                      </w:r>
                      <w:r w:rsidR="008B5C05">
                        <w:rPr>
                          <w:rFonts w:ascii="Arial" w:hAnsi="Arial" w:cs="Arial"/>
                          <w:b/>
                          <w:bCs/>
                          <w:i w:val="0"/>
                          <w:iCs w:val="0"/>
                          <w:color w:val="auto"/>
                        </w:rPr>
                        <w:t xml:space="preserve"> </w:t>
                      </w:r>
                      <w:r w:rsidR="008B5C05">
                        <w:rPr>
                          <w:rFonts w:ascii="Arial" w:hAnsi="Arial" w:cs="Arial"/>
                          <w:i w:val="0"/>
                          <w:iCs w:val="0"/>
                          <w:color w:val="auto"/>
                        </w:rPr>
                        <w:t xml:space="preserve">measures how </w:t>
                      </w:r>
                      <w:r w:rsidR="000253B2">
                        <w:rPr>
                          <w:rFonts w:ascii="Arial" w:hAnsi="Arial" w:cs="Arial"/>
                          <w:i w:val="0"/>
                          <w:iCs w:val="0"/>
                          <w:color w:val="auto"/>
                        </w:rPr>
                        <w:t xml:space="preserve">much the variance deviates from the mean, as in the traditional definition of a negative binomial distribution. </w:t>
                      </w:r>
                      <w:r w:rsidRPr="000E166E">
                        <w:rPr>
                          <w:rFonts w:ascii="Arial" w:hAnsi="Arial" w:cs="Arial"/>
                          <w:b/>
                          <w:bCs/>
                          <w:i w:val="0"/>
                          <w:iCs w:val="0"/>
                          <w:color w:val="auto"/>
                        </w:rPr>
                        <w:t>(C)</w:t>
                      </w:r>
                      <w:r w:rsidRPr="000E166E">
                        <w:rPr>
                          <w:rFonts w:ascii="Arial" w:hAnsi="Arial" w:cs="Arial"/>
                          <w:i w:val="0"/>
                          <w:iCs w:val="0"/>
                          <w:color w:val="auto"/>
                        </w:rPr>
                        <w:t xml:space="preserve"> For EWAS</w:t>
                      </w:r>
                      <w:r w:rsidR="00C84A6B">
                        <w:rPr>
                          <w:rFonts w:ascii="Arial" w:hAnsi="Arial" w:cs="Arial"/>
                          <w:i w:val="0"/>
                          <w:iCs w:val="0"/>
                          <w:color w:val="auto"/>
                        </w:rPr>
                        <w:t xml:space="preserve"> (differential methylation analysis)</w:t>
                      </w:r>
                      <w:r w:rsidRPr="000E166E">
                        <w:rPr>
                          <w:rFonts w:ascii="Arial" w:hAnsi="Arial" w:cs="Arial"/>
                          <w:i w:val="0"/>
                          <w:iCs w:val="0"/>
                          <w:color w:val="auto"/>
                        </w:rPr>
                        <w:t>, plot of power (Y-axis) to detect a given proportion of differentially methylated sites (X-axis) across various effect sizes for 850,000 genes, an FDR of 0.01, a significance level of 0.05, and a sample size of 379.</w:t>
                      </w:r>
                      <w:r w:rsidR="000E166E" w:rsidRPr="000E166E">
                        <w:rPr>
                          <w:rFonts w:ascii="Arial" w:hAnsi="Arial" w:cs="Arial"/>
                          <w:i w:val="0"/>
                          <w:iCs w:val="0"/>
                          <w:color w:val="auto"/>
                        </w:rPr>
                        <w:t xml:space="preserve"> The plot provides the estimated power (Y) to detect </w:t>
                      </w:r>
                      <w:r w:rsidR="00C84A6B">
                        <w:rPr>
                          <w:rFonts w:ascii="Arial" w:hAnsi="Arial" w:cs="Arial"/>
                          <w:i w:val="0"/>
                          <w:iCs w:val="0"/>
                          <w:color w:val="auto"/>
                        </w:rPr>
                        <w:t xml:space="preserve">a given proportion of sites </w:t>
                      </w:r>
                      <w:r w:rsidR="000E166E" w:rsidRPr="000E166E">
                        <w:rPr>
                          <w:rFonts w:ascii="Arial" w:hAnsi="Arial" w:cs="Arial"/>
                          <w:i w:val="0"/>
                          <w:iCs w:val="0"/>
                          <w:color w:val="auto"/>
                        </w:rPr>
                        <w:t xml:space="preserve">(X) </w:t>
                      </w:r>
                      <w:r w:rsidR="00C84A6B">
                        <w:rPr>
                          <w:rFonts w:ascii="Arial" w:hAnsi="Arial" w:cs="Arial"/>
                          <w:i w:val="0"/>
                          <w:iCs w:val="0"/>
                          <w:color w:val="auto"/>
                        </w:rPr>
                        <w:t xml:space="preserve">for a </w:t>
                      </w:r>
                      <w:r w:rsidR="00541FA1">
                        <w:rPr>
                          <w:rFonts w:ascii="Arial" w:hAnsi="Arial" w:cs="Arial"/>
                          <w:i w:val="0"/>
                          <w:iCs w:val="0"/>
                          <w:color w:val="auto"/>
                        </w:rPr>
                        <w:t xml:space="preserve">mean difference in 1, 2, 3, or 5% in </w:t>
                      </w:r>
                      <w:r w:rsidR="00517FF9">
                        <w:rPr>
                          <w:rFonts w:ascii="Arial" w:hAnsi="Arial" w:cs="Arial"/>
                          <w:i w:val="0"/>
                          <w:iCs w:val="0"/>
                          <w:color w:val="auto"/>
                        </w:rPr>
                        <w:t>the outcome</w:t>
                      </w:r>
                      <w:r w:rsidR="001F259D">
                        <w:rPr>
                          <w:rFonts w:ascii="Arial" w:hAnsi="Arial" w:cs="Arial"/>
                          <w:i w:val="0"/>
                          <w:iCs w:val="0"/>
                          <w:color w:val="auto"/>
                        </w:rPr>
                        <w:t xml:space="preserve"> per unit of M-value of the CpG site</w:t>
                      </w:r>
                      <w:r w:rsidR="000E166E" w:rsidRPr="000E166E">
                        <w:rPr>
                          <w:rFonts w:ascii="Arial" w:hAnsi="Arial" w:cs="Arial"/>
                          <w:i w:val="0"/>
                          <w:iCs w:val="0"/>
                          <w:color w:val="auto"/>
                        </w:rPr>
                        <w:t>.</w:t>
                      </w:r>
                    </w:p>
                  </w:txbxContent>
                </v:textbox>
                <w10:wrap type="square" anchorx="margin"/>
              </v:shape>
            </w:pict>
          </mc:Fallback>
        </mc:AlternateContent>
      </w:r>
      <w:r>
        <w:rPr>
          <w:rFonts w:ascii="Arial" w:hAnsi="Arial" w:cs="Arial"/>
          <w:noProof/>
          <w:sz w:val="20"/>
          <w:szCs w:val="20"/>
        </w:rPr>
        <w:drawing>
          <wp:anchor distT="0" distB="0" distL="114300" distR="114300" simplePos="0" relativeHeight="251658240" behindDoc="1" locked="0" layoutInCell="1" allowOverlap="1" wp14:anchorId="63D4D69D" wp14:editId="319E4F85">
            <wp:simplePos x="0" y="0"/>
            <wp:positionH relativeFrom="margin">
              <wp:posOffset>-457200</wp:posOffset>
            </wp:positionH>
            <wp:positionV relativeFrom="paragraph">
              <wp:posOffset>193040</wp:posOffset>
            </wp:positionV>
            <wp:extent cx="9144000" cy="3810000"/>
            <wp:effectExtent l="0" t="0" r="0" b="0"/>
            <wp:wrapTight wrapText="bothSides">
              <wp:wrapPolygon edited="0">
                <wp:start x="0" y="0"/>
                <wp:lineTo x="0" y="21492"/>
                <wp:lineTo x="21555" y="21492"/>
                <wp:lineTo x="21555" y="0"/>
                <wp:lineTo x="0" y="0"/>
              </wp:wrapPolygon>
            </wp:wrapTight>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0" cy="3810000"/>
                    </a:xfrm>
                    <a:prstGeom prst="rect">
                      <a:avLst/>
                    </a:prstGeom>
                  </pic:spPr>
                </pic:pic>
              </a:graphicData>
            </a:graphic>
            <wp14:sizeRelH relativeFrom="page">
              <wp14:pctWidth>0</wp14:pctWidth>
            </wp14:sizeRelH>
            <wp14:sizeRelV relativeFrom="page">
              <wp14:pctHeight>0</wp14:pctHeight>
            </wp14:sizeRelV>
          </wp:anchor>
        </w:drawing>
      </w:r>
    </w:p>
    <w:p w14:paraId="4D8EFC3F" w14:textId="77777777" w:rsidR="0059520F" w:rsidRDefault="0059520F" w:rsidP="0059520F">
      <w:pPr>
        <w:rPr>
          <w:rFonts w:ascii="Arial" w:hAnsi="Arial" w:cs="Arial"/>
          <w:sz w:val="20"/>
          <w:szCs w:val="20"/>
        </w:rPr>
        <w:sectPr w:rsidR="0059520F" w:rsidSect="0059520F">
          <w:headerReference w:type="default" r:id="rId8"/>
          <w:pgSz w:w="15840" w:h="12240" w:orient="landscape"/>
          <w:pgMar w:top="1440" w:right="1440" w:bottom="1440" w:left="1440" w:header="720" w:footer="720" w:gutter="0"/>
          <w:cols w:space="720"/>
          <w:docGrid w:linePitch="360"/>
        </w:sectPr>
      </w:pPr>
    </w:p>
    <w:p w14:paraId="602DB236" w14:textId="4149641E" w:rsidR="0059520F" w:rsidRPr="0059520F" w:rsidRDefault="003540EC" w:rsidP="0059520F">
      <w:pPr>
        <w:rPr>
          <w:rFonts w:ascii="Arial" w:hAnsi="Arial" w:cs="Arial"/>
          <w:sz w:val="20"/>
          <w:szCs w:val="20"/>
        </w:rPr>
      </w:pPr>
      <w:r w:rsidRPr="0059520F">
        <w:rPr>
          <w:rFonts w:ascii="Arial" w:hAnsi="Arial" w:cs="Arial"/>
          <w:noProof/>
          <w:sz w:val="20"/>
          <w:szCs w:val="20"/>
        </w:rPr>
        <w:lastRenderedPageBreak/>
        <mc:AlternateContent>
          <mc:Choice Requires="wps">
            <w:drawing>
              <wp:anchor distT="0" distB="0" distL="114300" distR="114300" simplePos="0" relativeHeight="251663360" behindDoc="1" locked="0" layoutInCell="1" allowOverlap="1" wp14:anchorId="6C0FE75C" wp14:editId="037ADAFF">
                <wp:simplePos x="0" y="0"/>
                <wp:positionH relativeFrom="margin">
                  <wp:posOffset>-457200</wp:posOffset>
                </wp:positionH>
                <wp:positionV relativeFrom="paragraph">
                  <wp:posOffset>4467935</wp:posOffset>
                </wp:positionV>
                <wp:extent cx="914400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9144000" cy="635"/>
                        </a:xfrm>
                        <a:prstGeom prst="rect">
                          <a:avLst/>
                        </a:prstGeom>
                        <a:solidFill>
                          <a:prstClr val="white"/>
                        </a:solidFill>
                        <a:ln>
                          <a:noFill/>
                        </a:ln>
                      </wps:spPr>
                      <wps:txbx>
                        <w:txbxContent>
                          <w:p w14:paraId="4AD0822D" w14:textId="7080C574" w:rsidR="0059520F" w:rsidRPr="0059520F" w:rsidRDefault="0059520F" w:rsidP="0059520F">
                            <w:pPr>
                              <w:pStyle w:val="Caption"/>
                              <w:rPr>
                                <w:rFonts w:ascii="Arial" w:hAnsi="Arial" w:cs="Arial"/>
                                <w:i w:val="0"/>
                                <w:iCs w:val="0"/>
                                <w:noProof/>
                                <w:color w:val="auto"/>
                                <w:sz w:val="20"/>
                                <w:szCs w:val="20"/>
                              </w:rPr>
                            </w:pPr>
                            <w:r w:rsidRPr="0059520F">
                              <w:rPr>
                                <w:rFonts w:ascii="Arial" w:hAnsi="Arial" w:cs="Arial"/>
                                <w:b/>
                                <w:bCs/>
                                <w:i w:val="0"/>
                                <w:iCs w:val="0"/>
                                <w:color w:val="auto"/>
                                <w:sz w:val="20"/>
                                <w:szCs w:val="20"/>
                              </w:rPr>
                              <w:t>Figure S2</w:t>
                            </w:r>
                            <w:r w:rsidRPr="0059520F">
                              <w:rPr>
                                <w:rFonts w:ascii="Arial" w:hAnsi="Arial" w:cs="Arial"/>
                                <w:i w:val="0"/>
                                <w:iCs w:val="0"/>
                                <w:color w:val="auto"/>
                                <w:sz w:val="20"/>
                                <w:szCs w:val="20"/>
                              </w:rPr>
                              <w:t xml:space="preserve">: Manhattan plots of one-way </w:t>
                            </w:r>
                            <w:proofErr w:type="spellStart"/>
                            <w:r w:rsidRPr="0059520F">
                              <w:rPr>
                                <w:rFonts w:ascii="Arial" w:hAnsi="Arial" w:cs="Arial"/>
                                <w:i w:val="0"/>
                                <w:iCs w:val="0"/>
                                <w:color w:val="auto"/>
                                <w:sz w:val="20"/>
                                <w:szCs w:val="20"/>
                              </w:rPr>
                              <w:t>omic</w:t>
                            </w:r>
                            <w:proofErr w:type="spellEnd"/>
                            <w:r w:rsidRPr="0059520F">
                              <w:rPr>
                                <w:rFonts w:ascii="Arial" w:hAnsi="Arial" w:cs="Arial"/>
                                <w:i w:val="0"/>
                                <w:iCs w:val="0"/>
                                <w:color w:val="auto"/>
                                <w:sz w:val="20"/>
                                <w:szCs w:val="20"/>
                              </w:rPr>
                              <w:t xml:space="preserve"> association tests for IQ and SRS. Manhattan plots for one-way tests of association for methylation (top), miRNA (middle), and mRNA expression with IQ </w:t>
                            </w:r>
                            <w:r w:rsidRPr="0059520F">
                              <w:rPr>
                                <w:rFonts w:ascii="Arial" w:hAnsi="Arial" w:cs="Arial"/>
                                <w:b/>
                                <w:bCs/>
                                <w:i w:val="0"/>
                                <w:iCs w:val="0"/>
                                <w:color w:val="auto"/>
                                <w:sz w:val="20"/>
                                <w:szCs w:val="20"/>
                              </w:rPr>
                              <w:t>(A)</w:t>
                            </w:r>
                            <w:r w:rsidRPr="0059520F">
                              <w:rPr>
                                <w:rFonts w:ascii="Arial" w:hAnsi="Arial" w:cs="Arial"/>
                                <w:i w:val="0"/>
                                <w:iCs w:val="0"/>
                                <w:color w:val="auto"/>
                                <w:sz w:val="20"/>
                                <w:szCs w:val="20"/>
                              </w:rPr>
                              <w:t xml:space="preserve"> and SRS </w:t>
                            </w:r>
                            <w:r w:rsidRPr="0059520F">
                              <w:rPr>
                                <w:rFonts w:ascii="Arial" w:hAnsi="Arial" w:cs="Arial"/>
                                <w:b/>
                                <w:bCs/>
                                <w:i w:val="0"/>
                                <w:iCs w:val="0"/>
                                <w:color w:val="auto"/>
                                <w:sz w:val="20"/>
                                <w:szCs w:val="20"/>
                              </w:rPr>
                              <w:t>(B)</w:t>
                            </w:r>
                            <w:r w:rsidRPr="0059520F">
                              <w:rPr>
                                <w:rFonts w:ascii="Arial" w:hAnsi="Arial" w:cs="Arial"/>
                                <w:i w:val="0"/>
                                <w:iCs w:val="0"/>
                                <w:color w:val="auto"/>
                                <w:sz w:val="20"/>
                                <w:szCs w:val="20"/>
                              </w:rPr>
                              <w:t xml:space="preserve">. The X-axis plots the genomic position of the biomarker and the Y-axis plots the </w:t>
                            </w:r>
                            <w:proofErr w:type="spellStart"/>
                            <w:r w:rsidRPr="0059520F">
                              <w:rPr>
                                <w:rFonts w:ascii="Arial" w:hAnsi="Arial" w:cs="Arial"/>
                                <w:i w:val="0"/>
                                <w:iCs w:val="0"/>
                                <w:color w:val="auto"/>
                                <w:sz w:val="20"/>
                                <w:szCs w:val="20"/>
                              </w:rPr>
                              <w:t>Benjamini</w:t>
                            </w:r>
                            <w:proofErr w:type="spellEnd"/>
                            <w:r w:rsidRPr="0059520F">
                              <w:rPr>
                                <w:rFonts w:ascii="Arial" w:hAnsi="Arial" w:cs="Arial"/>
                                <w:i w:val="0"/>
                                <w:iCs w:val="0"/>
                                <w:color w:val="auto"/>
                                <w:sz w:val="20"/>
                                <w:szCs w:val="20"/>
                              </w:rPr>
                              <w:t>-Hochberg FDR-adjusted P-value for the association with the given outcome. The dotted line provides a reference of FDR-adjusted P=0.05, and the solid line provides a reference of FDR-adjusted P=0.01. Biomarkers are labelled with their association has FDR-adjusted P=0.01.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C0FE75C" id="Text Box 3" o:spid="_x0000_s1027" type="#_x0000_t202" style="position:absolute;margin-left:-36pt;margin-top:351.8pt;width:10in;height:.0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" stroked="f">
                <v:textbox style="mso-fit-shape-to-text:t" inset="0,0,0,0">
                  <w:txbxContent>
                    <w:p w14:paraId="4AD0822D" w14:textId="7080C574" w:rsidR="0059520F" w:rsidRPr="0059520F" w:rsidRDefault="0059520F" w:rsidP="0059520F">
                      <w:pPr>
                        <w:pStyle w:val="Caption"/>
                        <w:rPr>
                          <w:rFonts w:ascii="Arial" w:hAnsi="Arial" w:cs="Arial"/>
                          <w:i w:val="0"/>
                          <w:iCs w:val="0"/>
                          <w:noProof/>
                          <w:color w:val="auto"/>
                          <w:sz w:val="20"/>
                          <w:szCs w:val="20"/>
                        </w:rPr>
                      </w:pPr>
                      <w:r w:rsidRPr="0059520F">
                        <w:rPr>
                          <w:rFonts w:ascii="Arial" w:hAnsi="Arial" w:cs="Arial"/>
                          <w:b/>
                          <w:bCs/>
                          <w:i w:val="0"/>
                          <w:iCs w:val="0"/>
                          <w:color w:val="auto"/>
                          <w:sz w:val="20"/>
                          <w:szCs w:val="20"/>
                        </w:rPr>
                        <w:t>Figure S2</w:t>
                      </w:r>
                      <w:r w:rsidRPr="0059520F">
                        <w:rPr>
                          <w:rFonts w:ascii="Arial" w:hAnsi="Arial" w:cs="Arial"/>
                          <w:i w:val="0"/>
                          <w:iCs w:val="0"/>
                          <w:color w:val="auto"/>
                          <w:sz w:val="20"/>
                          <w:szCs w:val="20"/>
                        </w:rPr>
                        <w:t xml:space="preserve">: Manhattan plots of one-way </w:t>
                      </w:r>
                      <w:proofErr w:type="spellStart"/>
                      <w:r w:rsidRPr="0059520F">
                        <w:rPr>
                          <w:rFonts w:ascii="Arial" w:hAnsi="Arial" w:cs="Arial"/>
                          <w:i w:val="0"/>
                          <w:iCs w:val="0"/>
                          <w:color w:val="auto"/>
                          <w:sz w:val="20"/>
                          <w:szCs w:val="20"/>
                        </w:rPr>
                        <w:t>omic</w:t>
                      </w:r>
                      <w:proofErr w:type="spellEnd"/>
                      <w:r w:rsidRPr="0059520F">
                        <w:rPr>
                          <w:rFonts w:ascii="Arial" w:hAnsi="Arial" w:cs="Arial"/>
                          <w:i w:val="0"/>
                          <w:iCs w:val="0"/>
                          <w:color w:val="auto"/>
                          <w:sz w:val="20"/>
                          <w:szCs w:val="20"/>
                        </w:rPr>
                        <w:t xml:space="preserve"> association tests for IQ and SRS. Manhattan plots for one-way tests of association for methylation (top), miRNA (middle), and mRNA expression with IQ </w:t>
                      </w:r>
                      <w:r w:rsidRPr="0059520F">
                        <w:rPr>
                          <w:rFonts w:ascii="Arial" w:hAnsi="Arial" w:cs="Arial"/>
                          <w:b/>
                          <w:bCs/>
                          <w:i w:val="0"/>
                          <w:iCs w:val="0"/>
                          <w:color w:val="auto"/>
                          <w:sz w:val="20"/>
                          <w:szCs w:val="20"/>
                        </w:rPr>
                        <w:t>(A)</w:t>
                      </w:r>
                      <w:r w:rsidRPr="0059520F">
                        <w:rPr>
                          <w:rFonts w:ascii="Arial" w:hAnsi="Arial" w:cs="Arial"/>
                          <w:i w:val="0"/>
                          <w:iCs w:val="0"/>
                          <w:color w:val="auto"/>
                          <w:sz w:val="20"/>
                          <w:szCs w:val="20"/>
                        </w:rPr>
                        <w:t xml:space="preserve"> and SRS </w:t>
                      </w:r>
                      <w:r w:rsidRPr="0059520F">
                        <w:rPr>
                          <w:rFonts w:ascii="Arial" w:hAnsi="Arial" w:cs="Arial"/>
                          <w:b/>
                          <w:bCs/>
                          <w:i w:val="0"/>
                          <w:iCs w:val="0"/>
                          <w:color w:val="auto"/>
                          <w:sz w:val="20"/>
                          <w:szCs w:val="20"/>
                        </w:rPr>
                        <w:t>(B)</w:t>
                      </w:r>
                      <w:r w:rsidRPr="0059520F">
                        <w:rPr>
                          <w:rFonts w:ascii="Arial" w:hAnsi="Arial" w:cs="Arial"/>
                          <w:i w:val="0"/>
                          <w:iCs w:val="0"/>
                          <w:color w:val="auto"/>
                          <w:sz w:val="20"/>
                          <w:szCs w:val="20"/>
                        </w:rPr>
                        <w:t xml:space="preserve">. The X-axis plots the genomic position of the biomarker and the Y-axis plots the </w:t>
                      </w:r>
                      <w:proofErr w:type="spellStart"/>
                      <w:r w:rsidRPr="0059520F">
                        <w:rPr>
                          <w:rFonts w:ascii="Arial" w:hAnsi="Arial" w:cs="Arial"/>
                          <w:i w:val="0"/>
                          <w:iCs w:val="0"/>
                          <w:color w:val="auto"/>
                          <w:sz w:val="20"/>
                          <w:szCs w:val="20"/>
                        </w:rPr>
                        <w:t>Benjamini</w:t>
                      </w:r>
                      <w:proofErr w:type="spellEnd"/>
                      <w:r w:rsidRPr="0059520F">
                        <w:rPr>
                          <w:rFonts w:ascii="Arial" w:hAnsi="Arial" w:cs="Arial"/>
                          <w:i w:val="0"/>
                          <w:iCs w:val="0"/>
                          <w:color w:val="auto"/>
                          <w:sz w:val="20"/>
                          <w:szCs w:val="20"/>
                        </w:rPr>
                        <w:t>-Hochberg FDR-adjusted P-value for the association with the given outcome. The dotted line provides a reference of FDR-adjusted P=0.05, and the solid line provides a reference of FDR-adjusted P=0.01. Biomarkers are labelled with their association has FDR-adjusted P=0.01.</w:t>
                      </w:r>
                    </w:p>
                  </w:txbxContent>
                </v:textbox>
                <w10:wrap type="square" anchorx="margin"/>
              </v:shape>
            </w:pict>
          </mc:Fallback>
        </mc:AlternateContent>
      </w:r>
      <w:r w:rsidR="0059520F" w:rsidRPr="0059520F">
        <w:rPr>
          <w:rFonts w:ascii="Arial" w:hAnsi="Arial" w:cs="Arial"/>
          <w:noProof/>
          <w:sz w:val="20"/>
          <w:szCs w:val="20"/>
        </w:rPr>
        <w:drawing>
          <wp:anchor distT="0" distB="0" distL="114300" distR="114300" simplePos="0" relativeHeight="251662336" behindDoc="1" locked="0" layoutInCell="1" allowOverlap="1" wp14:anchorId="538E05AD" wp14:editId="42220FAD">
            <wp:simplePos x="0" y="0"/>
            <wp:positionH relativeFrom="margin">
              <wp:align>center</wp:align>
            </wp:positionH>
            <wp:positionV relativeFrom="paragraph">
              <wp:posOffset>361950</wp:posOffset>
            </wp:positionV>
            <wp:extent cx="9144000" cy="3920818"/>
            <wp:effectExtent l="0" t="0" r="0" b="3810"/>
            <wp:wrapTight wrapText="bothSides">
              <wp:wrapPolygon edited="0">
                <wp:start x="0" y="0"/>
                <wp:lineTo x="0" y="21516"/>
                <wp:lineTo x="21555" y="21516"/>
                <wp:lineTo x="2155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9144000" cy="3920818"/>
                    </a:xfrm>
                    <a:prstGeom prst="rect">
                      <a:avLst/>
                    </a:prstGeom>
                  </pic:spPr>
                </pic:pic>
              </a:graphicData>
            </a:graphic>
            <wp14:sizeRelH relativeFrom="page">
              <wp14:pctWidth>0</wp14:pctWidth>
            </wp14:sizeRelH>
            <wp14:sizeRelV relativeFrom="page">
              <wp14:pctHeight>0</wp14:pctHeight>
            </wp14:sizeRelV>
          </wp:anchor>
        </w:drawing>
      </w:r>
    </w:p>
    <w:p w14:paraId="35663792" w14:textId="3FDF25B6" w:rsidR="00D07DF1" w:rsidRDefault="00D07DF1" w:rsidP="0059520F">
      <w:pPr>
        <w:rPr>
          <w:rFonts w:ascii="Arial" w:hAnsi="Arial" w:cs="Arial"/>
          <w:sz w:val="20"/>
          <w:szCs w:val="20"/>
        </w:rPr>
      </w:pPr>
    </w:p>
    <w:p w14:paraId="6EB6930D" w14:textId="77777777" w:rsidR="00D07DF1" w:rsidRDefault="00D07DF1">
      <w:pPr>
        <w:rPr>
          <w:rFonts w:ascii="Arial" w:hAnsi="Arial" w:cs="Arial"/>
          <w:sz w:val="20"/>
          <w:szCs w:val="20"/>
        </w:rPr>
      </w:pPr>
      <w:r>
        <w:rPr>
          <w:rFonts w:ascii="Arial" w:hAnsi="Arial" w:cs="Arial"/>
          <w:sz w:val="20"/>
          <w:szCs w:val="20"/>
        </w:rPr>
        <w:br w:type="page"/>
      </w:r>
    </w:p>
    <w:p w14:paraId="1EFA7BB4" w14:textId="39359595" w:rsidR="00D07DF1" w:rsidRDefault="00D07DF1">
      <w:pPr>
        <w:rPr>
          <w:rFonts w:ascii="Arial" w:hAnsi="Arial" w:cs="Arial"/>
          <w:sz w:val="20"/>
          <w:szCs w:val="20"/>
        </w:rPr>
      </w:pPr>
    </w:p>
    <w:p w14:paraId="31FC7299" w14:textId="31B8606B" w:rsidR="0059520F" w:rsidRPr="0059520F" w:rsidRDefault="0059520F" w:rsidP="0059520F">
      <w:pPr>
        <w:rPr>
          <w:rFonts w:ascii="Arial" w:hAnsi="Arial" w:cs="Arial"/>
          <w:sz w:val="20"/>
          <w:szCs w:val="20"/>
        </w:rPr>
      </w:pPr>
      <w:r w:rsidRPr="0059520F">
        <w:rPr>
          <w:rFonts w:ascii="Arial" w:hAnsi="Arial" w:cs="Arial"/>
          <w:noProof/>
          <w:sz w:val="20"/>
          <w:szCs w:val="20"/>
        </w:rPr>
        <mc:AlternateContent>
          <mc:Choice Requires="wps">
            <w:drawing>
              <wp:anchor distT="0" distB="0" distL="114300" distR="114300" simplePos="0" relativeHeight="251666432" behindDoc="1" locked="0" layoutInCell="1" allowOverlap="1" wp14:anchorId="0DD0CB5C" wp14:editId="67254A9A">
                <wp:simplePos x="0" y="0"/>
                <wp:positionH relativeFrom="margin">
                  <wp:align>center</wp:align>
                </wp:positionH>
                <wp:positionV relativeFrom="paragraph">
                  <wp:posOffset>4615815</wp:posOffset>
                </wp:positionV>
                <wp:extent cx="9144000" cy="635"/>
                <wp:effectExtent l="0" t="0" r="0" b="5715"/>
                <wp:wrapSquare wrapText="bothSides"/>
                <wp:docPr id="5" name="Text Box 5"/>
                <wp:cNvGraphicFramePr/>
                <a:graphic xmlns:a="http://schemas.openxmlformats.org/drawingml/2006/main">
                  <a:graphicData uri="http://schemas.microsoft.com/office/word/2010/wordprocessingShape">
                    <wps:wsp>
                      <wps:cNvSpPr txBox="1"/>
                      <wps:spPr>
                        <a:xfrm>
                          <a:off x="0" y="0"/>
                          <a:ext cx="9144000" cy="635"/>
                        </a:xfrm>
                        <a:prstGeom prst="rect">
                          <a:avLst/>
                        </a:prstGeom>
                        <a:solidFill>
                          <a:prstClr val="white"/>
                        </a:solidFill>
                        <a:ln>
                          <a:noFill/>
                        </a:ln>
                      </wps:spPr>
                      <wps:txbx>
                        <w:txbxContent>
                          <w:p w14:paraId="3DA41E59" w14:textId="44539452" w:rsidR="0059520F" w:rsidRPr="000144EE" w:rsidRDefault="0059520F" w:rsidP="0059520F">
                            <w:pPr>
                              <w:autoSpaceDE w:val="0"/>
                              <w:autoSpaceDN w:val="0"/>
                              <w:adjustRightInd w:val="0"/>
                              <w:spacing w:after="0" w:line="240" w:lineRule="auto"/>
                              <w:rPr>
                                <w:rFonts w:ascii="Arial" w:hAnsi="Arial" w:cs="Arial"/>
                                <w:i/>
                                <w:iCs/>
                                <w:noProof/>
                                <w:sz w:val="20"/>
                                <w:szCs w:val="20"/>
                              </w:rPr>
                            </w:pPr>
                            <w:r w:rsidRPr="000144EE">
                              <w:rPr>
                                <w:rFonts w:ascii="Arial" w:hAnsi="Arial" w:cs="Arial"/>
                                <w:b/>
                                <w:bCs/>
                                <w:sz w:val="20"/>
                                <w:szCs w:val="20"/>
                              </w:rPr>
                              <w:t>Figure S</w:t>
                            </w:r>
                            <w:r w:rsidR="001948C9">
                              <w:rPr>
                                <w:rFonts w:ascii="Arial" w:hAnsi="Arial" w:cs="Arial"/>
                                <w:b/>
                                <w:bCs/>
                                <w:sz w:val="20"/>
                                <w:szCs w:val="20"/>
                              </w:rPr>
                              <w:t>3</w:t>
                            </w:r>
                            <w:r w:rsidRPr="000144EE">
                              <w:rPr>
                                <w:rFonts w:ascii="Arial" w:hAnsi="Arial" w:cs="Arial"/>
                                <w:sz w:val="20"/>
                                <w:szCs w:val="20"/>
                              </w:rPr>
                              <w:t xml:space="preserve">: Sparse correlative networks between top predictive biomarkers of IQ and SRS. Using the top 50 </w:t>
                            </w:r>
                            <w:proofErr w:type="spellStart"/>
                            <w:r w:rsidRPr="000144EE">
                              <w:rPr>
                                <w:rFonts w:ascii="Arial" w:hAnsi="Arial" w:cs="Arial"/>
                                <w:sz w:val="20"/>
                                <w:szCs w:val="20"/>
                              </w:rPr>
                              <w:t>CpGs</w:t>
                            </w:r>
                            <w:proofErr w:type="spellEnd"/>
                            <w:r w:rsidRPr="000144EE">
                              <w:rPr>
                                <w:rFonts w:ascii="Arial" w:hAnsi="Arial" w:cs="Arial"/>
                                <w:sz w:val="20"/>
                                <w:szCs w:val="20"/>
                              </w:rPr>
                              <w:t xml:space="preserve"> (orange nodes), top 50 miRNAs (blue), and top 50 mRNAs (red) that are predictive of IQ (left) and SRS (right), we inferred sparse correlative networks. Nodes are biomarkers and edges show correlations between biomarkers. Positive correlations are shown in green, negative correlations are shown in red, and the thickness of the edge gives the absolute magnitude of correlation.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DD0CB5C" id="Text Box 5" o:spid="_x0000_s1028" type="#_x0000_t202" style="position:absolute;margin-left:0;margin-top:363.45pt;width:10in;height:.05pt;z-index:-2516500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" stroked="f">
                <v:textbox style="mso-fit-shape-to-text:t" inset="0,0,0,0">
                  <w:txbxContent>
                    <w:p w14:paraId="3DA41E59" w14:textId="44539452" w:rsidR="0059520F" w:rsidRPr="000144EE" w:rsidRDefault="0059520F" w:rsidP="0059520F">
                      <w:pPr>
                        <w:autoSpaceDE w:val="0"/>
                        <w:autoSpaceDN w:val="0"/>
                        <w:adjustRightInd w:val="0"/>
                        <w:spacing w:after="0" w:line="240" w:lineRule="auto"/>
                        <w:rPr>
                          <w:rFonts w:ascii="Arial" w:hAnsi="Arial" w:cs="Arial"/>
                          <w:i/>
                          <w:iCs/>
                          <w:noProof/>
                          <w:sz w:val="20"/>
                          <w:szCs w:val="20"/>
                        </w:rPr>
                      </w:pPr>
                      <w:r w:rsidRPr="000144EE">
                        <w:rPr>
                          <w:rFonts w:ascii="Arial" w:hAnsi="Arial" w:cs="Arial"/>
                          <w:b/>
                          <w:bCs/>
                          <w:sz w:val="20"/>
                          <w:szCs w:val="20"/>
                        </w:rPr>
                        <w:t>Figure S</w:t>
                      </w:r>
                      <w:r w:rsidR="001948C9">
                        <w:rPr>
                          <w:rFonts w:ascii="Arial" w:hAnsi="Arial" w:cs="Arial"/>
                          <w:b/>
                          <w:bCs/>
                          <w:sz w:val="20"/>
                          <w:szCs w:val="20"/>
                        </w:rPr>
                        <w:t>3</w:t>
                      </w:r>
                      <w:r w:rsidRPr="000144EE">
                        <w:rPr>
                          <w:rFonts w:ascii="Arial" w:hAnsi="Arial" w:cs="Arial"/>
                          <w:sz w:val="20"/>
                          <w:szCs w:val="20"/>
                        </w:rPr>
                        <w:t>: Sparse correlative networks between top predictive biomarkers of IQ and SRS. Using the top 50 CpGs (orange nodes), top 50 miRNAs (blue), and top 50 mRNAs (red) that are predictive of IQ (left) and SRS (right), we inferred sparse correlative networks. Nodes are biomarkers and edges show correlations between biomarkers. Positive correlations are shown in green, negative correlations are shown in red, and the thickness of the edge gives the absolute magnitude of correlation.</w:t>
                      </w:r>
                    </w:p>
                  </w:txbxContent>
                </v:textbox>
                <w10:wrap type="square" anchorx="margin"/>
              </v:shape>
            </w:pict>
          </mc:Fallback>
        </mc:AlternateContent>
      </w:r>
      <w:r w:rsidRPr="0059520F">
        <w:rPr>
          <w:rFonts w:ascii="Arial" w:hAnsi="Arial" w:cs="Arial"/>
          <w:noProof/>
          <w:sz w:val="20"/>
          <w:szCs w:val="20"/>
        </w:rPr>
        <w:drawing>
          <wp:anchor distT="0" distB="0" distL="114300" distR="114300" simplePos="0" relativeHeight="251665408" behindDoc="1" locked="0" layoutInCell="1" allowOverlap="1" wp14:anchorId="41FA4534" wp14:editId="654C0C8C">
            <wp:simplePos x="0" y="0"/>
            <wp:positionH relativeFrom="margin">
              <wp:align>center</wp:align>
            </wp:positionH>
            <wp:positionV relativeFrom="paragraph">
              <wp:posOffset>0</wp:posOffset>
            </wp:positionV>
            <wp:extent cx="9144000" cy="4644977"/>
            <wp:effectExtent l="0" t="0" r="0" b="3810"/>
            <wp:wrapTight wrapText="bothSides">
              <wp:wrapPolygon edited="0">
                <wp:start x="0" y="0"/>
                <wp:lineTo x="0" y="21529"/>
                <wp:lineTo x="21555" y="21529"/>
                <wp:lineTo x="2155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9144000" cy="4644977"/>
                    </a:xfrm>
                    <a:prstGeom prst="rect">
                      <a:avLst/>
                    </a:prstGeom>
                  </pic:spPr>
                </pic:pic>
              </a:graphicData>
            </a:graphic>
            <wp14:sizeRelH relativeFrom="page">
              <wp14:pctWidth>0</wp14:pctWidth>
            </wp14:sizeRelH>
            <wp14:sizeRelV relativeFrom="page">
              <wp14:pctHeight>0</wp14:pctHeight>
            </wp14:sizeRelV>
          </wp:anchor>
        </w:drawing>
      </w:r>
    </w:p>
    <w:p w14:paraId="2DA0318C" w14:textId="77777777" w:rsidR="00267F9B" w:rsidRDefault="00267F9B" w:rsidP="0059520F">
      <w:pPr>
        <w:rPr>
          <w:rFonts w:ascii="Arial" w:hAnsi="Arial" w:cs="Arial"/>
          <w:sz w:val="20"/>
          <w:szCs w:val="20"/>
        </w:rPr>
        <w:sectPr w:rsidR="00267F9B" w:rsidSect="0059520F">
          <w:pgSz w:w="15840" w:h="12240" w:orient="landscape"/>
          <w:pgMar w:top="1440" w:right="1440" w:bottom="1440" w:left="1440" w:header="720" w:footer="720" w:gutter="0"/>
          <w:cols w:space="720"/>
          <w:docGrid w:linePitch="360"/>
        </w:sectPr>
      </w:pPr>
    </w:p>
    <w:p w14:paraId="091F101F" w14:textId="27700A12" w:rsidR="0009580B" w:rsidRPr="0009580B" w:rsidRDefault="0009580B" w:rsidP="0009580B">
      <w:pPr>
        <w:pStyle w:val="Caption"/>
        <w:keepNext/>
        <w:rPr>
          <w:rFonts w:ascii="Arial" w:hAnsi="Arial" w:cs="Arial"/>
          <w:i w:val="0"/>
          <w:iCs w:val="0"/>
          <w:color w:val="auto"/>
          <w:sz w:val="20"/>
          <w:szCs w:val="20"/>
        </w:rPr>
      </w:pPr>
      <w:r w:rsidRPr="0009580B">
        <w:rPr>
          <w:rFonts w:ascii="Arial" w:hAnsi="Arial" w:cs="Arial"/>
          <w:b/>
          <w:bCs/>
          <w:i w:val="0"/>
          <w:iCs w:val="0"/>
          <w:color w:val="auto"/>
          <w:sz w:val="20"/>
          <w:szCs w:val="20"/>
        </w:rPr>
        <w:lastRenderedPageBreak/>
        <w:t>Table S</w:t>
      </w:r>
      <w:r w:rsidRPr="0009580B">
        <w:rPr>
          <w:rFonts w:ascii="Arial" w:hAnsi="Arial" w:cs="Arial"/>
          <w:b/>
          <w:bCs/>
          <w:i w:val="0"/>
          <w:iCs w:val="0"/>
          <w:color w:val="auto"/>
          <w:sz w:val="20"/>
          <w:szCs w:val="20"/>
        </w:rPr>
        <w:fldChar w:fldCharType="begin"/>
      </w:r>
      <w:r w:rsidRPr="0009580B">
        <w:rPr>
          <w:rFonts w:ascii="Arial" w:hAnsi="Arial" w:cs="Arial"/>
          <w:b/>
          <w:bCs/>
          <w:i w:val="0"/>
          <w:iCs w:val="0"/>
          <w:color w:val="auto"/>
          <w:sz w:val="20"/>
          <w:szCs w:val="20"/>
        </w:rPr>
        <w:instrText xml:space="preserve"> SEQ Table \* ARABIC </w:instrText>
      </w:r>
      <w:r w:rsidRPr="0009580B">
        <w:rPr>
          <w:rFonts w:ascii="Arial" w:hAnsi="Arial" w:cs="Arial"/>
          <w:b/>
          <w:bCs/>
          <w:i w:val="0"/>
          <w:iCs w:val="0"/>
          <w:color w:val="auto"/>
          <w:sz w:val="20"/>
          <w:szCs w:val="20"/>
        </w:rPr>
        <w:fldChar w:fldCharType="separate"/>
      </w:r>
      <w:r w:rsidRPr="0009580B">
        <w:rPr>
          <w:rFonts w:ascii="Arial" w:hAnsi="Arial" w:cs="Arial"/>
          <w:b/>
          <w:bCs/>
          <w:i w:val="0"/>
          <w:iCs w:val="0"/>
          <w:noProof/>
          <w:color w:val="auto"/>
          <w:sz w:val="20"/>
          <w:szCs w:val="20"/>
        </w:rPr>
        <w:t>1</w:t>
      </w:r>
      <w:r w:rsidRPr="0009580B">
        <w:rPr>
          <w:rFonts w:ascii="Arial" w:hAnsi="Arial" w:cs="Arial"/>
          <w:b/>
          <w:bCs/>
          <w:i w:val="0"/>
          <w:iCs w:val="0"/>
          <w:color w:val="auto"/>
          <w:sz w:val="20"/>
          <w:szCs w:val="20"/>
        </w:rPr>
        <w:fldChar w:fldCharType="end"/>
      </w:r>
      <w:r w:rsidRPr="0009580B">
        <w:rPr>
          <w:rFonts w:ascii="Arial" w:hAnsi="Arial" w:cs="Arial"/>
          <w:i w:val="0"/>
          <w:iCs w:val="0"/>
          <w:color w:val="auto"/>
          <w:sz w:val="20"/>
          <w:szCs w:val="20"/>
        </w:rPr>
        <w:t xml:space="preserve">: Results from </w:t>
      </w:r>
      <w:r w:rsidR="007D0DC9">
        <w:rPr>
          <w:rFonts w:ascii="Arial" w:hAnsi="Arial" w:cs="Arial"/>
          <w:i w:val="0"/>
          <w:iCs w:val="0"/>
          <w:color w:val="auto"/>
          <w:sz w:val="20"/>
          <w:szCs w:val="20"/>
        </w:rPr>
        <w:t xml:space="preserve">association </w:t>
      </w:r>
      <w:r w:rsidRPr="0009580B">
        <w:rPr>
          <w:rFonts w:ascii="Arial" w:hAnsi="Arial" w:cs="Arial"/>
          <w:i w:val="0"/>
          <w:iCs w:val="0"/>
          <w:color w:val="auto"/>
          <w:sz w:val="20"/>
          <w:szCs w:val="20"/>
        </w:rPr>
        <w:t>analys</w:t>
      </w:r>
      <w:r w:rsidRPr="00394031">
        <w:rPr>
          <w:rFonts w:ascii="Arial" w:hAnsi="Arial" w:cs="Arial"/>
          <w:i w:val="0"/>
          <w:iCs w:val="0"/>
          <w:color w:val="auto"/>
          <w:sz w:val="20"/>
          <w:szCs w:val="20"/>
        </w:rPr>
        <w:t xml:space="preserve">is of </w:t>
      </w:r>
      <w:r w:rsidR="007D0DC9" w:rsidRPr="00394031">
        <w:rPr>
          <w:rFonts w:ascii="Arial" w:hAnsi="Arial" w:cs="Arial"/>
          <w:i w:val="0"/>
          <w:iCs w:val="0"/>
          <w:color w:val="auto"/>
          <w:sz w:val="20"/>
          <w:szCs w:val="20"/>
        </w:rPr>
        <w:t xml:space="preserve">differentially expression </w:t>
      </w:r>
      <w:r w:rsidRPr="00394031">
        <w:rPr>
          <w:rFonts w:ascii="Arial" w:hAnsi="Arial" w:cs="Arial"/>
          <w:i w:val="0"/>
          <w:iCs w:val="0"/>
          <w:color w:val="auto"/>
          <w:sz w:val="20"/>
          <w:szCs w:val="20"/>
        </w:rPr>
        <w:t xml:space="preserve">genes with </w:t>
      </w:r>
      <w:r w:rsidR="007D0DC9" w:rsidRPr="00394031">
        <w:rPr>
          <w:rFonts w:ascii="Arial" w:hAnsi="Arial" w:cs="Arial"/>
          <w:i w:val="0"/>
          <w:iCs w:val="0"/>
          <w:color w:val="auto"/>
          <w:sz w:val="20"/>
          <w:szCs w:val="20"/>
        </w:rPr>
        <w:t xml:space="preserve">cell-type proportions of the four reference cell types. </w:t>
      </w:r>
      <w:r w:rsidR="00F36C83" w:rsidRPr="00394031">
        <w:rPr>
          <w:rFonts w:ascii="Arial" w:hAnsi="Arial" w:cs="Arial"/>
          <w:i w:val="0"/>
          <w:iCs w:val="0"/>
          <w:color w:val="auto"/>
          <w:sz w:val="20"/>
          <w:szCs w:val="20"/>
        </w:rPr>
        <w:t xml:space="preserve">Regression estimates (beta) and FDR-adjusted P-values (P) from </w:t>
      </w:r>
      <w:r w:rsidR="007D0DC9" w:rsidRPr="00394031">
        <w:rPr>
          <w:rFonts w:ascii="Arial" w:hAnsi="Arial" w:cs="Arial"/>
          <w:i w:val="0"/>
          <w:iCs w:val="0"/>
          <w:color w:val="auto"/>
          <w:sz w:val="20"/>
          <w:szCs w:val="20"/>
        </w:rPr>
        <w:t xml:space="preserve">a simple linear model </w:t>
      </w:r>
      <w:r w:rsidR="00CA3D55" w:rsidRPr="00394031">
        <w:rPr>
          <w:rFonts w:ascii="Arial" w:hAnsi="Arial" w:cs="Arial"/>
          <w:i w:val="0"/>
          <w:iCs w:val="0"/>
          <w:color w:val="auto"/>
          <w:sz w:val="20"/>
          <w:szCs w:val="20"/>
        </w:rPr>
        <w:t xml:space="preserve">with cell-type proportion as the outcome and </w:t>
      </w:r>
      <w:r w:rsidR="00536C0D">
        <w:rPr>
          <w:rFonts w:ascii="Arial" w:hAnsi="Arial" w:cs="Arial"/>
          <w:i w:val="0"/>
          <w:iCs w:val="0"/>
          <w:color w:val="auto"/>
          <w:sz w:val="20"/>
          <w:szCs w:val="20"/>
        </w:rPr>
        <w:t xml:space="preserve">log-transformed, normalized </w:t>
      </w:r>
      <w:r w:rsidR="00CA3D55" w:rsidRPr="00394031">
        <w:rPr>
          <w:rFonts w:ascii="Arial" w:hAnsi="Arial" w:cs="Arial"/>
          <w:i w:val="0"/>
          <w:iCs w:val="0"/>
          <w:color w:val="auto"/>
          <w:sz w:val="20"/>
          <w:szCs w:val="20"/>
        </w:rPr>
        <w:t>gene expression as the primary predictor, adjusted for</w:t>
      </w:r>
      <w:r w:rsidR="00394031" w:rsidRPr="00394031">
        <w:rPr>
          <w:rFonts w:ascii="Arial" w:hAnsi="Arial" w:cs="Arial"/>
          <w:i w:val="0"/>
          <w:iCs w:val="0"/>
          <w:color w:val="auto"/>
          <w:sz w:val="20"/>
          <w:szCs w:val="20"/>
        </w:rPr>
        <w:t xml:space="preserve"> race, age, sex, number of gestational age days, birth weight </w:t>
      </w:r>
      <m:oMath>
        <m:r>
          <w:rPr>
            <w:rFonts w:ascii="Cambria Math" w:hAnsi="Cambria Math" w:cs="Arial"/>
            <w:color w:val="auto"/>
            <w:sz w:val="20"/>
            <w:szCs w:val="20"/>
          </w:rPr>
          <m:t>Z</m:t>
        </m:r>
      </m:oMath>
      <w:r w:rsidR="00394031" w:rsidRPr="00394031">
        <w:rPr>
          <w:rFonts w:ascii="Arial" w:hAnsi="Arial" w:cs="Arial"/>
          <w:i w:val="0"/>
          <w:iCs w:val="0"/>
          <w:color w:val="auto"/>
          <w:sz w:val="20"/>
          <w:szCs w:val="20"/>
        </w:rPr>
        <w:t>-score, acute inflammation of the placental chorion, and education level of the mother</w:t>
      </w:r>
      <w:r w:rsidR="00536C0D">
        <w:rPr>
          <w:rFonts w:ascii="Arial" w:hAnsi="Arial" w:cs="Arial"/>
          <w:i w:val="0"/>
          <w:iCs w:val="0"/>
          <w:color w:val="auto"/>
          <w:sz w:val="20"/>
          <w:szCs w:val="20"/>
        </w:rPr>
        <w:t>.</w:t>
      </w:r>
    </w:p>
    <w:tbl>
      <w:tblPr>
        <w:tblW w:w="14458" w:type="dxa"/>
        <w:tblInd w:w="-450" w:type="dxa"/>
        <w:tblLook w:val="04A0" w:firstRow="1" w:lastRow="0" w:firstColumn="1" w:lastColumn="0" w:noHBand="0" w:noVBand="1"/>
      </w:tblPr>
      <w:tblGrid>
        <w:gridCol w:w="1318"/>
        <w:gridCol w:w="3542"/>
        <w:gridCol w:w="2758"/>
        <w:gridCol w:w="3150"/>
        <w:gridCol w:w="3690"/>
      </w:tblGrid>
      <w:tr w:rsidR="00CC269F" w:rsidRPr="00CC269F" w14:paraId="0D63C4BD" w14:textId="77777777" w:rsidTr="00617544">
        <w:trPr>
          <w:trHeight w:val="288"/>
        </w:trPr>
        <w:tc>
          <w:tcPr>
            <w:tcW w:w="1318" w:type="dxa"/>
            <w:tcBorders>
              <w:top w:val="nil"/>
              <w:left w:val="nil"/>
              <w:bottom w:val="single" w:sz="4" w:space="0" w:color="auto"/>
              <w:right w:val="single" w:sz="4" w:space="0" w:color="auto"/>
            </w:tcBorders>
            <w:shd w:val="clear" w:color="auto" w:fill="auto"/>
            <w:noWrap/>
            <w:vAlign w:val="bottom"/>
            <w:hideMark/>
          </w:tcPr>
          <w:p w14:paraId="7E896758" w14:textId="32C18656" w:rsidR="00CC269F" w:rsidRPr="00CC269F" w:rsidRDefault="00CC269F" w:rsidP="00CC269F">
            <w:pPr>
              <w:spacing w:after="0" w:line="240" w:lineRule="auto"/>
              <w:rPr>
                <w:rFonts w:ascii="Arial" w:eastAsia="Times New Roman" w:hAnsi="Arial" w:cs="Arial"/>
                <w:b/>
                <w:bCs/>
                <w:color w:val="000000"/>
                <w:sz w:val="20"/>
                <w:szCs w:val="20"/>
              </w:rPr>
            </w:pPr>
            <w:r w:rsidRPr="00CC269F">
              <w:rPr>
                <w:rFonts w:ascii="Arial" w:eastAsia="Times New Roman" w:hAnsi="Arial" w:cs="Arial"/>
                <w:b/>
                <w:bCs/>
                <w:color w:val="000000"/>
                <w:sz w:val="20"/>
                <w:szCs w:val="20"/>
              </w:rPr>
              <w:t>Gene</w:t>
            </w:r>
            <w:r>
              <w:rPr>
                <w:rFonts w:ascii="Arial" w:eastAsia="Times New Roman" w:hAnsi="Arial" w:cs="Arial"/>
                <w:b/>
                <w:bCs/>
                <w:color w:val="000000"/>
                <w:sz w:val="20"/>
                <w:szCs w:val="20"/>
              </w:rPr>
              <w:t>/</w:t>
            </w:r>
            <w:r w:rsidRPr="00CC269F">
              <w:rPr>
                <w:rFonts w:ascii="Arial" w:eastAsia="Times New Roman" w:hAnsi="Arial" w:cs="Arial"/>
                <w:b/>
                <w:bCs/>
                <w:color w:val="000000"/>
                <w:sz w:val="20"/>
                <w:szCs w:val="20"/>
              </w:rPr>
              <w:t>CpG</w:t>
            </w:r>
          </w:p>
        </w:tc>
        <w:tc>
          <w:tcPr>
            <w:tcW w:w="3542" w:type="dxa"/>
            <w:tcBorders>
              <w:top w:val="nil"/>
              <w:left w:val="single" w:sz="4" w:space="0" w:color="auto"/>
              <w:bottom w:val="single" w:sz="4" w:space="0" w:color="auto"/>
              <w:right w:val="nil"/>
            </w:tcBorders>
            <w:shd w:val="clear" w:color="auto" w:fill="auto"/>
            <w:noWrap/>
            <w:vAlign w:val="bottom"/>
            <w:hideMark/>
          </w:tcPr>
          <w:p w14:paraId="784E8CC8" w14:textId="77777777" w:rsidR="00CC269F" w:rsidRPr="00CC269F" w:rsidRDefault="00CC269F" w:rsidP="00CC269F">
            <w:pPr>
              <w:spacing w:after="0" w:line="240" w:lineRule="auto"/>
              <w:rPr>
                <w:rFonts w:ascii="Arial" w:eastAsia="Times New Roman" w:hAnsi="Arial" w:cs="Arial"/>
                <w:b/>
                <w:bCs/>
                <w:color w:val="000000"/>
                <w:sz w:val="20"/>
                <w:szCs w:val="20"/>
              </w:rPr>
            </w:pPr>
            <w:r w:rsidRPr="00CC269F">
              <w:rPr>
                <w:rFonts w:ascii="Arial" w:eastAsia="Times New Roman" w:hAnsi="Arial" w:cs="Arial"/>
                <w:b/>
                <w:bCs/>
                <w:color w:val="000000"/>
                <w:sz w:val="20"/>
                <w:szCs w:val="20"/>
              </w:rPr>
              <w:t>Beta, P (Extravillous Trophoblasts)</w:t>
            </w:r>
          </w:p>
        </w:tc>
        <w:tc>
          <w:tcPr>
            <w:tcW w:w="2758" w:type="dxa"/>
            <w:tcBorders>
              <w:top w:val="nil"/>
              <w:left w:val="nil"/>
              <w:bottom w:val="single" w:sz="4" w:space="0" w:color="auto"/>
              <w:right w:val="nil"/>
            </w:tcBorders>
            <w:shd w:val="clear" w:color="auto" w:fill="auto"/>
            <w:noWrap/>
            <w:vAlign w:val="bottom"/>
            <w:hideMark/>
          </w:tcPr>
          <w:p w14:paraId="787BD18F" w14:textId="77777777" w:rsidR="00CC269F" w:rsidRPr="00CC269F" w:rsidRDefault="00CC269F" w:rsidP="00CC269F">
            <w:pPr>
              <w:spacing w:after="0" w:line="240" w:lineRule="auto"/>
              <w:rPr>
                <w:rFonts w:ascii="Arial" w:eastAsia="Times New Roman" w:hAnsi="Arial" w:cs="Arial"/>
                <w:b/>
                <w:bCs/>
                <w:color w:val="000000"/>
                <w:sz w:val="20"/>
                <w:szCs w:val="20"/>
              </w:rPr>
            </w:pPr>
            <w:r w:rsidRPr="00CC269F">
              <w:rPr>
                <w:rFonts w:ascii="Arial" w:eastAsia="Times New Roman" w:hAnsi="Arial" w:cs="Arial"/>
                <w:b/>
                <w:bCs/>
                <w:color w:val="000000"/>
                <w:sz w:val="20"/>
                <w:szCs w:val="20"/>
              </w:rPr>
              <w:t>Beta, P (Cytotrophoblasts)</w:t>
            </w:r>
          </w:p>
        </w:tc>
        <w:tc>
          <w:tcPr>
            <w:tcW w:w="3150" w:type="dxa"/>
            <w:tcBorders>
              <w:top w:val="nil"/>
              <w:left w:val="nil"/>
              <w:bottom w:val="single" w:sz="4" w:space="0" w:color="auto"/>
              <w:right w:val="nil"/>
            </w:tcBorders>
            <w:shd w:val="clear" w:color="auto" w:fill="auto"/>
            <w:noWrap/>
            <w:vAlign w:val="bottom"/>
            <w:hideMark/>
          </w:tcPr>
          <w:p w14:paraId="4123535C" w14:textId="77777777" w:rsidR="00CC269F" w:rsidRPr="00CC269F" w:rsidRDefault="00CC269F" w:rsidP="00CC269F">
            <w:pPr>
              <w:spacing w:after="0" w:line="240" w:lineRule="auto"/>
              <w:rPr>
                <w:rFonts w:ascii="Arial" w:eastAsia="Times New Roman" w:hAnsi="Arial" w:cs="Arial"/>
                <w:b/>
                <w:bCs/>
                <w:color w:val="000000"/>
                <w:sz w:val="20"/>
                <w:szCs w:val="20"/>
              </w:rPr>
            </w:pPr>
            <w:r w:rsidRPr="00CC269F">
              <w:rPr>
                <w:rFonts w:ascii="Arial" w:eastAsia="Times New Roman" w:hAnsi="Arial" w:cs="Arial"/>
                <w:b/>
                <w:bCs/>
                <w:color w:val="000000"/>
                <w:sz w:val="20"/>
                <w:szCs w:val="20"/>
              </w:rPr>
              <w:t>Beta, P (Syncytiotrophoblasts)</w:t>
            </w:r>
          </w:p>
        </w:tc>
        <w:tc>
          <w:tcPr>
            <w:tcW w:w="3690" w:type="dxa"/>
            <w:tcBorders>
              <w:top w:val="nil"/>
              <w:left w:val="nil"/>
              <w:bottom w:val="single" w:sz="4" w:space="0" w:color="auto"/>
              <w:right w:val="nil"/>
            </w:tcBorders>
            <w:shd w:val="clear" w:color="auto" w:fill="auto"/>
            <w:noWrap/>
            <w:vAlign w:val="bottom"/>
            <w:hideMark/>
          </w:tcPr>
          <w:p w14:paraId="0341C65E" w14:textId="77777777" w:rsidR="00CC269F" w:rsidRPr="00CC269F" w:rsidRDefault="00CC269F" w:rsidP="00CC269F">
            <w:pPr>
              <w:spacing w:after="0" w:line="240" w:lineRule="auto"/>
              <w:rPr>
                <w:rFonts w:ascii="Arial" w:eastAsia="Times New Roman" w:hAnsi="Arial" w:cs="Arial"/>
                <w:b/>
                <w:bCs/>
                <w:color w:val="000000"/>
                <w:sz w:val="20"/>
                <w:szCs w:val="20"/>
              </w:rPr>
            </w:pPr>
            <w:r w:rsidRPr="00CC269F">
              <w:rPr>
                <w:rFonts w:ascii="Arial" w:eastAsia="Times New Roman" w:hAnsi="Arial" w:cs="Arial"/>
                <w:b/>
                <w:bCs/>
                <w:color w:val="000000"/>
                <w:sz w:val="20"/>
                <w:szCs w:val="20"/>
              </w:rPr>
              <w:t>Beta, P (Mesenchymal stromal cells)</w:t>
            </w:r>
          </w:p>
        </w:tc>
      </w:tr>
      <w:tr w:rsidR="00CC269F" w:rsidRPr="00CC269F" w14:paraId="58806BF6" w14:textId="77777777" w:rsidTr="00617544">
        <w:trPr>
          <w:trHeight w:val="288"/>
        </w:trPr>
        <w:tc>
          <w:tcPr>
            <w:tcW w:w="1318" w:type="dxa"/>
            <w:tcBorders>
              <w:top w:val="single" w:sz="4" w:space="0" w:color="auto"/>
              <w:left w:val="nil"/>
              <w:right w:val="single" w:sz="4" w:space="0" w:color="auto"/>
            </w:tcBorders>
            <w:shd w:val="clear" w:color="auto" w:fill="auto"/>
            <w:noWrap/>
            <w:vAlign w:val="bottom"/>
            <w:hideMark/>
          </w:tcPr>
          <w:p w14:paraId="477F502B" w14:textId="77777777" w:rsidR="00CC269F" w:rsidRPr="00CC269F" w:rsidRDefault="00CC269F" w:rsidP="00CC269F">
            <w:pPr>
              <w:spacing w:after="0" w:line="240" w:lineRule="auto"/>
              <w:rPr>
                <w:rFonts w:ascii="Arial" w:eastAsia="Times New Roman" w:hAnsi="Arial" w:cs="Arial"/>
                <w:i/>
                <w:iCs/>
                <w:color w:val="000000"/>
                <w:sz w:val="20"/>
                <w:szCs w:val="20"/>
              </w:rPr>
            </w:pPr>
            <w:r w:rsidRPr="00CC269F">
              <w:rPr>
                <w:rFonts w:ascii="Arial" w:eastAsia="Times New Roman" w:hAnsi="Arial" w:cs="Arial"/>
                <w:i/>
                <w:iCs/>
                <w:color w:val="000000"/>
                <w:sz w:val="20"/>
                <w:szCs w:val="20"/>
              </w:rPr>
              <w:t>HECA</w:t>
            </w:r>
          </w:p>
        </w:tc>
        <w:tc>
          <w:tcPr>
            <w:tcW w:w="3542" w:type="dxa"/>
            <w:tcBorders>
              <w:top w:val="single" w:sz="4" w:space="0" w:color="auto"/>
              <w:left w:val="single" w:sz="4" w:space="0" w:color="auto"/>
              <w:right w:val="nil"/>
            </w:tcBorders>
            <w:shd w:val="clear" w:color="auto" w:fill="auto"/>
            <w:noWrap/>
            <w:vAlign w:val="bottom"/>
            <w:hideMark/>
          </w:tcPr>
          <w:p w14:paraId="7A33535D"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-0.001, 0.302</w:t>
            </w:r>
          </w:p>
        </w:tc>
        <w:tc>
          <w:tcPr>
            <w:tcW w:w="2758" w:type="dxa"/>
            <w:tcBorders>
              <w:top w:val="single" w:sz="4" w:space="0" w:color="auto"/>
              <w:left w:val="nil"/>
              <w:right w:val="nil"/>
            </w:tcBorders>
            <w:shd w:val="clear" w:color="auto" w:fill="auto"/>
            <w:noWrap/>
            <w:vAlign w:val="bottom"/>
            <w:hideMark/>
          </w:tcPr>
          <w:p w14:paraId="1E121D82"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0.001, 0.176</w:t>
            </w:r>
          </w:p>
        </w:tc>
        <w:tc>
          <w:tcPr>
            <w:tcW w:w="3150" w:type="dxa"/>
            <w:tcBorders>
              <w:top w:val="single" w:sz="4" w:space="0" w:color="auto"/>
              <w:left w:val="nil"/>
              <w:right w:val="nil"/>
            </w:tcBorders>
            <w:shd w:val="clear" w:color="auto" w:fill="auto"/>
            <w:noWrap/>
            <w:vAlign w:val="bottom"/>
            <w:hideMark/>
          </w:tcPr>
          <w:p w14:paraId="3802CE7B"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-0.002, 0.112</w:t>
            </w:r>
          </w:p>
        </w:tc>
        <w:tc>
          <w:tcPr>
            <w:tcW w:w="3690" w:type="dxa"/>
            <w:tcBorders>
              <w:top w:val="single" w:sz="4" w:space="0" w:color="auto"/>
              <w:left w:val="nil"/>
              <w:right w:val="nil"/>
            </w:tcBorders>
            <w:shd w:val="clear" w:color="auto" w:fill="auto"/>
            <w:noWrap/>
            <w:vAlign w:val="bottom"/>
            <w:hideMark/>
          </w:tcPr>
          <w:p w14:paraId="5EB81EBF" w14:textId="18410961"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0.761</w:t>
            </w:r>
          </w:p>
        </w:tc>
      </w:tr>
      <w:tr w:rsidR="00CC269F" w:rsidRPr="00CC269F" w14:paraId="0E178778" w14:textId="77777777" w:rsidTr="00617544">
        <w:trPr>
          <w:trHeight w:val="288"/>
        </w:trPr>
        <w:tc>
          <w:tcPr>
            <w:tcW w:w="1318" w:type="dxa"/>
            <w:tcBorders>
              <w:left w:val="nil"/>
              <w:bottom w:val="nil"/>
              <w:right w:val="single" w:sz="4" w:space="0" w:color="auto"/>
            </w:tcBorders>
            <w:shd w:val="clear" w:color="auto" w:fill="auto"/>
            <w:noWrap/>
            <w:vAlign w:val="bottom"/>
            <w:hideMark/>
          </w:tcPr>
          <w:p w14:paraId="51BAAFC2" w14:textId="77777777" w:rsidR="00CC269F" w:rsidRPr="00CC269F" w:rsidRDefault="00CC269F" w:rsidP="00CC269F">
            <w:pPr>
              <w:spacing w:after="0" w:line="240" w:lineRule="auto"/>
              <w:rPr>
                <w:rFonts w:ascii="Arial" w:eastAsia="Times New Roman" w:hAnsi="Arial" w:cs="Arial"/>
                <w:i/>
                <w:iCs/>
                <w:color w:val="000000"/>
                <w:sz w:val="20"/>
                <w:szCs w:val="20"/>
              </w:rPr>
            </w:pPr>
            <w:r w:rsidRPr="00CC269F">
              <w:rPr>
                <w:rFonts w:ascii="Arial" w:eastAsia="Times New Roman" w:hAnsi="Arial" w:cs="Arial"/>
                <w:i/>
                <w:iCs/>
                <w:color w:val="000000"/>
                <w:sz w:val="20"/>
                <w:szCs w:val="20"/>
              </w:rPr>
              <w:t>LMO4</w:t>
            </w:r>
          </w:p>
        </w:tc>
        <w:tc>
          <w:tcPr>
            <w:tcW w:w="3542" w:type="dxa"/>
            <w:tcBorders>
              <w:left w:val="single" w:sz="4" w:space="0" w:color="auto"/>
              <w:bottom w:val="nil"/>
              <w:right w:val="nil"/>
            </w:tcBorders>
            <w:shd w:val="clear" w:color="auto" w:fill="auto"/>
            <w:noWrap/>
            <w:vAlign w:val="bottom"/>
            <w:hideMark/>
          </w:tcPr>
          <w:p w14:paraId="01F574D4" w14:textId="458D30F0"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0.813</w:t>
            </w:r>
          </w:p>
        </w:tc>
        <w:tc>
          <w:tcPr>
            <w:tcW w:w="2758" w:type="dxa"/>
            <w:tcBorders>
              <w:left w:val="nil"/>
              <w:bottom w:val="nil"/>
              <w:right w:val="nil"/>
            </w:tcBorders>
            <w:shd w:val="clear" w:color="auto" w:fill="auto"/>
            <w:noWrap/>
            <w:vAlign w:val="bottom"/>
            <w:hideMark/>
          </w:tcPr>
          <w:p w14:paraId="408FAA34" w14:textId="603D7C31"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0.274</w:t>
            </w:r>
          </w:p>
        </w:tc>
        <w:tc>
          <w:tcPr>
            <w:tcW w:w="3150" w:type="dxa"/>
            <w:tcBorders>
              <w:left w:val="nil"/>
              <w:bottom w:val="nil"/>
              <w:right w:val="nil"/>
            </w:tcBorders>
            <w:shd w:val="clear" w:color="auto" w:fill="auto"/>
            <w:noWrap/>
            <w:vAlign w:val="bottom"/>
            <w:hideMark/>
          </w:tcPr>
          <w:p w14:paraId="628167C7"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0.002, 0.256</w:t>
            </w:r>
          </w:p>
        </w:tc>
        <w:tc>
          <w:tcPr>
            <w:tcW w:w="3690" w:type="dxa"/>
            <w:tcBorders>
              <w:left w:val="nil"/>
              <w:bottom w:val="nil"/>
              <w:right w:val="nil"/>
            </w:tcBorders>
            <w:shd w:val="clear" w:color="auto" w:fill="auto"/>
            <w:noWrap/>
            <w:vAlign w:val="bottom"/>
            <w:hideMark/>
          </w:tcPr>
          <w:p w14:paraId="19773ACD" w14:textId="0ECBAE5B"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-0.001, 0.5</w:t>
            </w:r>
            <w:r w:rsidR="0009580B">
              <w:rPr>
                <w:rFonts w:ascii="Arial" w:eastAsia="Times New Roman" w:hAnsi="Arial" w:cs="Arial"/>
                <w:color w:val="000000"/>
                <w:sz w:val="20"/>
                <w:szCs w:val="20"/>
              </w:rPr>
              <w:t>04</w:t>
            </w:r>
          </w:p>
        </w:tc>
      </w:tr>
      <w:tr w:rsidR="00CC269F" w:rsidRPr="00CC269F" w14:paraId="44FE1898" w14:textId="77777777" w:rsidTr="00617544">
        <w:trPr>
          <w:trHeight w:val="288"/>
        </w:trPr>
        <w:tc>
          <w:tcPr>
            <w:tcW w:w="1318" w:type="dxa"/>
            <w:tcBorders>
              <w:top w:val="nil"/>
              <w:left w:val="nil"/>
              <w:bottom w:val="nil"/>
              <w:right w:val="single" w:sz="4" w:space="0" w:color="auto"/>
            </w:tcBorders>
            <w:shd w:val="clear" w:color="auto" w:fill="auto"/>
            <w:noWrap/>
            <w:vAlign w:val="bottom"/>
            <w:hideMark/>
          </w:tcPr>
          <w:p w14:paraId="37B4B487" w14:textId="77777777" w:rsidR="00CC269F" w:rsidRPr="00CC269F" w:rsidRDefault="00CC269F" w:rsidP="00CC269F">
            <w:pPr>
              <w:spacing w:after="0" w:line="240" w:lineRule="auto"/>
              <w:rPr>
                <w:rFonts w:ascii="Arial" w:eastAsia="Times New Roman" w:hAnsi="Arial" w:cs="Arial"/>
                <w:i/>
                <w:iCs/>
                <w:color w:val="000000"/>
                <w:sz w:val="20"/>
                <w:szCs w:val="20"/>
              </w:rPr>
            </w:pPr>
            <w:r w:rsidRPr="00CC269F">
              <w:rPr>
                <w:rFonts w:ascii="Arial" w:eastAsia="Times New Roman" w:hAnsi="Arial" w:cs="Arial"/>
                <w:i/>
                <w:iCs/>
                <w:color w:val="000000"/>
                <w:sz w:val="20"/>
                <w:szCs w:val="20"/>
              </w:rPr>
              <w:t>RAB5A</w:t>
            </w:r>
          </w:p>
        </w:tc>
        <w:tc>
          <w:tcPr>
            <w:tcW w:w="3542" w:type="dxa"/>
            <w:tcBorders>
              <w:top w:val="nil"/>
              <w:left w:val="single" w:sz="4" w:space="0" w:color="auto"/>
              <w:bottom w:val="nil"/>
              <w:right w:val="nil"/>
            </w:tcBorders>
            <w:shd w:val="clear" w:color="auto" w:fill="auto"/>
            <w:noWrap/>
            <w:vAlign w:val="bottom"/>
            <w:hideMark/>
          </w:tcPr>
          <w:p w14:paraId="2A7E5FC8"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-0.003, 0.181</w:t>
            </w:r>
          </w:p>
        </w:tc>
        <w:tc>
          <w:tcPr>
            <w:tcW w:w="2758" w:type="dxa"/>
            <w:tcBorders>
              <w:top w:val="nil"/>
              <w:left w:val="nil"/>
              <w:bottom w:val="nil"/>
              <w:right w:val="nil"/>
            </w:tcBorders>
            <w:shd w:val="clear" w:color="auto" w:fill="auto"/>
            <w:noWrap/>
            <w:vAlign w:val="bottom"/>
            <w:hideMark/>
          </w:tcPr>
          <w:p w14:paraId="4D2D5319" w14:textId="6BC41507"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0.898</w:t>
            </w:r>
          </w:p>
        </w:tc>
        <w:tc>
          <w:tcPr>
            <w:tcW w:w="3150" w:type="dxa"/>
            <w:tcBorders>
              <w:top w:val="nil"/>
              <w:left w:val="nil"/>
              <w:bottom w:val="nil"/>
              <w:right w:val="nil"/>
            </w:tcBorders>
            <w:shd w:val="clear" w:color="auto" w:fill="auto"/>
            <w:noWrap/>
            <w:vAlign w:val="bottom"/>
            <w:hideMark/>
          </w:tcPr>
          <w:p w14:paraId="5ED9BEF2" w14:textId="5F1CF0CD"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0.5</w:t>
            </w:r>
            <w:r>
              <w:rPr>
                <w:rFonts w:ascii="Arial" w:eastAsia="Times New Roman" w:hAnsi="Arial" w:cs="Arial"/>
                <w:color w:val="000000"/>
                <w:sz w:val="20"/>
                <w:szCs w:val="20"/>
              </w:rPr>
              <w:t>04</w:t>
            </w:r>
          </w:p>
        </w:tc>
        <w:tc>
          <w:tcPr>
            <w:tcW w:w="3690" w:type="dxa"/>
            <w:tcBorders>
              <w:top w:val="nil"/>
              <w:left w:val="nil"/>
              <w:bottom w:val="nil"/>
              <w:right w:val="nil"/>
            </w:tcBorders>
            <w:shd w:val="clear" w:color="auto" w:fill="auto"/>
            <w:noWrap/>
            <w:vAlign w:val="bottom"/>
            <w:hideMark/>
          </w:tcPr>
          <w:p w14:paraId="627F3416"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0.002, 0.176</w:t>
            </w:r>
          </w:p>
        </w:tc>
      </w:tr>
      <w:tr w:rsidR="00CC269F" w:rsidRPr="00CC269F" w14:paraId="5F3FEC79" w14:textId="77777777" w:rsidTr="00617544">
        <w:trPr>
          <w:trHeight w:val="288"/>
        </w:trPr>
        <w:tc>
          <w:tcPr>
            <w:tcW w:w="1318" w:type="dxa"/>
            <w:tcBorders>
              <w:top w:val="nil"/>
              <w:left w:val="nil"/>
              <w:bottom w:val="nil"/>
              <w:right w:val="single" w:sz="4" w:space="0" w:color="auto"/>
            </w:tcBorders>
            <w:shd w:val="clear" w:color="auto" w:fill="auto"/>
            <w:noWrap/>
            <w:vAlign w:val="bottom"/>
            <w:hideMark/>
          </w:tcPr>
          <w:p w14:paraId="63024892" w14:textId="77777777" w:rsidR="00CC269F" w:rsidRPr="00CC269F" w:rsidRDefault="00CC269F" w:rsidP="00CC269F">
            <w:pPr>
              <w:spacing w:after="0" w:line="240" w:lineRule="auto"/>
              <w:rPr>
                <w:rFonts w:ascii="Arial" w:eastAsia="Times New Roman" w:hAnsi="Arial" w:cs="Arial"/>
                <w:i/>
                <w:iCs/>
                <w:color w:val="000000"/>
                <w:sz w:val="20"/>
                <w:szCs w:val="20"/>
              </w:rPr>
            </w:pPr>
            <w:r w:rsidRPr="00CC269F">
              <w:rPr>
                <w:rFonts w:ascii="Arial" w:eastAsia="Times New Roman" w:hAnsi="Arial" w:cs="Arial"/>
                <w:i/>
                <w:iCs/>
                <w:color w:val="000000"/>
                <w:sz w:val="20"/>
                <w:szCs w:val="20"/>
              </w:rPr>
              <w:t>TMEM167A</w:t>
            </w:r>
          </w:p>
        </w:tc>
        <w:tc>
          <w:tcPr>
            <w:tcW w:w="3542" w:type="dxa"/>
            <w:tcBorders>
              <w:top w:val="nil"/>
              <w:left w:val="single" w:sz="4" w:space="0" w:color="auto"/>
              <w:bottom w:val="nil"/>
              <w:right w:val="nil"/>
            </w:tcBorders>
            <w:shd w:val="clear" w:color="auto" w:fill="auto"/>
            <w:noWrap/>
            <w:vAlign w:val="bottom"/>
            <w:hideMark/>
          </w:tcPr>
          <w:p w14:paraId="69A70292"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0.005, 0.274</w:t>
            </w:r>
          </w:p>
        </w:tc>
        <w:tc>
          <w:tcPr>
            <w:tcW w:w="2758" w:type="dxa"/>
            <w:tcBorders>
              <w:top w:val="nil"/>
              <w:left w:val="nil"/>
              <w:bottom w:val="nil"/>
              <w:right w:val="nil"/>
            </w:tcBorders>
            <w:shd w:val="clear" w:color="auto" w:fill="auto"/>
            <w:noWrap/>
            <w:vAlign w:val="bottom"/>
            <w:hideMark/>
          </w:tcPr>
          <w:p w14:paraId="471A8CB5"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-0.001, 0.184</w:t>
            </w:r>
          </w:p>
        </w:tc>
        <w:tc>
          <w:tcPr>
            <w:tcW w:w="3150" w:type="dxa"/>
            <w:tcBorders>
              <w:top w:val="nil"/>
              <w:left w:val="nil"/>
              <w:bottom w:val="nil"/>
              <w:right w:val="nil"/>
            </w:tcBorders>
            <w:shd w:val="clear" w:color="auto" w:fill="auto"/>
            <w:noWrap/>
            <w:vAlign w:val="bottom"/>
            <w:hideMark/>
          </w:tcPr>
          <w:p w14:paraId="6094C448" w14:textId="11A06C98"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0.669</w:t>
            </w:r>
          </w:p>
        </w:tc>
        <w:tc>
          <w:tcPr>
            <w:tcW w:w="3690" w:type="dxa"/>
            <w:tcBorders>
              <w:top w:val="nil"/>
              <w:left w:val="nil"/>
              <w:bottom w:val="nil"/>
              <w:right w:val="nil"/>
            </w:tcBorders>
            <w:shd w:val="clear" w:color="auto" w:fill="auto"/>
            <w:noWrap/>
            <w:vAlign w:val="bottom"/>
            <w:hideMark/>
          </w:tcPr>
          <w:p w14:paraId="463AF7C4"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-0.002, 0.536</w:t>
            </w:r>
          </w:p>
        </w:tc>
      </w:tr>
      <w:tr w:rsidR="00CC269F" w:rsidRPr="00CC269F" w14:paraId="6DE1FDB8" w14:textId="77777777" w:rsidTr="00617544">
        <w:trPr>
          <w:trHeight w:val="288"/>
        </w:trPr>
        <w:tc>
          <w:tcPr>
            <w:tcW w:w="1318" w:type="dxa"/>
            <w:tcBorders>
              <w:top w:val="nil"/>
              <w:left w:val="nil"/>
              <w:bottom w:val="nil"/>
              <w:right w:val="single" w:sz="4" w:space="0" w:color="auto"/>
            </w:tcBorders>
            <w:shd w:val="clear" w:color="auto" w:fill="auto"/>
            <w:noWrap/>
            <w:vAlign w:val="bottom"/>
            <w:hideMark/>
          </w:tcPr>
          <w:p w14:paraId="325FC8BB" w14:textId="77777777" w:rsidR="00CC269F" w:rsidRPr="00CC269F" w:rsidRDefault="00CC269F" w:rsidP="00CC269F">
            <w:pPr>
              <w:spacing w:after="0" w:line="240" w:lineRule="auto"/>
              <w:rPr>
                <w:rFonts w:ascii="Arial" w:eastAsia="Times New Roman" w:hAnsi="Arial" w:cs="Arial"/>
                <w:i/>
                <w:iCs/>
                <w:color w:val="000000"/>
                <w:sz w:val="20"/>
                <w:szCs w:val="20"/>
              </w:rPr>
            </w:pPr>
            <w:r w:rsidRPr="00CC269F">
              <w:rPr>
                <w:rFonts w:ascii="Arial" w:eastAsia="Times New Roman" w:hAnsi="Arial" w:cs="Arial"/>
                <w:i/>
                <w:iCs/>
                <w:color w:val="000000"/>
                <w:sz w:val="20"/>
                <w:szCs w:val="20"/>
              </w:rPr>
              <w:t>ITPRIPL2</w:t>
            </w:r>
          </w:p>
        </w:tc>
        <w:tc>
          <w:tcPr>
            <w:tcW w:w="3542" w:type="dxa"/>
            <w:tcBorders>
              <w:top w:val="nil"/>
              <w:left w:val="single" w:sz="4" w:space="0" w:color="auto"/>
              <w:bottom w:val="nil"/>
              <w:right w:val="nil"/>
            </w:tcBorders>
            <w:shd w:val="clear" w:color="auto" w:fill="auto"/>
            <w:noWrap/>
            <w:vAlign w:val="bottom"/>
            <w:hideMark/>
          </w:tcPr>
          <w:p w14:paraId="1FA4818E" w14:textId="14258FDE"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0.473</w:t>
            </w:r>
          </w:p>
        </w:tc>
        <w:tc>
          <w:tcPr>
            <w:tcW w:w="2758" w:type="dxa"/>
            <w:tcBorders>
              <w:top w:val="nil"/>
              <w:left w:val="nil"/>
              <w:bottom w:val="nil"/>
              <w:right w:val="nil"/>
            </w:tcBorders>
            <w:shd w:val="clear" w:color="auto" w:fill="auto"/>
            <w:noWrap/>
            <w:vAlign w:val="bottom"/>
            <w:hideMark/>
          </w:tcPr>
          <w:p w14:paraId="050AF357"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0.001, 0.234</w:t>
            </w:r>
          </w:p>
        </w:tc>
        <w:tc>
          <w:tcPr>
            <w:tcW w:w="3150" w:type="dxa"/>
            <w:tcBorders>
              <w:top w:val="nil"/>
              <w:left w:val="nil"/>
              <w:bottom w:val="nil"/>
              <w:right w:val="nil"/>
            </w:tcBorders>
            <w:shd w:val="clear" w:color="auto" w:fill="auto"/>
            <w:noWrap/>
            <w:vAlign w:val="bottom"/>
            <w:hideMark/>
          </w:tcPr>
          <w:p w14:paraId="1026006A" w14:textId="0BD88E76"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0.274</w:t>
            </w:r>
          </w:p>
        </w:tc>
        <w:tc>
          <w:tcPr>
            <w:tcW w:w="3690" w:type="dxa"/>
            <w:tcBorders>
              <w:top w:val="nil"/>
              <w:left w:val="nil"/>
              <w:bottom w:val="nil"/>
              <w:right w:val="nil"/>
            </w:tcBorders>
            <w:shd w:val="clear" w:color="auto" w:fill="auto"/>
            <w:noWrap/>
            <w:vAlign w:val="bottom"/>
            <w:hideMark/>
          </w:tcPr>
          <w:p w14:paraId="1CEA91A4" w14:textId="2C4B3045"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0.003, 0.5</w:t>
            </w:r>
            <w:r w:rsidR="0009580B">
              <w:rPr>
                <w:rFonts w:ascii="Arial" w:eastAsia="Times New Roman" w:hAnsi="Arial" w:cs="Arial"/>
                <w:color w:val="000000"/>
                <w:sz w:val="20"/>
                <w:szCs w:val="20"/>
              </w:rPr>
              <w:t>04</w:t>
            </w:r>
          </w:p>
        </w:tc>
      </w:tr>
      <w:tr w:rsidR="00CC269F" w:rsidRPr="00CC269F" w14:paraId="7C8DC8C6" w14:textId="77777777" w:rsidTr="00617544">
        <w:trPr>
          <w:trHeight w:val="288"/>
        </w:trPr>
        <w:tc>
          <w:tcPr>
            <w:tcW w:w="1318" w:type="dxa"/>
            <w:tcBorders>
              <w:top w:val="nil"/>
              <w:left w:val="nil"/>
              <w:bottom w:val="nil"/>
              <w:right w:val="single" w:sz="4" w:space="0" w:color="auto"/>
            </w:tcBorders>
            <w:shd w:val="clear" w:color="auto" w:fill="auto"/>
            <w:noWrap/>
            <w:vAlign w:val="bottom"/>
            <w:hideMark/>
          </w:tcPr>
          <w:p w14:paraId="11CF5E14" w14:textId="77777777" w:rsidR="00CC269F" w:rsidRPr="00CC269F" w:rsidRDefault="00CC269F" w:rsidP="00CC269F">
            <w:pPr>
              <w:spacing w:after="0" w:line="240" w:lineRule="auto"/>
              <w:rPr>
                <w:rFonts w:ascii="Arial" w:eastAsia="Times New Roman" w:hAnsi="Arial" w:cs="Arial"/>
                <w:i/>
                <w:iCs/>
                <w:color w:val="000000"/>
                <w:sz w:val="20"/>
                <w:szCs w:val="20"/>
              </w:rPr>
            </w:pPr>
            <w:r w:rsidRPr="00CC269F">
              <w:rPr>
                <w:rFonts w:ascii="Arial" w:eastAsia="Times New Roman" w:hAnsi="Arial" w:cs="Arial"/>
                <w:i/>
                <w:iCs/>
                <w:color w:val="000000"/>
                <w:sz w:val="20"/>
                <w:szCs w:val="20"/>
              </w:rPr>
              <w:t>STAT2</w:t>
            </w:r>
          </w:p>
        </w:tc>
        <w:tc>
          <w:tcPr>
            <w:tcW w:w="3542" w:type="dxa"/>
            <w:tcBorders>
              <w:top w:val="nil"/>
              <w:left w:val="single" w:sz="4" w:space="0" w:color="auto"/>
              <w:bottom w:val="nil"/>
              <w:right w:val="nil"/>
            </w:tcBorders>
            <w:shd w:val="clear" w:color="auto" w:fill="auto"/>
            <w:noWrap/>
            <w:vAlign w:val="bottom"/>
            <w:hideMark/>
          </w:tcPr>
          <w:p w14:paraId="5B58DDD6" w14:textId="1A646694"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0.373</w:t>
            </w:r>
          </w:p>
        </w:tc>
        <w:tc>
          <w:tcPr>
            <w:tcW w:w="2758" w:type="dxa"/>
            <w:tcBorders>
              <w:top w:val="nil"/>
              <w:left w:val="nil"/>
              <w:bottom w:val="nil"/>
              <w:right w:val="nil"/>
            </w:tcBorders>
            <w:shd w:val="clear" w:color="auto" w:fill="auto"/>
            <w:noWrap/>
            <w:vAlign w:val="bottom"/>
            <w:hideMark/>
          </w:tcPr>
          <w:p w14:paraId="7B4339E6" w14:textId="1A1BFB32" w:rsidR="00CC269F" w:rsidRPr="00CC269F" w:rsidRDefault="0009580B" w:rsidP="00CC269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0.000,</w:t>
            </w:r>
            <w:r w:rsidR="00CC269F" w:rsidRPr="00CC269F">
              <w:rPr>
                <w:rFonts w:ascii="Arial" w:eastAsia="Times New Roman" w:hAnsi="Arial" w:cs="Arial"/>
                <w:color w:val="000000"/>
                <w:sz w:val="20"/>
                <w:szCs w:val="20"/>
              </w:rPr>
              <w:t xml:space="preserve"> 0.333</w:t>
            </w:r>
          </w:p>
        </w:tc>
        <w:tc>
          <w:tcPr>
            <w:tcW w:w="3150" w:type="dxa"/>
            <w:tcBorders>
              <w:top w:val="nil"/>
              <w:left w:val="nil"/>
              <w:bottom w:val="nil"/>
              <w:right w:val="nil"/>
            </w:tcBorders>
            <w:shd w:val="clear" w:color="auto" w:fill="auto"/>
            <w:noWrap/>
            <w:vAlign w:val="bottom"/>
            <w:hideMark/>
          </w:tcPr>
          <w:p w14:paraId="5D11209E"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0.001, 0.091</w:t>
            </w:r>
          </w:p>
        </w:tc>
        <w:tc>
          <w:tcPr>
            <w:tcW w:w="3690" w:type="dxa"/>
            <w:tcBorders>
              <w:top w:val="nil"/>
              <w:left w:val="nil"/>
              <w:bottom w:val="nil"/>
              <w:right w:val="nil"/>
            </w:tcBorders>
            <w:shd w:val="clear" w:color="auto" w:fill="auto"/>
            <w:noWrap/>
            <w:vAlign w:val="bottom"/>
            <w:hideMark/>
          </w:tcPr>
          <w:p w14:paraId="751D352C"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-0.017, 0.091</w:t>
            </w:r>
          </w:p>
        </w:tc>
      </w:tr>
      <w:tr w:rsidR="00CC269F" w:rsidRPr="00CC269F" w14:paraId="44818742" w14:textId="77777777" w:rsidTr="00617544">
        <w:trPr>
          <w:trHeight w:val="288"/>
        </w:trPr>
        <w:tc>
          <w:tcPr>
            <w:tcW w:w="1318" w:type="dxa"/>
            <w:tcBorders>
              <w:top w:val="nil"/>
              <w:left w:val="nil"/>
              <w:bottom w:val="nil"/>
              <w:right w:val="single" w:sz="4" w:space="0" w:color="auto"/>
            </w:tcBorders>
            <w:shd w:val="clear" w:color="auto" w:fill="auto"/>
            <w:noWrap/>
            <w:vAlign w:val="bottom"/>
            <w:hideMark/>
          </w:tcPr>
          <w:p w14:paraId="665C546E"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cg09418354</w:t>
            </w:r>
          </w:p>
        </w:tc>
        <w:tc>
          <w:tcPr>
            <w:tcW w:w="3542" w:type="dxa"/>
            <w:tcBorders>
              <w:top w:val="nil"/>
              <w:left w:val="single" w:sz="4" w:space="0" w:color="auto"/>
              <w:bottom w:val="nil"/>
              <w:right w:val="nil"/>
            </w:tcBorders>
            <w:shd w:val="clear" w:color="auto" w:fill="auto"/>
            <w:noWrap/>
            <w:vAlign w:val="bottom"/>
            <w:hideMark/>
          </w:tcPr>
          <w:p w14:paraId="7F1FED94"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-0.002, 0.091</w:t>
            </w:r>
          </w:p>
        </w:tc>
        <w:tc>
          <w:tcPr>
            <w:tcW w:w="2758" w:type="dxa"/>
            <w:tcBorders>
              <w:top w:val="nil"/>
              <w:left w:val="nil"/>
              <w:bottom w:val="nil"/>
              <w:right w:val="nil"/>
            </w:tcBorders>
            <w:shd w:val="clear" w:color="auto" w:fill="auto"/>
            <w:noWrap/>
            <w:vAlign w:val="bottom"/>
            <w:hideMark/>
          </w:tcPr>
          <w:p w14:paraId="06EA3D02"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0.001, 0.263</w:t>
            </w:r>
          </w:p>
        </w:tc>
        <w:tc>
          <w:tcPr>
            <w:tcW w:w="3150" w:type="dxa"/>
            <w:tcBorders>
              <w:top w:val="nil"/>
              <w:left w:val="nil"/>
              <w:bottom w:val="nil"/>
              <w:right w:val="nil"/>
            </w:tcBorders>
            <w:shd w:val="clear" w:color="auto" w:fill="auto"/>
            <w:noWrap/>
            <w:vAlign w:val="bottom"/>
            <w:hideMark/>
          </w:tcPr>
          <w:p w14:paraId="63331B1D" w14:textId="77777777"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-0.001, 0.184</w:t>
            </w:r>
          </w:p>
        </w:tc>
        <w:tc>
          <w:tcPr>
            <w:tcW w:w="3690" w:type="dxa"/>
            <w:tcBorders>
              <w:top w:val="nil"/>
              <w:left w:val="nil"/>
              <w:bottom w:val="nil"/>
              <w:right w:val="nil"/>
            </w:tcBorders>
            <w:shd w:val="clear" w:color="auto" w:fill="auto"/>
            <w:noWrap/>
            <w:vAlign w:val="bottom"/>
            <w:hideMark/>
          </w:tcPr>
          <w:p w14:paraId="3AA419E0" w14:textId="5B879511" w:rsidR="00CC269F" w:rsidRPr="00CC269F" w:rsidRDefault="00CC269F" w:rsidP="00CC269F">
            <w:pPr>
              <w:spacing w:after="0" w:line="240" w:lineRule="auto"/>
              <w:rPr>
                <w:rFonts w:ascii="Arial" w:eastAsia="Times New Roman" w:hAnsi="Arial" w:cs="Arial"/>
                <w:color w:val="000000"/>
                <w:sz w:val="20"/>
                <w:szCs w:val="20"/>
              </w:rPr>
            </w:pPr>
            <w:r w:rsidRPr="00CC269F">
              <w:rPr>
                <w:rFonts w:ascii="Arial" w:eastAsia="Times New Roman" w:hAnsi="Arial" w:cs="Arial"/>
                <w:color w:val="000000"/>
                <w:sz w:val="20"/>
                <w:szCs w:val="20"/>
              </w:rPr>
              <w:t>0.016, 0.15</w:t>
            </w:r>
            <w:r w:rsidR="0009580B">
              <w:rPr>
                <w:rFonts w:ascii="Arial" w:eastAsia="Times New Roman" w:hAnsi="Arial" w:cs="Arial"/>
                <w:color w:val="000000"/>
                <w:sz w:val="20"/>
                <w:szCs w:val="20"/>
              </w:rPr>
              <w:t>0</w:t>
            </w:r>
          </w:p>
        </w:tc>
      </w:tr>
    </w:tbl>
    <w:p w14:paraId="16E0BC49" w14:textId="77777777" w:rsidR="00CC269F" w:rsidRDefault="00CC269F">
      <w:pPr>
        <w:rPr>
          <w:rFonts w:ascii="Arial" w:hAnsi="Arial" w:cs="Arial"/>
          <w:b/>
          <w:bCs/>
          <w:sz w:val="20"/>
          <w:szCs w:val="20"/>
        </w:rPr>
      </w:pPr>
      <w:r>
        <w:rPr>
          <w:rFonts w:ascii="Arial" w:hAnsi="Arial" w:cs="Arial"/>
          <w:b/>
          <w:bCs/>
          <w:i/>
          <w:iCs/>
          <w:sz w:val="20"/>
          <w:szCs w:val="20"/>
        </w:rPr>
        <w:br w:type="page"/>
      </w:r>
    </w:p>
    <w:p w14:paraId="7FEB0964" w14:textId="5ABFD04E" w:rsidR="0031294C" w:rsidRDefault="0031294C" w:rsidP="0031294C">
      <w:pPr>
        <w:pStyle w:val="Caption"/>
        <w:keepNext/>
        <w:rPr>
          <w:rFonts w:ascii="Arial" w:hAnsi="Arial" w:cs="Arial"/>
          <w:i w:val="0"/>
          <w:iCs w:val="0"/>
          <w:color w:val="auto"/>
          <w:sz w:val="20"/>
          <w:szCs w:val="20"/>
        </w:rPr>
      </w:pPr>
      <w:r w:rsidRPr="004B12F2">
        <w:rPr>
          <w:rFonts w:ascii="Arial" w:hAnsi="Arial" w:cs="Arial"/>
          <w:b/>
          <w:bCs/>
          <w:i w:val="0"/>
          <w:iCs w:val="0"/>
          <w:color w:val="auto"/>
          <w:sz w:val="20"/>
          <w:szCs w:val="20"/>
        </w:rPr>
        <w:lastRenderedPageBreak/>
        <w:t>Table S</w:t>
      </w:r>
      <w:r w:rsidR="0009580B">
        <w:rPr>
          <w:rFonts w:ascii="Arial" w:hAnsi="Arial" w:cs="Arial"/>
          <w:b/>
          <w:bCs/>
          <w:i w:val="0"/>
          <w:iCs w:val="0"/>
          <w:color w:val="auto"/>
          <w:sz w:val="20"/>
          <w:szCs w:val="20"/>
        </w:rPr>
        <w:t>2</w:t>
      </w:r>
      <w:r w:rsidRPr="004B12F2">
        <w:rPr>
          <w:rFonts w:ascii="Arial" w:hAnsi="Arial" w:cs="Arial"/>
          <w:i w:val="0"/>
          <w:iCs w:val="0"/>
          <w:color w:val="auto"/>
          <w:sz w:val="20"/>
          <w:szCs w:val="20"/>
        </w:rPr>
        <w:t xml:space="preserve">: Results from differential mRNA expression analysis of genes with interaction of </w:t>
      </w:r>
      <w:r w:rsidR="005572AE">
        <w:rPr>
          <w:rFonts w:ascii="Arial" w:hAnsi="Arial" w:cs="Arial"/>
          <w:i w:val="0"/>
          <w:iCs w:val="0"/>
          <w:color w:val="auto"/>
          <w:sz w:val="20"/>
          <w:szCs w:val="20"/>
        </w:rPr>
        <w:t xml:space="preserve">reference-based </w:t>
      </w:r>
      <w:r w:rsidRPr="004B12F2">
        <w:rPr>
          <w:rFonts w:ascii="Arial" w:hAnsi="Arial" w:cs="Arial"/>
          <w:i w:val="0"/>
          <w:iCs w:val="0"/>
          <w:color w:val="auto"/>
          <w:sz w:val="20"/>
          <w:szCs w:val="20"/>
        </w:rPr>
        <w:t xml:space="preserve">estimated </w:t>
      </w:r>
      <w:r w:rsidR="00FA2970">
        <w:rPr>
          <w:rFonts w:ascii="Arial" w:hAnsi="Arial" w:cs="Arial"/>
          <w:i w:val="0"/>
          <w:iCs w:val="0"/>
          <w:color w:val="auto"/>
          <w:sz w:val="20"/>
          <w:szCs w:val="20"/>
        </w:rPr>
        <w:t xml:space="preserve">proportions of </w:t>
      </w:r>
      <w:r w:rsidR="005572AE">
        <w:rPr>
          <w:rFonts w:ascii="Arial" w:hAnsi="Arial" w:cs="Arial"/>
          <w:i w:val="0"/>
          <w:iCs w:val="0"/>
          <w:color w:val="auto"/>
          <w:sz w:val="20"/>
          <w:szCs w:val="20"/>
        </w:rPr>
        <w:t xml:space="preserve">cytotrophoblasts, </w:t>
      </w:r>
      <w:r w:rsidR="00060F54">
        <w:rPr>
          <w:rFonts w:ascii="Arial" w:hAnsi="Arial" w:cs="Arial"/>
          <w:i w:val="0"/>
          <w:iCs w:val="0"/>
          <w:color w:val="auto"/>
          <w:sz w:val="20"/>
          <w:szCs w:val="20"/>
        </w:rPr>
        <w:t xml:space="preserve">extravillous trophoblasts, </w:t>
      </w:r>
      <w:r w:rsidR="005572AE">
        <w:rPr>
          <w:rFonts w:ascii="Arial" w:hAnsi="Arial" w:cs="Arial"/>
          <w:i w:val="0"/>
          <w:iCs w:val="0"/>
          <w:color w:val="auto"/>
          <w:sz w:val="20"/>
          <w:szCs w:val="20"/>
        </w:rPr>
        <w:t>sync</w:t>
      </w:r>
      <w:r w:rsidR="00060F54">
        <w:rPr>
          <w:rFonts w:ascii="Arial" w:hAnsi="Arial" w:cs="Arial"/>
          <w:i w:val="0"/>
          <w:iCs w:val="0"/>
          <w:color w:val="auto"/>
          <w:sz w:val="20"/>
          <w:szCs w:val="20"/>
        </w:rPr>
        <w:t>ytiotrophoblasts, and stromal cells</w:t>
      </w:r>
      <w:r w:rsidRPr="004B12F2">
        <w:rPr>
          <w:rFonts w:ascii="Arial" w:hAnsi="Arial" w:cs="Arial"/>
          <w:i w:val="0"/>
          <w:iCs w:val="0"/>
          <w:color w:val="auto"/>
          <w:sz w:val="20"/>
          <w:szCs w:val="20"/>
        </w:rPr>
        <w:t>. Effect sizes presented shows the regression parameter estimate for the interaction of gene expression and compartment proportion.</w:t>
      </w:r>
      <w:r>
        <w:rPr>
          <w:rFonts w:ascii="Arial" w:hAnsi="Arial" w:cs="Arial"/>
          <w:i w:val="0"/>
          <w:iCs w:val="0"/>
          <w:color w:val="auto"/>
          <w:sz w:val="20"/>
          <w:szCs w:val="20"/>
        </w:rPr>
        <w:t xml:space="preserve"> Genes presented have at least one differential association with FDR-adjusted P &lt; 0.05.</w:t>
      </w:r>
      <w:r>
        <w:rPr>
          <w:rFonts w:ascii="Arial" w:hAnsi="Arial" w:cs="Arial"/>
          <w:i w:val="0"/>
          <w:iCs w:val="0"/>
          <w:color w:val="auto"/>
          <w:sz w:val="20"/>
          <w:szCs w:val="20"/>
        </w:rPr>
        <w:br/>
      </w:r>
    </w:p>
    <w:tbl>
      <w:tblPr>
        <w:tblW w:w="13347" w:type="dxa"/>
        <w:tblInd w:w="-540" w:type="dxa"/>
        <w:tblLook w:val="04A0" w:firstRow="1" w:lastRow="0" w:firstColumn="1" w:lastColumn="0" w:noHBand="0" w:noVBand="1"/>
      </w:tblPr>
      <w:tblGrid>
        <w:gridCol w:w="1530"/>
        <w:gridCol w:w="810"/>
        <w:gridCol w:w="567"/>
        <w:gridCol w:w="1513"/>
        <w:gridCol w:w="800"/>
        <w:gridCol w:w="567"/>
        <w:gridCol w:w="1523"/>
        <w:gridCol w:w="790"/>
        <w:gridCol w:w="720"/>
        <w:gridCol w:w="1620"/>
        <w:gridCol w:w="720"/>
        <w:gridCol w:w="567"/>
        <w:gridCol w:w="1620"/>
      </w:tblGrid>
      <w:tr w:rsidR="00AB32BB" w:rsidRPr="00AB32BB" w14:paraId="2A9A9F92" w14:textId="77777777" w:rsidTr="00950ABF">
        <w:trPr>
          <w:trHeight w:val="288"/>
        </w:trPr>
        <w:tc>
          <w:tcPr>
            <w:tcW w:w="1530" w:type="dxa"/>
            <w:tcBorders>
              <w:top w:val="nil"/>
              <w:left w:val="nil"/>
              <w:bottom w:val="single" w:sz="4" w:space="0" w:color="auto"/>
              <w:right w:val="nil"/>
            </w:tcBorders>
            <w:shd w:val="clear" w:color="auto" w:fill="auto"/>
            <w:noWrap/>
            <w:vAlign w:val="center"/>
            <w:hideMark/>
          </w:tcPr>
          <w:p w14:paraId="3F83FC80" w14:textId="77777777" w:rsidR="00AB32BB" w:rsidRPr="00AB32BB" w:rsidRDefault="00AB32BB" w:rsidP="00AB32BB">
            <w:pPr>
              <w:spacing w:after="0" w:line="240" w:lineRule="auto"/>
              <w:jc w:val="center"/>
              <w:rPr>
                <w:rFonts w:ascii="Times New Roman" w:eastAsia="Times New Roman" w:hAnsi="Times New Roman" w:cs="Times New Roman"/>
                <w:sz w:val="24"/>
                <w:szCs w:val="24"/>
              </w:rPr>
            </w:pPr>
          </w:p>
        </w:tc>
        <w:tc>
          <w:tcPr>
            <w:tcW w:w="2890" w:type="dxa"/>
            <w:gridSpan w:val="3"/>
            <w:tcBorders>
              <w:top w:val="nil"/>
              <w:left w:val="nil"/>
              <w:bottom w:val="single" w:sz="4" w:space="0" w:color="auto"/>
              <w:right w:val="nil"/>
            </w:tcBorders>
            <w:shd w:val="clear" w:color="auto" w:fill="auto"/>
            <w:noWrap/>
            <w:vAlign w:val="center"/>
            <w:hideMark/>
          </w:tcPr>
          <w:p w14:paraId="457A94B7" w14:textId="77777777" w:rsidR="00AB32BB" w:rsidRPr="00AB32BB" w:rsidRDefault="00AB32BB" w:rsidP="00AB32BB">
            <w:pPr>
              <w:spacing w:after="0" w:line="240" w:lineRule="auto"/>
              <w:jc w:val="center"/>
              <w:rPr>
                <w:rFonts w:ascii="Arial" w:eastAsia="Times New Roman" w:hAnsi="Arial" w:cs="Arial"/>
                <w:b/>
                <w:bCs/>
                <w:color w:val="000000"/>
                <w:sz w:val="20"/>
                <w:szCs w:val="20"/>
              </w:rPr>
            </w:pPr>
            <w:r w:rsidRPr="00AB32BB">
              <w:rPr>
                <w:rFonts w:ascii="Arial" w:eastAsia="Times New Roman" w:hAnsi="Arial" w:cs="Arial"/>
                <w:b/>
                <w:bCs/>
                <w:color w:val="000000"/>
                <w:sz w:val="20"/>
                <w:szCs w:val="20"/>
              </w:rPr>
              <w:t>Cytotrophoblasts</w:t>
            </w:r>
          </w:p>
        </w:tc>
        <w:tc>
          <w:tcPr>
            <w:tcW w:w="2890" w:type="dxa"/>
            <w:gridSpan w:val="3"/>
            <w:tcBorders>
              <w:top w:val="nil"/>
              <w:left w:val="nil"/>
              <w:bottom w:val="single" w:sz="4" w:space="0" w:color="auto"/>
              <w:right w:val="nil"/>
            </w:tcBorders>
            <w:shd w:val="clear" w:color="auto" w:fill="auto"/>
            <w:noWrap/>
            <w:vAlign w:val="center"/>
            <w:hideMark/>
          </w:tcPr>
          <w:p w14:paraId="0AA7FEA2" w14:textId="77777777" w:rsidR="00AB32BB" w:rsidRPr="00AB32BB" w:rsidRDefault="00AB32BB" w:rsidP="00AB32BB">
            <w:pPr>
              <w:spacing w:after="0" w:line="240" w:lineRule="auto"/>
              <w:jc w:val="center"/>
              <w:rPr>
                <w:rFonts w:ascii="Arial" w:eastAsia="Times New Roman" w:hAnsi="Arial" w:cs="Arial"/>
                <w:b/>
                <w:bCs/>
                <w:color w:val="000000"/>
                <w:sz w:val="20"/>
                <w:szCs w:val="20"/>
              </w:rPr>
            </w:pPr>
            <w:r w:rsidRPr="00AB32BB">
              <w:rPr>
                <w:rFonts w:ascii="Arial" w:eastAsia="Times New Roman" w:hAnsi="Arial" w:cs="Arial"/>
                <w:b/>
                <w:bCs/>
                <w:color w:val="000000"/>
                <w:sz w:val="20"/>
                <w:szCs w:val="20"/>
              </w:rPr>
              <w:t>Extravillous trophoblasts</w:t>
            </w:r>
          </w:p>
        </w:tc>
        <w:tc>
          <w:tcPr>
            <w:tcW w:w="3130" w:type="dxa"/>
            <w:gridSpan w:val="3"/>
            <w:tcBorders>
              <w:top w:val="nil"/>
              <w:left w:val="nil"/>
              <w:bottom w:val="single" w:sz="4" w:space="0" w:color="auto"/>
              <w:right w:val="nil"/>
            </w:tcBorders>
            <w:shd w:val="clear" w:color="auto" w:fill="auto"/>
            <w:noWrap/>
            <w:vAlign w:val="center"/>
            <w:hideMark/>
          </w:tcPr>
          <w:p w14:paraId="69E051A2" w14:textId="77777777" w:rsidR="00AB32BB" w:rsidRPr="00AB32BB" w:rsidRDefault="00AB32BB" w:rsidP="00AB32BB">
            <w:pPr>
              <w:spacing w:after="0" w:line="240" w:lineRule="auto"/>
              <w:jc w:val="center"/>
              <w:rPr>
                <w:rFonts w:ascii="Arial" w:eastAsia="Times New Roman" w:hAnsi="Arial" w:cs="Arial"/>
                <w:b/>
                <w:bCs/>
                <w:color w:val="000000"/>
                <w:sz w:val="20"/>
                <w:szCs w:val="20"/>
              </w:rPr>
            </w:pPr>
            <w:r w:rsidRPr="00AB32BB">
              <w:rPr>
                <w:rFonts w:ascii="Arial" w:eastAsia="Times New Roman" w:hAnsi="Arial" w:cs="Arial"/>
                <w:b/>
                <w:bCs/>
                <w:color w:val="000000"/>
                <w:sz w:val="20"/>
                <w:szCs w:val="20"/>
              </w:rPr>
              <w:t>Syncytiotrophoblasts</w:t>
            </w:r>
          </w:p>
        </w:tc>
        <w:tc>
          <w:tcPr>
            <w:tcW w:w="2907" w:type="dxa"/>
            <w:gridSpan w:val="3"/>
            <w:tcBorders>
              <w:top w:val="nil"/>
              <w:left w:val="nil"/>
              <w:bottom w:val="single" w:sz="4" w:space="0" w:color="auto"/>
              <w:right w:val="nil"/>
            </w:tcBorders>
            <w:shd w:val="clear" w:color="auto" w:fill="auto"/>
            <w:noWrap/>
            <w:vAlign w:val="center"/>
            <w:hideMark/>
          </w:tcPr>
          <w:p w14:paraId="5DA8AA50" w14:textId="77777777" w:rsidR="00AB32BB" w:rsidRPr="00AB32BB" w:rsidRDefault="00AB32BB" w:rsidP="00AB32BB">
            <w:pPr>
              <w:spacing w:after="0" w:line="240" w:lineRule="auto"/>
              <w:jc w:val="center"/>
              <w:rPr>
                <w:rFonts w:ascii="Arial" w:eastAsia="Times New Roman" w:hAnsi="Arial" w:cs="Arial"/>
                <w:b/>
                <w:bCs/>
                <w:color w:val="000000"/>
                <w:sz w:val="20"/>
                <w:szCs w:val="20"/>
              </w:rPr>
            </w:pPr>
            <w:r w:rsidRPr="00AB32BB">
              <w:rPr>
                <w:rFonts w:ascii="Arial" w:eastAsia="Times New Roman" w:hAnsi="Arial" w:cs="Arial"/>
                <w:b/>
                <w:bCs/>
                <w:color w:val="000000"/>
                <w:sz w:val="20"/>
                <w:szCs w:val="20"/>
              </w:rPr>
              <w:t>Stromal cells</w:t>
            </w:r>
          </w:p>
        </w:tc>
      </w:tr>
      <w:tr w:rsidR="00AB32BB" w:rsidRPr="00AB32BB" w14:paraId="5B5457BC" w14:textId="77777777" w:rsidTr="00950ABF">
        <w:trPr>
          <w:trHeight w:val="288"/>
        </w:trPr>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08E87C15" w14:textId="77777777" w:rsidR="00AB32BB" w:rsidRPr="00AB32BB" w:rsidRDefault="00AB32BB" w:rsidP="00AB32BB">
            <w:pPr>
              <w:spacing w:after="0" w:line="240" w:lineRule="auto"/>
              <w:rPr>
                <w:rFonts w:ascii="Arial" w:eastAsia="Times New Roman" w:hAnsi="Arial" w:cs="Arial"/>
                <w:b/>
                <w:bCs/>
                <w:color w:val="000000"/>
                <w:sz w:val="18"/>
                <w:szCs w:val="18"/>
              </w:rPr>
            </w:pPr>
            <w:r w:rsidRPr="00AB32BB">
              <w:rPr>
                <w:rFonts w:ascii="Arial" w:eastAsia="Times New Roman" w:hAnsi="Arial" w:cs="Arial"/>
                <w:b/>
                <w:bCs/>
                <w:color w:val="000000"/>
                <w:sz w:val="18"/>
                <w:szCs w:val="18"/>
              </w:rPr>
              <w:t>Outcome: SRS</w:t>
            </w:r>
          </w:p>
        </w:tc>
        <w:tc>
          <w:tcPr>
            <w:tcW w:w="810" w:type="dxa"/>
            <w:tcBorders>
              <w:top w:val="single" w:sz="4" w:space="0" w:color="auto"/>
              <w:left w:val="single" w:sz="4" w:space="0" w:color="auto"/>
              <w:bottom w:val="single" w:sz="4" w:space="0" w:color="auto"/>
              <w:right w:val="nil"/>
            </w:tcBorders>
            <w:shd w:val="clear" w:color="auto" w:fill="auto"/>
            <w:noWrap/>
            <w:vAlign w:val="center"/>
            <w:hideMark/>
          </w:tcPr>
          <w:p w14:paraId="59ECF583"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Beta</w:t>
            </w:r>
          </w:p>
        </w:tc>
        <w:tc>
          <w:tcPr>
            <w:tcW w:w="567" w:type="dxa"/>
            <w:tcBorders>
              <w:top w:val="single" w:sz="4" w:space="0" w:color="auto"/>
              <w:left w:val="nil"/>
              <w:bottom w:val="single" w:sz="4" w:space="0" w:color="auto"/>
              <w:right w:val="nil"/>
            </w:tcBorders>
            <w:shd w:val="clear" w:color="auto" w:fill="auto"/>
            <w:noWrap/>
            <w:vAlign w:val="center"/>
            <w:hideMark/>
          </w:tcPr>
          <w:p w14:paraId="72939228"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P</w:t>
            </w:r>
          </w:p>
        </w:tc>
        <w:tc>
          <w:tcPr>
            <w:tcW w:w="1513" w:type="dxa"/>
            <w:tcBorders>
              <w:top w:val="single" w:sz="4" w:space="0" w:color="auto"/>
              <w:left w:val="nil"/>
              <w:bottom w:val="single" w:sz="4" w:space="0" w:color="auto"/>
              <w:right w:val="single" w:sz="4" w:space="0" w:color="auto"/>
            </w:tcBorders>
            <w:shd w:val="clear" w:color="auto" w:fill="auto"/>
            <w:noWrap/>
            <w:vAlign w:val="center"/>
            <w:hideMark/>
          </w:tcPr>
          <w:p w14:paraId="225AF421"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FDR-adjusted P</w:t>
            </w:r>
          </w:p>
        </w:tc>
        <w:tc>
          <w:tcPr>
            <w:tcW w:w="800" w:type="dxa"/>
            <w:tcBorders>
              <w:top w:val="single" w:sz="4" w:space="0" w:color="auto"/>
              <w:left w:val="single" w:sz="4" w:space="0" w:color="auto"/>
              <w:bottom w:val="single" w:sz="4" w:space="0" w:color="auto"/>
              <w:right w:val="nil"/>
            </w:tcBorders>
            <w:shd w:val="clear" w:color="auto" w:fill="auto"/>
            <w:noWrap/>
            <w:vAlign w:val="center"/>
            <w:hideMark/>
          </w:tcPr>
          <w:p w14:paraId="16546989"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Beta</w:t>
            </w:r>
          </w:p>
        </w:tc>
        <w:tc>
          <w:tcPr>
            <w:tcW w:w="567" w:type="dxa"/>
            <w:tcBorders>
              <w:top w:val="single" w:sz="4" w:space="0" w:color="auto"/>
              <w:left w:val="nil"/>
              <w:bottom w:val="single" w:sz="4" w:space="0" w:color="auto"/>
              <w:right w:val="nil"/>
            </w:tcBorders>
            <w:shd w:val="clear" w:color="auto" w:fill="auto"/>
            <w:noWrap/>
            <w:vAlign w:val="center"/>
            <w:hideMark/>
          </w:tcPr>
          <w:p w14:paraId="3F61748D"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P</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18C11F84"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FDR-adjusted P</w:t>
            </w:r>
          </w:p>
        </w:tc>
        <w:tc>
          <w:tcPr>
            <w:tcW w:w="790" w:type="dxa"/>
            <w:tcBorders>
              <w:top w:val="single" w:sz="4" w:space="0" w:color="auto"/>
              <w:left w:val="single" w:sz="4" w:space="0" w:color="auto"/>
              <w:bottom w:val="single" w:sz="4" w:space="0" w:color="auto"/>
              <w:right w:val="nil"/>
            </w:tcBorders>
            <w:shd w:val="clear" w:color="auto" w:fill="auto"/>
            <w:noWrap/>
            <w:vAlign w:val="center"/>
            <w:hideMark/>
          </w:tcPr>
          <w:p w14:paraId="43E2B9B5"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Beta</w:t>
            </w:r>
          </w:p>
        </w:tc>
        <w:tc>
          <w:tcPr>
            <w:tcW w:w="720" w:type="dxa"/>
            <w:tcBorders>
              <w:top w:val="single" w:sz="4" w:space="0" w:color="auto"/>
              <w:left w:val="nil"/>
              <w:bottom w:val="single" w:sz="4" w:space="0" w:color="auto"/>
              <w:right w:val="nil"/>
            </w:tcBorders>
            <w:shd w:val="clear" w:color="auto" w:fill="auto"/>
            <w:noWrap/>
            <w:vAlign w:val="center"/>
            <w:hideMark/>
          </w:tcPr>
          <w:p w14:paraId="6BFB3BC7"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P</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0313822"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FDR-adjusted P</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1B432720"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Beta</w:t>
            </w:r>
          </w:p>
        </w:tc>
        <w:tc>
          <w:tcPr>
            <w:tcW w:w="567" w:type="dxa"/>
            <w:tcBorders>
              <w:top w:val="single" w:sz="4" w:space="0" w:color="auto"/>
              <w:left w:val="nil"/>
              <w:bottom w:val="single" w:sz="4" w:space="0" w:color="auto"/>
              <w:right w:val="nil"/>
            </w:tcBorders>
            <w:shd w:val="clear" w:color="auto" w:fill="auto"/>
            <w:noWrap/>
            <w:vAlign w:val="center"/>
            <w:hideMark/>
          </w:tcPr>
          <w:p w14:paraId="7A40C7FE"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P</w:t>
            </w:r>
          </w:p>
        </w:tc>
        <w:tc>
          <w:tcPr>
            <w:tcW w:w="1620" w:type="dxa"/>
            <w:tcBorders>
              <w:top w:val="single" w:sz="4" w:space="0" w:color="auto"/>
              <w:left w:val="nil"/>
              <w:bottom w:val="single" w:sz="4" w:space="0" w:color="auto"/>
              <w:right w:val="nil"/>
            </w:tcBorders>
            <w:shd w:val="clear" w:color="auto" w:fill="auto"/>
            <w:noWrap/>
            <w:vAlign w:val="center"/>
            <w:hideMark/>
          </w:tcPr>
          <w:p w14:paraId="22456585"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FDR-adjusted P</w:t>
            </w:r>
          </w:p>
        </w:tc>
      </w:tr>
      <w:tr w:rsidR="00AB32BB" w:rsidRPr="00AB32BB" w14:paraId="64EF7008" w14:textId="77777777" w:rsidTr="00950ABF">
        <w:trPr>
          <w:trHeight w:val="288"/>
        </w:trPr>
        <w:tc>
          <w:tcPr>
            <w:tcW w:w="1530" w:type="dxa"/>
            <w:tcBorders>
              <w:top w:val="single" w:sz="4" w:space="0" w:color="auto"/>
              <w:left w:val="nil"/>
              <w:bottom w:val="nil"/>
              <w:right w:val="single" w:sz="4" w:space="0" w:color="auto"/>
            </w:tcBorders>
            <w:shd w:val="clear" w:color="auto" w:fill="auto"/>
            <w:noWrap/>
            <w:vAlign w:val="center"/>
            <w:hideMark/>
          </w:tcPr>
          <w:p w14:paraId="4DB6BEE2" w14:textId="77777777" w:rsidR="00AB32BB" w:rsidRPr="00AB32BB" w:rsidRDefault="00AB32BB" w:rsidP="00AB32BB">
            <w:pPr>
              <w:spacing w:after="0" w:line="240" w:lineRule="auto"/>
              <w:jc w:val="right"/>
              <w:rPr>
                <w:rFonts w:ascii="Arial" w:eastAsia="Times New Roman" w:hAnsi="Arial" w:cs="Arial"/>
                <w:i/>
                <w:iCs/>
                <w:color w:val="000000"/>
                <w:sz w:val="18"/>
                <w:szCs w:val="18"/>
              </w:rPr>
            </w:pPr>
            <w:r w:rsidRPr="00AB32BB">
              <w:rPr>
                <w:rFonts w:ascii="Arial" w:eastAsia="Times New Roman" w:hAnsi="Arial" w:cs="Arial"/>
                <w:i/>
                <w:iCs/>
                <w:color w:val="000000"/>
                <w:sz w:val="18"/>
                <w:szCs w:val="18"/>
              </w:rPr>
              <w:t>BRD2</w:t>
            </w:r>
          </w:p>
        </w:tc>
        <w:tc>
          <w:tcPr>
            <w:tcW w:w="810" w:type="dxa"/>
            <w:tcBorders>
              <w:top w:val="single" w:sz="4" w:space="0" w:color="auto"/>
              <w:left w:val="single" w:sz="4" w:space="0" w:color="auto"/>
              <w:bottom w:val="nil"/>
              <w:right w:val="nil"/>
            </w:tcBorders>
            <w:shd w:val="clear" w:color="auto" w:fill="auto"/>
            <w:noWrap/>
            <w:vAlign w:val="center"/>
            <w:hideMark/>
          </w:tcPr>
          <w:p w14:paraId="76C5BA0B"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-0.67</w:t>
            </w:r>
          </w:p>
        </w:tc>
        <w:tc>
          <w:tcPr>
            <w:tcW w:w="567" w:type="dxa"/>
            <w:tcBorders>
              <w:top w:val="single" w:sz="4" w:space="0" w:color="auto"/>
              <w:left w:val="nil"/>
              <w:bottom w:val="nil"/>
              <w:right w:val="nil"/>
            </w:tcBorders>
            <w:shd w:val="clear" w:color="auto" w:fill="auto"/>
            <w:noWrap/>
            <w:vAlign w:val="center"/>
            <w:hideMark/>
          </w:tcPr>
          <w:p w14:paraId="1A7F1EF3"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0.25</w:t>
            </w:r>
          </w:p>
        </w:tc>
        <w:tc>
          <w:tcPr>
            <w:tcW w:w="1513" w:type="dxa"/>
            <w:tcBorders>
              <w:top w:val="single" w:sz="4" w:space="0" w:color="auto"/>
              <w:left w:val="nil"/>
              <w:bottom w:val="nil"/>
              <w:right w:val="single" w:sz="4" w:space="0" w:color="auto"/>
            </w:tcBorders>
            <w:shd w:val="clear" w:color="auto" w:fill="auto"/>
            <w:noWrap/>
            <w:vAlign w:val="center"/>
            <w:hideMark/>
          </w:tcPr>
          <w:p w14:paraId="19D319EF"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1.00</w:t>
            </w:r>
          </w:p>
        </w:tc>
        <w:tc>
          <w:tcPr>
            <w:tcW w:w="800" w:type="dxa"/>
            <w:tcBorders>
              <w:top w:val="single" w:sz="4" w:space="0" w:color="auto"/>
              <w:left w:val="single" w:sz="4" w:space="0" w:color="auto"/>
              <w:bottom w:val="nil"/>
              <w:right w:val="nil"/>
            </w:tcBorders>
            <w:shd w:val="clear" w:color="auto" w:fill="auto"/>
            <w:noWrap/>
            <w:vAlign w:val="center"/>
            <w:hideMark/>
          </w:tcPr>
          <w:p w14:paraId="5296AE81"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-0.19</w:t>
            </w:r>
          </w:p>
        </w:tc>
        <w:tc>
          <w:tcPr>
            <w:tcW w:w="567" w:type="dxa"/>
            <w:tcBorders>
              <w:top w:val="single" w:sz="4" w:space="0" w:color="auto"/>
              <w:left w:val="nil"/>
              <w:bottom w:val="nil"/>
              <w:right w:val="nil"/>
            </w:tcBorders>
            <w:shd w:val="clear" w:color="auto" w:fill="auto"/>
            <w:noWrap/>
            <w:vAlign w:val="center"/>
            <w:hideMark/>
          </w:tcPr>
          <w:p w14:paraId="79B16C0B"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0.67</w:t>
            </w:r>
          </w:p>
        </w:tc>
        <w:tc>
          <w:tcPr>
            <w:tcW w:w="1523" w:type="dxa"/>
            <w:tcBorders>
              <w:top w:val="single" w:sz="4" w:space="0" w:color="auto"/>
              <w:left w:val="nil"/>
              <w:bottom w:val="nil"/>
              <w:right w:val="single" w:sz="4" w:space="0" w:color="auto"/>
            </w:tcBorders>
            <w:shd w:val="clear" w:color="auto" w:fill="auto"/>
            <w:noWrap/>
            <w:vAlign w:val="center"/>
            <w:hideMark/>
          </w:tcPr>
          <w:p w14:paraId="268AD264"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0.91</w:t>
            </w:r>
          </w:p>
        </w:tc>
        <w:tc>
          <w:tcPr>
            <w:tcW w:w="790" w:type="dxa"/>
            <w:tcBorders>
              <w:top w:val="single" w:sz="4" w:space="0" w:color="auto"/>
              <w:left w:val="single" w:sz="4" w:space="0" w:color="auto"/>
              <w:bottom w:val="nil"/>
              <w:right w:val="nil"/>
            </w:tcBorders>
            <w:shd w:val="clear" w:color="auto" w:fill="auto"/>
            <w:noWrap/>
            <w:vAlign w:val="center"/>
            <w:hideMark/>
          </w:tcPr>
          <w:p w14:paraId="36B60B7D"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-1.31</w:t>
            </w:r>
          </w:p>
        </w:tc>
        <w:tc>
          <w:tcPr>
            <w:tcW w:w="720" w:type="dxa"/>
            <w:tcBorders>
              <w:top w:val="single" w:sz="4" w:space="0" w:color="auto"/>
              <w:left w:val="nil"/>
              <w:bottom w:val="nil"/>
              <w:right w:val="nil"/>
            </w:tcBorders>
            <w:shd w:val="clear" w:color="auto" w:fill="auto"/>
            <w:noWrap/>
            <w:vAlign w:val="center"/>
            <w:hideMark/>
          </w:tcPr>
          <w:p w14:paraId="00E386FE"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single" w:sz="4" w:space="0" w:color="auto"/>
              <w:left w:val="nil"/>
              <w:bottom w:val="nil"/>
              <w:right w:val="single" w:sz="4" w:space="0" w:color="auto"/>
            </w:tcBorders>
            <w:shd w:val="clear" w:color="auto" w:fill="auto"/>
            <w:noWrap/>
            <w:vAlign w:val="center"/>
            <w:hideMark/>
          </w:tcPr>
          <w:p w14:paraId="33BE63D0"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0.10</w:t>
            </w:r>
          </w:p>
        </w:tc>
        <w:tc>
          <w:tcPr>
            <w:tcW w:w="720" w:type="dxa"/>
            <w:tcBorders>
              <w:top w:val="single" w:sz="4" w:space="0" w:color="auto"/>
              <w:left w:val="single" w:sz="4" w:space="0" w:color="auto"/>
              <w:bottom w:val="nil"/>
              <w:right w:val="nil"/>
            </w:tcBorders>
            <w:shd w:val="clear" w:color="auto" w:fill="auto"/>
            <w:noWrap/>
            <w:vAlign w:val="center"/>
            <w:hideMark/>
          </w:tcPr>
          <w:p w14:paraId="2A07FC7B"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1.63</w:t>
            </w:r>
          </w:p>
        </w:tc>
        <w:tc>
          <w:tcPr>
            <w:tcW w:w="567" w:type="dxa"/>
            <w:tcBorders>
              <w:top w:val="single" w:sz="4" w:space="0" w:color="auto"/>
              <w:left w:val="nil"/>
              <w:bottom w:val="nil"/>
              <w:right w:val="nil"/>
            </w:tcBorders>
            <w:shd w:val="clear" w:color="auto" w:fill="auto"/>
            <w:noWrap/>
            <w:vAlign w:val="center"/>
            <w:hideMark/>
          </w:tcPr>
          <w:p w14:paraId="0F6DB877"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single" w:sz="4" w:space="0" w:color="auto"/>
              <w:left w:val="nil"/>
              <w:bottom w:val="nil"/>
              <w:right w:val="nil"/>
            </w:tcBorders>
            <w:shd w:val="clear" w:color="auto" w:fill="auto"/>
            <w:noWrap/>
            <w:vAlign w:val="center"/>
            <w:hideMark/>
          </w:tcPr>
          <w:p w14:paraId="7F4A6AC8"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0.04</w:t>
            </w:r>
          </w:p>
        </w:tc>
      </w:tr>
      <w:tr w:rsidR="00AB32BB" w:rsidRPr="00AB32BB" w14:paraId="7CDC32C7" w14:textId="77777777" w:rsidTr="00950ABF">
        <w:trPr>
          <w:trHeight w:val="288"/>
        </w:trPr>
        <w:tc>
          <w:tcPr>
            <w:tcW w:w="1530" w:type="dxa"/>
            <w:tcBorders>
              <w:top w:val="nil"/>
              <w:left w:val="nil"/>
              <w:bottom w:val="single" w:sz="4" w:space="0" w:color="auto"/>
              <w:right w:val="single" w:sz="4" w:space="0" w:color="auto"/>
            </w:tcBorders>
            <w:shd w:val="clear" w:color="auto" w:fill="auto"/>
            <w:noWrap/>
            <w:vAlign w:val="center"/>
            <w:hideMark/>
          </w:tcPr>
          <w:p w14:paraId="50A9BE65" w14:textId="77777777" w:rsidR="00AB32BB" w:rsidRPr="00AB32BB" w:rsidRDefault="00AB32BB" w:rsidP="00AB32BB">
            <w:pPr>
              <w:spacing w:after="0" w:line="240" w:lineRule="auto"/>
              <w:jc w:val="right"/>
              <w:rPr>
                <w:rFonts w:ascii="Arial" w:eastAsia="Times New Roman" w:hAnsi="Arial" w:cs="Arial"/>
                <w:i/>
                <w:iCs/>
                <w:color w:val="000000"/>
                <w:sz w:val="18"/>
                <w:szCs w:val="18"/>
              </w:rPr>
            </w:pPr>
            <w:r w:rsidRPr="00AB32BB">
              <w:rPr>
                <w:rFonts w:ascii="Arial" w:eastAsia="Times New Roman" w:hAnsi="Arial" w:cs="Arial"/>
                <w:i/>
                <w:iCs/>
                <w:color w:val="000000"/>
                <w:sz w:val="18"/>
                <w:szCs w:val="18"/>
              </w:rPr>
              <w:t>ZNF618</w:t>
            </w:r>
          </w:p>
        </w:tc>
        <w:tc>
          <w:tcPr>
            <w:tcW w:w="810" w:type="dxa"/>
            <w:tcBorders>
              <w:top w:val="nil"/>
              <w:left w:val="single" w:sz="4" w:space="0" w:color="auto"/>
              <w:bottom w:val="single" w:sz="4" w:space="0" w:color="auto"/>
              <w:right w:val="nil"/>
            </w:tcBorders>
            <w:shd w:val="clear" w:color="auto" w:fill="auto"/>
            <w:noWrap/>
            <w:vAlign w:val="center"/>
            <w:hideMark/>
          </w:tcPr>
          <w:p w14:paraId="1AF9FA37"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-1.54</w:t>
            </w:r>
          </w:p>
        </w:tc>
        <w:tc>
          <w:tcPr>
            <w:tcW w:w="567" w:type="dxa"/>
            <w:tcBorders>
              <w:top w:val="nil"/>
              <w:left w:val="nil"/>
              <w:bottom w:val="single" w:sz="4" w:space="0" w:color="auto"/>
              <w:right w:val="nil"/>
            </w:tcBorders>
            <w:shd w:val="clear" w:color="auto" w:fill="auto"/>
            <w:noWrap/>
            <w:vAlign w:val="center"/>
            <w:hideMark/>
          </w:tcPr>
          <w:p w14:paraId="0300DB70"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0.01</w:t>
            </w:r>
          </w:p>
        </w:tc>
        <w:tc>
          <w:tcPr>
            <w:tcW w:w="1513" w:type="dxa"/>
            <w:tcBorders>
              <w:top w:val="nil"/>
              <w:left w:val="nil"/>
              <w:bottom w:val="single" w:sz="4" w:space="0" w:color="auto"/>
              <w:right w:val="single" w:sz="4" w:space="0" w:color="auto"/>
            </w:tcBorders>
            <w:shd w:val="clear" w:color="auto" w:fill="auto"/>
            <w:noWrap/>
            <w:vAlign w:val="center"/>
            <w:hideMark/>
          </w:tcPr>
          <w:p w14:paraId="52EF07CA"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1.00</w:t>
            </w:r>
          </w:p>
        </w:tc>
        <w:tc>
          <w:tcPr>
            <w:tcW w:w="800" w:type="dxa"/>
            <w:tcBorders>
              <w:top w:val="nil"/>
              <w:left w:val="single" w:sz="4" w:space="0" w:color="auto"/>
              <w:bottom w:val="single" w:sz="4" w:space="0" w:color="auto"/>
              <w:right w:val="nil"/>
            </w:tcBorders>
            <w:shd w:val="clear" w:color="auto" w:fill="auto"/>
            <w:noWrap/>
            <w:vAlign w:val="center"/>
            <w:hideMark/>
          </w:tcPr>
          <w:p w14:paraId="370AC1C1"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0.42</w:t>
            </w:r>
          </w:p>
        </w:tc>
        <w:tc>
          <w:tcPr>
            <w:tcW w:w="567" w:type="dxa"/>
            <w:tcBorders>
              <w:top w:val="nil"/>
              <w:left w:val="nil"/>
              <w:bottom w:val="single" w:sz="4" w:space="0" w:color="auto"/>
              <w:right w:val="nil"/>
            </w:tcBorders>
            <w:shd w:val="clear" w:color="auto" w:fill="auto"/>
            <w:noWrap/>
            <w:vAlign w:val="center"/>
            <w:hideMark/>
          </w:tcPr>
          <w:p w14:paraId="32B7CCC6"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0.41</w:t>
            </w:r>
          </w:p>
        </w:tc>
        <w:tc>
          <w:tcPr>
            <w:tcW w:w="1523" w:type="dxa"/>
            <w:tcBorders>
              <w:top w:val="nil"/>
              <w:left w:val="nil"/>
              <w:bottom w:val="single" w:sz="4" w:space="0" w:color="auto"/>
              <w:right w:val="single" w:sz="4" w:space="0" w:color="auto"/>
            </w:tcBorders>
            <w:shd w:val="clear" w:color="auto" w:fill="auto"/>
            <w:noWrap/>
            <w:vAlign w:val="center"/>
            <w:hideMark/>
          </w:tcPr>
          <w:p w14:paraId="5037A298"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0.79</w:t>
            </w:r>
          </w:p>
        </w:tc>
        <w:tc>
          <w:tcPr>
            <w:tcW w:w="790" w:type="dxa"/>
            <w:tcBorders>
              <w:top w:val="nil"/>
              <w:left w:val="single" w:sz="4" w:space="0" w:color="auto"/>
              <w:bottom w:val="single" w:sz="4" w:space="0" w:color="auto"/>
              <w:right w:val="nil"/>
            </w:tcBorders>
            <w:shd w:val="clear" w:color="auto" w:fill="auto"/>
            <w:noWrap/>
            <w:vAlign w:val="center"/>
            <w:hideMark/>
          </w:tcPr>
          <w:p w14:paraId="016572D2"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-1.49</w:t>
            </w:r>
          </w:p>
        </w:tc>
        <w:tc>
          <w:tcPr>
            <w:tcW w:w="720" w:type="dxa"/>
            <w:tcBorders>
              <w:top w:val="nil"/>
              <w:left w:val="nil"/>
              <w:bottom w:val="single" w:sz="4" w:space="0" w:color="auto"/>
              <w:right w:val="nil"/>
            </w:tcBorders>
            <w:shd w:val="clear" w:color="auto" w:fill="auto"/>
            <w:noWrap/>
            <w:vAlign w:val="center"/>
            <w:hideMark/>
          </w:tcPr>
          <w:p w14:paraId="2BF28E59"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nil"/>
              <w:left w:val="nil"/>
              <w:bottom w:val="single" w:sz="4" w:space="0" w:color="auto"/>
              <w:right w:val="single" w:sz="4" w:space="0" w:color="auto"/>
            </w:tcBorders>
            <w:shd w:val="clear" w:color="auto" w:fill="auto"/>
            <w:noWrap/>
            <w:vAlign w:val="center"/>
            <w:hideMark/>
          </w:tcPr>
          <w:p w14:paraId="134BBEAF"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0.10</w:t>
            </w:r>
          </w:p>
        </w:tc>
        <w:tc>
          <w:tcPr>
            <w:tcW w:w="720" w:type="dxa"/>
            <w:tcBorders>
              <w:top w:val="nil"/>
              <w:left w:val="single" w:sz="4" w:space="0" w:color="auto"/>
              <w:bottom w:val="single" w:sz="4" w:space="0" w:color="auto"/>
              <w:right w:val="nil"/>
            </w:tcBorders>
            <w:shd w:val="clear" w:color="auto" w:fill="auto"/>
            <w:noWrap/>
            <w:vAlign w:val="center"/>
            <w:hideMark/>
          </w:tcPr>
          <w:p w14:paraId="5BDEF017"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1.86</w:t>
            </w:r>
          </w:p>
        </w:tc>
        <w:tc>
          <w:tcPr>
            <w:tcW w:w="567" w:type="dxa"/>
            <w:tcBorders>
              <w:top w:val="nil"/>
              <w:left w:val="nil"/>
              <w:bottom w:val="single" w:sz="4" w:space="0" w:color="auto"/>
              <w:right w:val="nil"/>
            </w:tcBorders>
            <w:shd w:val="clear" w:color="auto" w:fill="auto"/>
            <w:noWrap/>
            <w:vAlign w:val="center"/>
            <w:hideMark/>
          </w:tcPr>
          <w:p w14:paraId="12AD8082"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nil"/>
              <w:left w:val="nil"/>
              <w:bottom w:val="single" w:sz="4" w:space="0" w:color="auto"/>
              <w:right w:val="nil"/>
            </w:tcBorders>
            <w:shd w:val="clear" w:color="auto" w:fill="auto"/>
            <w:noWrap/>
            <w:vAlign w:val="center"/>
            <w:hideMark/>
          </w:tcPr>
          <w:p w14:paraId="2527A470"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0.04</w:t>
            </w:r>
          </w:p>
        </w:tc>
      </w:tr>
      <w:tr w:rsidR="00AB32BB" w:rsidRPr="00AB32BB" w14:paraId="1D1A38D0" w14:textId="77777777" w:rsidTr="00950ABF">
        <w:trPr>
          <w:trHeight w:val="288"/>
        </w:trPr>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694F12F" w14:textId="77777777" w:rsidR="00AB32BB" w:rsidRPr="00AB32BB" w:rsidRDefault="00AB32BB" w:rsidP="00AB32BB">
            <w:pPr>
              <w:spacing w:after="0" w:line="240" w:lineRule="auto"/>
              <w:jc w:val="center"/>
              <w:rPr>
                <w:rFonts w:ascii="Arial" w:eastAsia="Times New Roman" w:hAnsi="Arial" w:cs="Arial"/>
                <w:b/>
                <w:bCs/>
                <w:color w:val="000000"/>
                <w:sz w:val="18"/>
                <w:szCs w:val="18"/>
              </w:rPr>
            </w:pPr>
            <w:r w:rsidRPr="00AB32BB">
              <w:rPr>
                <w:rFonts w:ascii="Arial" w:eastAsia="Times New Roman" w:hAnsi="Arial" w:cs="Arial"/>
                <w:b/>
                <w:bCs/>
                <w:color w:val="000000"/>
                <w:sz w:val="18"/>
                <w:szCs w:val="18"/>
              </w:rPr>
              <w:t>Outcome: IQ</w:t>
            </w:r>
          </w:p>
        </w:tc>
        <w:tc>
          <w:tcPr>
            <w:tcW w:w="810" w:type="dxa"/>
            <w:tcBorders>
              <w:top w:val="single" w:sz="4" w:space="0" w:color="auto"/>
              <w:left w:val="single" w:sz="4" w:space="0" w:color="auto"/>
              <w:bottom w:val="single" w:sz="4" w:space="0" w:color="auto"/>
              <w:right w:val="nil"/>
            </w:tcBorders>
            <w:shd w:val="clear" w:color="auto" w:fill="auto"/>
            <w:noWrap/>
            <w:vAlign w:val="center"/>
            <w:hideMark/>
          </w:tcPr>
          <w:p w14:paraId="3AF55956" w14:textId="77777777" w:rsidR="00AB32BB" w:rsidRPr="00AB32BB" w:rsidRDefault="00AB32BB" w:rsidP="00AB32BB">
            <w:pPr>
              <w:spacing w:after="0" w:line="240" w:lineRule="auto"/>
              <w:jc w:val="center"/>
              <w:rPr>
                <w:rFonts w:ascii="Arial" w:eastAsia="Times New Roman" w:hAnsi="Arial" w:cs="Arial"/>
                <w:color w:val="000000"/>
                <w:sz w:val="18"/>
                <w:szCs w:val="18"/>
              </w:rPr>
            </w:pPr>
          </w:p>
        </w:tc>
        <w:tc>
          <w:tcPr>
            <w:tcW w:w="567" w:type="dxa"/>
            <w:tcBorders>
              <w:top w:val="single" w:sz="4" w:space="0" w:color="auto"/>
              <w:left w:val="nil"/>
              <w:bottom w:val="single" w:sz="4" w:space="0" w:color="auto"/>
              <w:right w:val="nil"/>
            </w:tcBorders>
            <w:shd w:val="clear" w:color="auto" w:fill="auto"/>
            <w:noWrap/>
            <w:vAlign w:val="center"/>
            <w:hideMark/>
          </w:tcPr>
          <w:p w14:paraId="71711A19"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1513" w:type="dxa"/>
            <w:tcBorders>
              <w:top w:val="single" w:sz="4" w:space="0" w:color="auto"/>
              <w:left w:val="nil"/>
              <w:bottom w:val="single" w:sz="4" w:space="0" w:color="auto"/>
              <w:right w:val="single" w:sz="4" w:space="0" w:color="auto"/>
            </w:tcBorders>
            <w:shd w:val="clear" w:color="auto" w:fill="auto"/>
            <w:noWrap/>
            <w:vAlign w:val="center"/>
            <w:hideMark/>
          </w:tcPr>
          <w:p w14:paraId="1B031377"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800" w:type="dxa"/>
            <w:tcBorders>
              <w:top w:val="single" w:sz="4" w:space="0" w:color="auto"/>
              <w:left w:val="single" w:sz="4" w:space="0" w:color="auto"/>
              <w:bottom w:val="single" w:sz="4" w:space="0" w:color="auto"/>
              <w:right w:val="nil"/>
            </w:tcBorders>
            <w:shd w:val="clear" w:color="auto" w:fill="auto"/>
            <w:noWrap/>
            <w:vAlign w:val="center"/>
            <w:hideMark/>
          </w:tcPr>
          <w:p w14:paraId="600E82BD"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nil"/>
              <w:bottom w:val="single" w:sz="4" w:space="0" w:color="auto"/>
              <w:right w:val="nil"/>
            </w:tcBorders>
            <w:shd w:val="clear" w:color="auto" w:fill="auto"/>
            <w:noWrap/>
            <w:vAlign w:val="center"/>
            <w:hideMark/>
          </w:tcPr>
          <w:p w14:paraId="27BA6394"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348AF337"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790" w:type="dxa"/>
            <w:tcBorders>
              <w:top w:val="single" w:sz="4" w:space="0" w:color="auto"/>
              <w:left w:val="single" w:sz="4" w:space="0" w:color="auto"/>
              <w:bottom w:val="single" w:sz="4" w:space="0" w:color="auto"/>
              <w:right w:val="nil"/>
            </w:tcBorders>
            <w:shd w:val="clear" w:color="auto" w:fill="auto"/>
            <w:noWrap/>
            <w:vAlign w:val="center"/>
            <w:hideMark/>
          </w:tcPr>
          <w:p w14:paraId="51A165A3"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nil"/>
              <w:bottom w:val="single" w:sz="4" w:space="0" w:color="auto"/>
              <w:right w:val="nil"/>
            </w:tcBorders>
            <w:shd w:val="clear" w:color="auto" w:fill="auto"/>
            <w:noWrap/>
            <w:vAlign w:val="center"/>
            <w:hideMark/>
          </w:tcPr>
          <w:p w14:paraId="37C50431"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C3EADCF"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2B9EA828"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nil"/>
              <w:bottom w:val="single" w:sz="4" w:space="0" w:color="auto"/>
              <w:right w:val="nil"/>
            </w:tcBorders>
            <w:shd w:val="clear" w:color="auto" w:fill="auto"/>
            <w:noWrap/>
            <w:vAlign w:val="center"/>
            <w:hideMark/>
          </w:tcPr>
          <w:p w14:paraId="00A5C4BA"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c>
          <w:tcPr>
            <w:tcW w:w="1620" w:type="dxa"/>
            <w:tcBorders>
              <w:top w:val="single" w:sz="4" w:space="0" w:color="auto"/>
              <w:left w:val="nil"/>
              <w:bottom w:val="single" w:sz="4" w:space="0" w:color="auto"/>
              <w:right w:val="nil"/>
            </w:tcBorders>
            <w:shd w:val="clear" w:color="auto" w:fill="auto"/>
            <w:noWrap/>
            <w:vAlign w:val="center"/>
            <w:hideMark/>
          </w:tcPr>
          <w:p w14:paraId="7278BDE7" w14:textId="77777777" w:rsidR="00AB32BB" w:rsidRPr="00AB32BB" w:rsidRDefault="00AB32BB" w:rsidP="00AB32BB">
            <w:pPr>
              <w:spacing w:after="0" w:line="240" w:lineRule="auto"/>
              <w:jc w:val="center"/>
              <w:rPr>
                <w:rFonts w:ascii="Times New Roman" w:eastAsia="Times New Roman" w:hAnsi="Times New Roman" w:cs="Times New Roman"/>
                <w:sz w:val="20"/>
                <w:szCs w:val="20"/>
              </w:rPr>
            </w:pPr>
          </w:p>
        </w:tc>
      </w:tr>
      <w:tr w:rsidR="00AB32BB" w:rsidRPr="00AB32BB" w14:paraId="53647FE5" w14:textId="77777777" w:rsidTr="00950ABF">
        <w:trPr>
          <w:trHeight w:val="288"/>
        </w:trPr>
        <w:tc>
          <w:tcPr>
            <w:tcW w:w="1530" w:type="dxa"/>
            <w:tcBorders>
              <w:top w:val="single" w:sz="4" w:space="0" w:color="auto"/>
              <w:left w:val="nil"/>
              <w:bottom w:val="nil"/>
              <w:right w:val="single" w:sz="4" w:space="0" w:color="auto"/>
            </w:tcBorders>
            <w:shd w:val="clear" w:color="auto" w:fill="auto"/>
            <w:noWrap/>
            <w:vAlign w:val="center"/>
            <w:hideMark/>
          </w:tcPr>
          <w:p w14:paraId="1202462D" w14:textId="77777777" w:rsidR="00AB32BB" w:rsidRPr="00AB32BB" w:rsidRDefault="00AB32BB" w:rsidP="00AB32BB">
            <w:pPr>
              <w:spacing w:after="0" w:line="240" w:lineRule="auto"/>
              <w:jc w:val="right"/>
              <w:rPr>
                <w:rFonts w:ascii="Arial" w:eastAsia="Times New Roman" w:hAnsi="Arial" w:cs="Arial"/>
                <w:i/>
                <w:iCs/>
                <w:color w:val="000000"/>
                <w:sz w:val="18"/>
                <w:szCs w:val="18"/>
              </w:rPr>
            </w:pPr>
            <w:r w:rsidRPr="00AB32BB">
              <w:rPr>
                <w:rFonts w:ascii="Arial" w:eastAsia="Times New Roman" w:hAnsi="Arial" w:cs="Arial"/>
                <w:i/>
                <w:iCs/>
                <w:color w:val="000000"/>
                <w:sz w:val="18"/>
                <w:szCs w:val="18"/>
              </w:rPr>
              <w:t>ATP2B1</w:t>
            </w:r>
          </w:p>
        </w:tc>
        <w:tc>
          <w:tcPr>
            <w:tcW w:w="810" w:type="dxa"/>
            <w:tcBorders>
              <w:top w:val="single" w:sz="4" w:space="0" w:color="auto"/>
              <w:left w:val="single" w:sz="4" w:space="0" w:color="auto"/>
              <w:bottom w:val="nil"/>
              <w:right w:val="nil"/>
            </w:tcBorders>
            <w:shd w:val="clear" w:color="auto" w:fill="auto"/>
            <w:noWrap/>
            <w:vAlign w:val="center"/>
            <w:hideMark/>
          </w:tcPr>
          <w:p w14:paraId="7C4AF22D"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0.52</w:t>
            </w:r>
          </w:p>
        </w:tc>
        <w:tc>
          <w:tcPr>
            <w:tcW w:w="567" w:type="dxa"/>
            <w:tcBorders>
              <w:top w:val="single" w:sz="4" w:space="0" w:color="auto"/>
              <w:left w:val="nil"/>
              <w:bottom w:val="nil"/>
              <w:right w:val="nil"/>
            </w:tcBorders>
            <w:shd w:val="clear" w:color="auto" w:fill="auto"/>
            <w:noWrap/>
            <w:vAlign w:val="center"/>
            <w:hideMark/>
          </w:tcPr>
          <w:p w14:paraId="6239B3A3"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0.44</w:t>
            </w:r>
          </w:p>
        </w:tc>
        <w:tc>
          <w:tcPr>
            <w:tcW w:w="1513" w:type="dxa"/>
            <w:tcBorders>
              <w:top w:val="single" w:sz="4" w:space="0" w:color="auto"/>
              <w:left w:val="nil"/>
              <w:bottom w:val="nil"/>
              <w:right w:val="single" w:sz="4" w:space="0" w:color="auto"/>
            </w:tcBorders>
            <w:shd w:val="clear" w:color="auto" w:fill="auto"/>
            <w:noWrap/>
            <w:vAlign w:val="center"/>
            <w:hideMark/>
          </w:tcPr>
          <w:p w14:paraId="5AAD67D4"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1.00</w:t>
            </w:r>
          </w:p>
        </w:tc>
        <w:tc>
          <w:tcPr>
            <w:tcW w:w="800" w:type="dxa"/>
            <w:tcBorders>
              <w:top w:val="single" w:sz="4" w:space="0" w:color="auto"/>
              <w:left w:val="single" w:sz="4" w:space="0" w:color="auto"/>
              <w:bottom w:val="nil"/>
              <w:right w:val="nil"/>
            </w:tcBorders>
            <w:shd w:val="clear" w:color="auto" w:fill="auto"/>
            <w:noWrap/>
            <w:vAlign w:val="center"/>
            <w:hideMark/>
          </w:tcPr>
          <w:p w14:paraId="49751445"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-0.24</w:t>
            </w:r>
          </w:p>
        </w:tc>
        <w:tc>
          <w:tcPr>
            <w:tcW w:w="567" w:type="dxa"/>
            <w:tcBorders>
              <w:top w:val="single" w:sz="4" w:space="0" w:color="auto"/>
              <w:left w:val="nil"/>
              <w:bottom w:val="nil"/>
              <w:right w:val="nil"/>
            </w:tcBorders>
            <w:shd w:val="clear" w:color="auto" w:fill="auto"/>
            <w:noWrap/>
            <w:vAlign w:val="center"/>
            <w:hideMark/>
          </w:tcPr>
          <w:p w14:paraId="2B977641"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0.71</w:t>
            </w:r>
          </w:p>
        </w:tc>
        <w:tc>
          <w:tcPr>
            <w:tcW w:w="1523" w:type="dxa"/>
            <w:tcBorders>
              <w:top w:val="single" w:sz="4" w:space="0" w:color="auto"/>
              <w:left w:val="nil"/>
              <w:bottom w:val="nil"/>
              <w:right w:val="single" w:sz="4" w:space="0" w:color="auto"/>
            </w:tcBorders>
            <w:shd w:val="clear" w:color="auto" w:fill="auto"/>
            <w:noWrap/>
            <w:vAlign w:val="center"/>
            <w:hideMark/>
          </w:tcPr>
          <w:p w14:paraId="6CA0779F"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0.98</w:t>
            </w:r>
          </w:p>
        </w:tc>
        <w:tc>
          <w:tcPr>
            <w:tcW w:w="790" w:type="dxa"/>
            <w:tcBorders>
              <w:top w:val="single" w:sz="4" w:space="0" w:color="auto"/>
              <w:left w:val="single" w:sz="4" w:space="0" w:color="auto"/>
              <w:bottom w:val="nil"/>
              <w:right w:val="nil"/>
            </w:tcBorders>
            <w:shd w:val="clear" w:color="auto" w:fill="auto"/>
            <w:noWrap/>
            <w:vAlign w:val="center"/>
            <w:hideMark/>
          </w:tcPr>
          <w:p w14:paraId="631A110F"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1.94</w:t>
            </w:r>
          </w:p>
        </w:tc>
        <w:tc>
          <w:tcPr>
            <w:tcW w:w="720" w:type="dxa"/>
            <w:tcBorders>
              <w:top w:val="single" w:sz="4" w:space="0" w:color="auto"/>
              <w:left w:val="nil"/>
              <w:bottom w:val="nil"/>
              <w:right w:val="nil"/>
            </w:tcBorders>
            <w:shd w:val="clear" w:color="auto" w:fill="auto"/>
            <w:noWrap/>
            <w:vAlign w:val="center"/>
            <w:hideMark/>
          </w:tcPr>
          <w:p w14:paraId="7A0D67DA"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single" w:sz="4" w:space="0" w:color="auto"/>
              <w:left w:val="nil"/>
              <w:bottom w:val="nil"/>
              <w:right w:val="single" w:sz="4" w:space="0" w:color="auto"/>
            </w:tcBorders>
            <w:shd w:val="clear" w:color="auto" w:fill="auto"/>
            <w:noWrap/>
            <w:vAlign w:val="center"/>
            <w:hideMark/>
          </w:tcPr>
          <w:p w14:paraId="6F561C9D"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0.03</w:t>
            </w:r>
          </w:p>
        </w:tc>
        <w:tc>
          <w:tcPr>
            <w:tcW w:w="720" w:type="dxa"/>
            <w:tcBorders>
              <w:top w:val="single" w:sz="4" w:space="0" w:color="auto"/>
              <w:left w:val="single" w:sz="4" w:space="0" w:color="auto"/>
              <w:bottom w:val="nil"/>
              <w:right w:val="nil"/>
            </w:tcBorders>
            <w:shd w:val="clear" w:color="auto" w:fill="auto"/>
            <w:noWrap/>
            <w:vAlign w:val="center"/>
            <w:hideMark/>
          </w:tcPr>
          <w:p w14:paraId="5594AE24"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-1.58</w:t>
            </w:r>
          </w:p>
        </w:tc>
        <w:tc>
          <w:tcPr>
            <w:tcW w:w="567" w:type="dxa"/>
            <w:tcBorders>
              <w:top w:val="single" w:sz="4" w:space="0" w:color="auto"/>
              <w:left w:val="nil"/>
              <w:bottom w:val="nil"/>
              <w:right w:val="nil"/>
            </w:tcBorders>
            <w:shd w:val="clear" w:color="auto" w:fill="auto"/>
            <w:noWrap/>
            <w:vAlign w:val="center"/>
            <w:hideMark/>
          </w:tcPr>
          <w:p w14:paraId="43E985B3"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single" w:sz="4" w:space="0" w:color="auto"/>
              <w:left w:val="nil"/>
              <w:bottom w:val="nil"/>
              <w:right w:val="nil"/>
            </w:tcBorders>
            <w:shd w:val="clear" w:color="auto" w:fill="auto"/>
            <w:noWrap/>
            <w:vAlign w:val="center"/>
            <w:hideMark/>
          </w:tcPr>
          <w:p w14:paraId="70BB1012"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0.21</w:t>
            </w:r>
          </w:p>
        </w:tc>
      </w:tr>
      <w:tr w:rsidR="00AB32BB" w:rsidRPr="00AB32BB" w14:paraId="00079ACB" w14:textId="77777777" w:rsidTr="00950ABF">
        <w:trPr>
          <w:trHeight w:val="288"/>
        </w:trPr>
        <w:tc>
          <w:tcPr>
            <w:tcW w:w="1530" w:type="dxa"/>
            <w:tcBorders>
              <w:top w:val="nil"/>
              <w:left w:val="nil"/>
              <w:bottom w:val="nil"/>
              <w:right w:val="single" w:sz="4" w:space="0" w:color="auto"/>
            </w:tcBorders>
            <w:shd w:val="clear" w:color="auto" w:fill="auto"/>
            <w:noWrap/>
            <w:vAlign w:val="center"/>
            <w:hideMark/>
          </w:tcPr>
          <w:p w14:paraId="518B49AF" w14:textId="77777777" w:rsidR="00AB32BB" w:rsidRPr="00AB32BB" w:rsidRDefault="00AB32BB" w:rsidP="00AB32BB">
            <w:pPr>
              <w:spacing w:after="0" w:line="240" w:lineRule="auto"/>
              <w:jc w:val="right"/>
              <w:rPr>
                <w:rFonts w:ascii="Arial" w:eastAsia="Times New Roman" w:hAnsi="Arial" w:cs="Arial"/>
                <w:i/>
                <w:iCs/>
                <w:color w:val="000000"/>
                <w:sz w:val="18"/>
                <w:szCs w:val="18"/>
              </w:rPr>
            </w:pPr>
            <w:r w:rsidRPr="00AB32BB">
              <w:rPr>
                <w:rFonts w:ascii="Arial" w:eastAsia="Times New Roman" w:hAnsi="Arial" w:cs="Arial"/>
                <w:i/>
                <w:iCs/>
                <w:color w:val="000000"/>
                <w:sz w:val="18"/>
                <w:szCs w:val="18"/>
              </w:rPr>
              <w:t>FAM126A</w:t>
            </w:r>
          </w:p>
        </w:tc>
        <w:tc>
          <w:tcPr>
            <w:tcW w:w="810" w:type="dxa"/>
            <w:tcBorders>
              <w:top w:val="nil"/>
              <w:left w:val="single" w:sz="4" w:space="0" w:color="auto"/>
              <w:bottom w:val="nil"/>
              <w:right w:val="nil"/>
            </w:tcBorders>
            <w:shd w:val="clear" w:color="auto" w:fill="auto"/>
            <w:noWrap/>
            <w:vAlign w:val="center"/>
            <w:hideMark/>
          </w:tcPr>
          <w:p w14:paraId="6796A214"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0.80</w:t>
            </w:r>
          </w:p>
        </w:tc>
        <w:tc>
          <w:tcPr>
            <w:tcW w:w="567" w:type="dxa"/>
            <w:tcBorders>
              <w:top w:val="nil"/>
              <w:left w:val="nil"/>
              <w:bottom w:val="nil"/>
              <w:right w:val="nil"/>
            </w:tcBorders>
            <w:shd w:val="clear" w:color="auto" w:fill="auto"/>
            <w:noWrap/>
            <w:vAlign w:val="center"/>
            <w:hideMark/>
          </w:tcPr>
          <w:p w14:paraId="18D4BB80"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0.26</w:t>
            </w:r>
          </w:p>
        </w:tc>
        <w:tc>
          <w:tcPr>
            <w:tcW w:w="1513" w:type="dxa"/>
            <w:tcBorders>
              <w:top w:val="nil"/>
              <w:left w:val="nil"/>
              <w:bottom w:val="nil"/>
              <w:right w:val="single" w:sz="4" w:space="0" w:color="auto"/>
            </w:tcBorders>
            <w:shd w:val="clear" w:color="auto" w:fill="auto"/>
            <w:noWrap/>
            <w:vAlign w:val="center"/>
            <w:hideMark/>
          </w:tcPr>
          <w:p w14:paraId="3429D5FF"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1.00</w:t>
            </w:r>
          </w:p>
        </w:tc>
        <w:tc>
          <w:tcPr>
            <w:tcW w:w="800" w:type="dxa"/>
            <w:tcBorders>
              <w:top w:val="nil"/>
              <w:left w:val="single" w:sz="4" w:space="0" w:color="auto"/>
              <w:bottom w:val="nil"/>
              <w:right w:val="nil"/>
            </w:tcBorders>
            <w:shd w:val="clear" w:color="auto" w:fill="auto"/>
            <w:noWrap/>
            <w:vAlign w:val="center"/>
            <w:hideMark/>
          </w:tcPr>
          <w:p w14:paraId="44036FD4"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-1.83</w:t>
            </w:r>
          </w:p>
        </w:tc>
        <w:tc>
          <w:tcPr>
            <w:tcW w:w="567" w:type="dxa"/>
            <w:tcBorders>
              <w:top w:val="nil"/>
              <w:left w:val="nil"/>
              <w:bottom w:val="nil"/>
              <w:right w:val="nil"/>
            </w:tcBorders>
            <w:shd w:val="clear" w:color="auto" w:fill="auto"/>
            <w:noWrap/>
            <w:vAlign w:val="center"/>
            <w:hideMark/>
          </w:tcPr>
          <w:p w14:paraId="52E5E9D6"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0.01</w:t>
            </w:r>
          </w:p>
        </w:tc>
        <w:tc>
          <w:tcPr>
            <w:tcW w:w="1523" w:type="dxa"/>
            <w:tcBorders>
              <w:top w:val="nil"/>
              <w:left w:val="nil"/>
              <w:bottom w:val="nil"/>
              <w:right w:val="single" w:sz="4" w:space="0" w:color="auto"/>
            </w:tcBorders>
            <w:shd w:val="clear" w:color="auto" w:fill="auto"/>
            <w:noWrap/>
            <w:vAlign w:val="center"/>
            <w:hideMark/>
          </w:tcPr>
          <w:p w14:paraId="59489E11"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0.66</w:t>
            </w:r>
          </w:p>
        </w:tc>
        <w:tc>
          <w:tcPr>
            <w:tcW w:w="790" w:type="dxa"/>
            <w:tcBorders>
              <w:top w:val="nil"/>
              <w:left w:val="single" w:sz="4" w:space="0" w:color="auto"/>
              <w:bottom w:val="nil"/>
              <w:right w:val="nil"/>
            </w:tcBorders>
            <w:shd w:val="clear" w:color="auto" w:fill="auto"/>
            <w:noWrap/>
            <w:vAlign w:val="center"/>
            <w:hideMark/>
          </w:tcPr>
          <w:p w14:paraId="51E4DE85"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2.02</w:t>
            </w:r>
          </w:p>
        </w:tc>
        <w:tc>
          <w:tcPr>
            <w:tcW w:w="720" w:type="dxa"/>
            <w:tcBorders>
              <w:top w:val="nil"/>
              <w:left w:val="nil"/>
              <w:bottom w:val="nil"/>
              <w:right w:val="nil"/>
            </w:tcBorders>
            <w:shd w:val="clear" w:color="auto" w:fill="auto"/>
            <w:noWrap/>
            <w:vAlign w:val="center"/>
            <w:hideMark/>
          </w:tcPr>
          <w:p w14:paraId="5439872E"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nil"/>
              <w:left w:val="nil"/>
              <w:bottom w:val="nil"/>
              <w:right w:val="single" w:sz="4" w:space="0" w:color="auto"/>
            </w:tcBorders>
            <w:shd w:val="clear" w:color="auto" w:fill="auto"/>
            <w:noWrap/>
            <w:vAlign w:val="center"/>
            <w:hideMark/>
          </w:tcPr>
          <w:p w14:paraId="3E03DB02"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0.03</w:t>
            </w:r>
          </w:p>
        </w:tc>
        <w:tc>
          <w:tcPr>
            <w:tcW w:w="720" w:type="dxa"/>
            <w:tcBorders>
              <w:top w:val="nil"/>
              <w:left w:val="single" w:sz="4" w:space="0" w:color="auto"/>
              <w:bottom w:val="nil"/>
              <w:right w:val="nil"/>
            </w:tcBorders>
            <w:shd w:val="clear" w:color="auto" w:fill="auto"/>
            <w:noWrap/>
            <w:vAlign w:val="center"/>
            <w:hideMark/>
          </w:tcPr>
          <w:p w14:paraId="34F5B9C3"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-1.34</w:t>
            </w:r>
          </w:p>
        </w:tc>
        <w:tc>
          <w:tcPr>
            <w:tcW w:w="567" w:type="dxa"/>
            <w:tcBorders>
              <w:top w:val="nil"/>
              <w:left w:val="nil"/>
              <w:bottom w:val="nil"/>
              <w:right w:val="nil"/>
            </w:tcBorders>
            <w:shd w:val="clear" w:color="auto" w:fill="auto"/>
            <w:noWrap/>
            <w:vAlign w:val="center"/>
            <w:hideMark/>
          </w:tcPr>
          <w:p w14:paraId="51E4461B"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0.00</w:t>
            </w:r>
          </w:p>
        </w:tc>
        <w:tc>
          <w:tcPr>
            <w:tcW w:w="1620" w:type="dxa"/>
            <w:tcBorders>
              <w:top w:val="nil"/>
              <w:left w:val="nil"/>
              <w:bottom w:val="nil"/>
              <w:right w:val="nil"/>
            </w:tcBorders>
            <w:shd w:val="clear" w:color="auto" w:fill="auto"/>
            <w:noWrap/>
            <w:vAlign w:val="center"/>
            <w:hideMark/>
          </w:tcPr>
          <w:p w14:paraId="3D625299" w14:textId="77777777" w:rsidR="00AB32BB" w:rsidRPr="00AB32BB" w:rsidRDefault="00AB32BB" w:rsidP="00AB32BB">
            <w:pPr>
              <w:spacing w:after="0" w:line="240" w:lineRule="auto"/>
              <w:jc w:val="center"/>
              <w:rPr>
                <w:rFonts w:ascii="Arial" w:eastAsia="Times New Roman" w:hAnsi="Arial" w:cs="Arial"/>
                <w:color w:val="000000"/>
                <w:sz w:val="18"/>
                <w:szCs w:val="18"/>
              </w:rPr>
            </w:pPr>
            <w:r w:rsidRPr="00AB32BB">
              <w:rPr>
                <w:rFonts w:ascii="Arial" w:eastAsia="Times New Roman" w:hAnsi="Arial" w:cs="Arial"/>
                <w:color w:val="000000"/>
                <w:sz w:val="18"/>
                <w:szCs w:val="18"/>
              </w:rPr>
              <w:t>0.66</w:t>
            </w:r>
          </w:p>
        </w:tc>
      </w:tr>
    </w:tbl>
    <w:p w14:paraId="5A47F407" w14:textId="05C3EF54" w:rsidR="0059520F" w:rsidRDefault="0059520F" w:rsidP="00CB3148">
      <w:pPr>
        <w:pStyle w:val="Caption"/>
        <w:keepNext/>
        <w:rPr>
          <w:rFonts w:ascii="Arial" w:hAnsi="Arial" w:cs="Arial"/>
          <w:i w:val="0"/>
          <w:iCs w:val="0"/>
          <w:color w:val="auto"/>
          <w:sz w:val="20"/>
          <w:szCs w:val="20"/>
        </w:rPr>
      </w:pPr>
    </w:p>
    <w:p w14:paraId="48C11B1E" w14:textId="333A312E" w:rsidR="00A46F3B" w:rsidRDefault="00A46F3B">
      <w:r>
        <w:br w:type="page"/>
      </w:r>
    </w:p>
    <w:p w14:paraId="549760E9" w14:textId="7C6A729D" w:rsidR="00A46F3B" w:rsidRPr="00197C94" w:rsidRDefault="00A46F3B" w:rsidP="00A46F3B">
      <w:pPr>
        <w:pStyle w:val="Caption"/>
        <w:keepNext/>
        <w:rPr>
          <w:rFonts w:ascii="Arial" w:hAnsi="Arial" w:cs="Arial"/>
          <w:i w:val="0"/>
          <w:iCs w:val="0"/>
          <w:color w:val="auto"/>
          <w:sz w:val="20"/>
          <w:szCs w:val="20"/>
        </w:rPr>
      </w:pPr>
      <w:r w:rsidRPr="00197C94">
        <w:rPr>
          <w:rFonts w:ascii="Arial" w:hAnsi="Arial" w:cs="Arial"/>
          <w:b/>
          <w:bCs/>
          <w:i w:val="0"/>
          <w:iCs w:val="0"/>
          <w:color w:val="auto"/>
          <w:sz w:val="20"/>
          <w:szCs w:val="20"/>
        </w:rPr>
        <w:lastRenderedPageBreak/>
        <w:t>Table S</w:t>
      </w:r>
      <w:r w:rsidR="003540EC">
        <w:rPr>
          <w:rFonts w:ascii="Arial" w:hAnsi="Arial" w:cs="Arial"/>
          <w:b/>
          <w:bCs/>
          <w:i w:val="0"/>
          <w:iCs w:val="0"/>
          <w:color w:val="auto"/>
          <w:sz w:val="20"/>
          <w:szCs w:val="20"/>
        </w:rPr>
        <w:t>3</w:t>
      </w:r>
      <w:r w:rsidRPr="00197C94">
        <w:rPr>
          <w:rFonts w:ascii="Arial" w:hAnsi="Arial" w:cs="Arial"/>
          <w:i w:val="0"/>
          <w:iCs w:val="0"/>
          <w:color w:val="auto"/>
          <w:sz w:val="20"/>
          <w:szCs w:val="20"/>
        </w:rPr>
        <w:t xml:space="preserve">: </w:t>
      </w:r>
      <w:r w:rsidR="003C6F27" w:rsidRPr="00197C94">
        <w:rPr>
          <w:rFonts w:ascii="Arial" w:hAnsi="Arial" w:cs="Arial"/>
          <w:i w:val="0"/>
          <w:iCs w:val="0"/>
          <w:color w:val="auto"/>
          <w:sz w:val="20"/>
          <w:szCs w:val="20"/>
        </w:rPr>
        <w:t>Enriched biological process ontologies for genes identified in correlative networks predictive of IQ</w:t>
      </w:r>
      <w:r w:rsidR="00256A2A">
        <w:rPr>
          <w:rFonts w:ascii="Arial" w:hAnsi="Arial" w:cs="Arial"/>
          <w:i w:val="0"/>
          <w:iCs w:val="0"/>
          <w:color w:val="auto"/>
          <w:sz w:val="20"/>
          <w:szCs w:val="20"/>
        </w:rPr>
        <w:t xml:space="preserve"> and SRS</w:t>
      </w:r>
      <w:r w:rsidR="003C6F27" w:rsidRPr="00197C94">
        <w:rPr>
          <w:rFonts w:ascii="Arial" w:hAnsi="Arial" w:cs="Arial"/>
          <w:i w:val="0"/>
          <w:iCs w:val="0"/>
          <w:color w:val="auto"/>
          <w:sz w:val="20"/>
          <w:szCs w:val="20"/>
        </w:rPr>
        <w:t>.</w:t>
      </w:r>
      <w:r w:rsidR="00C95A81" w:rsidRPr="00197C94">
        <w:rPr>
          <w:rFonts w:ascii="Arial" w:hAnsi="Arial" w:cs="Arial"/>
          <w:i w:val="0"/>
          <w:iCs w:val="0"/>
          <w:color w:val="auto"/>
          <w:sz w:val="20"/>
          <w:szCs w:val="20"/>
        </w:rPr>
        <w:t xml:space="preserve"> We provide the functional category of the biological process enriched by this set of genes, the FDR-adjusted P-value of the enrichment, the number of genes out of the inputted set of genes that are found in each gene ontology, and the total number of genes across the protein-coding transcriptome in the </w:t>
      </w:r>
      <w:r w:rsidR="00197C94" w:rsidRPr="00197C94">
        <w:rPr>
          <w:rFonts w:ascii="Arial" w:hAnsi="Arial" w:cs="Arial"/>
          <w:i w:val="0"/>
          <w:iCs w:val="0"/>
          <w:color w:val="auto"/>
          <w:sz w:val="20"/>
          <w:szCs w:val="20"/>
        </w:rPr>
        <w:t>ontology.</w:t>
      </w:r>
    </w:p>
    <w:tbl>
      <w:tblPr>
        <w:tblW w:w="12870" w:type="dxa"/>
        <w:tblLook w:val="04A0" w:firstRow="1" w:lastRow="0" w:firstColumn="1" w:lastColumn="0" w:noHBand="0" w:noVBand="1"/>
      </w:tblPr>
      <w:tblGrid>
        <w:gridCol w:w="3510"/>
        <w:gridCol w:w="2340"/>
        <w:gridCol w:w="3510"/>
        <w:gridCol w:w="3510"/>
      </w:tblGrid>
      <w:tr w:rsidR="00A46F3B" w:rsidRPr="00A46F3B" w14:paraId="12AF37C7" w14:textId="77777777" w:rsidTr="00256A2A">
        <w:trPr>
          <w:trHeight w:val="288"/>
        </w:trPr>
        <w:tc>
          <w:tcPr>
            <w:tcW w:w="3510" w:type="dxa"/>
            <w:tcBorders>
              <w:top w:val="nil"/>
              <w:left w:val="nil"/>
              <w:bottom w:val="single" w:sz="4" w:space="0" w:color="auto"/>
              <w:right w:val="nil"/>
            </w:tcBorders>
            <w:shd w:val="clear" w:color="auto" w:fill="auto"/>
            <w:noWrap/>
            <w:vAlign w:val="bottom"/>
            <w:hideMark/>
          </w:tcPr>
          <w:p w14:paraId="48363E92" w14:textId="498BA03C" w:rsidR="00A46F3B" w:rsidRPr="00A46F3B" w:rsidRDefault="00C95A81" w:rsidP="00A46F3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Functional category</w:t>
            </w:r>
          </w:p>
        </w:tc>
        <w:tc>
          <w:tcPr>
            <w:tcW w:w="2340" w:type="dxa"/>
            <w:tcBorders>
              <w:top w:val="nil"/>
              <w:left w:val="nil"/>
              <w:bottom w:val="single" w:sz="4" w:space="0" w:color="auto"/>
              <w:right w:val="nil"/>
            </w:tcBorders>
            <w:shd w:val="clear" w:color="auto" w:fill="auto"/>
            <w:noWrap/>
            <w:vAlign w:val="bottom"/>
            <w:hideMark/>
          </w:tcPr>
          <w:p w14:paraId="640B3AE2" w14:textId="77777777" w:rsidR="00A46F3B" w:rsidRPr="00A46F3B" w:rsidRDefault="00A46F3B" w:rsidP="00A46F3B">
            <w:pPr>
              <w:spacing w:after="0" w:line="240" w:lineRule="auto"/>
              <w:rPr>
                <w:rFonts w:ascii="Arial" w:eastAsia="Times New Roman" w:hAnsi="Arial" w:cs="Arial"/>
                <w:b/>
                <w:bCs/>
                <w:color w:val="000000"/>
                <w:sz w:val="20"/>
                <w:szCs w:val="20"/>
              </w:rPr>
            </w:pPr>
            <w:r w:rsidRPr="00A46F3B">
              <w:rPr>
                <w:rFonts w:ascii="Arial" w:eastAsia="Times New Roman" w:hAnsi="Arial" w:cs="Arial"/>
                <w:b/>
                <w:bCs/>
                <w:color w:val="000000"/>
                <w:sz w:val="20"/>
                <w:szCs w:val="20"/>
              </w:rPr>
              <w:t>FDR-adjusted P-value</w:t>
            </w:r>
          </w:p>
        </w:tc>
        <w:tc>
          <w:tcPr>
            <w:tcW w:w="3510" w:type="dxa"/>
            <w:tcBorders>
              <w:top w:val="nil"/>
              <w:left w:val="nil"/>
              <w:bottom w:val="single" w:sz="4" w:space="0" w:color="auto"/>
              <w:right w:val="nil"/>
            </w:tcBorders>
            <w:shd w:val="clear" w:color="auto" w:fill="auto"/>
            <w:noWrap/>
            <w:vAlign w:val="bottom"/>
            <w:hideMark/>
          </w:tcPr>
          <w:p w14:paraId="1DDED3C2" w14:textId="7A240B45" w:rsidR="00A46F3B" w:rsidRPr="00A46F3B" w:rsidRDefault="00A46F3B" w:rsidP="00A46F3B">
            <w:pPr>
              <w:spacing w:after="0" w:line="240" w:lineRule="auto"/>
              <w:rPr>
                <w:rFonts w:ascii="Arial" w:eastAsia="Times New Roman" w:hAnsi="Arial" w:cs="Arial"/>
                <w:b/>
                <w:bCs/>
                <w:color w:val="000000"/>
                <w:sz w:val="20"/>
                <w:szCs w:val="20"/>
              </w:rPr>
            </w:pPr>
            <w:r w:rsidRPr="00A46F3B">
              <w:rPr>
                <w:rFonts w:ascii="Arial" w:eastAsia="Times New Roman" w:hAnsi="Arial" w:cs="Arial"/>
                <w:b/>
                <w:bCs/>
                <w:color w:val="000000"/>
                <w:sz w:val="20"/>
                <w:szCs w:val="20"/>
              </w:rPr>
              <w:t>Number of input</w:t>
            </w:r>
            <w:r>
              <w:rPr>
                <w:rFonts w:ascii="Arial" w:eastAsia="Times New Roman" w:hAnsi="Arial" w:cs="Arial"/>
                <w:b/>
                <w:bCs/>
                <w:color w:val="000000"/>
                <w:sz w:val="20"/>
                <w:szCs w:val="20"/>
              </w:rPr>
              <w:t>ted</w:t>
            </w:r>
            <w:r w:rsidRPr="00A46F3B">
              <w:rPr>
                <w:rFonts w:ascii="Arial" w:eastAsia="Times New Roman" w:hAnsi="Arial" w:cs="Arial"/>
                <w:b/>
                <w:bCs/>
                <w:color w:val="000000"/>
                <w:sz w:val="20"/>
                <w:szCs w:val="20"/>
              </w:rPr>
              <w:t xml:space="preserve"> genes in ontology</w:t>
            </w:r>
          </w:p>
        </w:tc>
        <w:tc>
          <w:tcPr>
            <w:tcW w:w="3510" w:type="dxa"/>
            <w:tcBorders>
              <w:top w:val="nil"/>
              <w:left w:val="nil"/>
              <w:bottom w:val="single" w:sz="4" w:space="0" w:color="auto"/>
              <w:right w:val="nil"/>
            </w:tcBorders>
            <w:shd w:val="clear" w:color="auto" w:fill="auto"/>
            <w:noWrap/>
            <w:vAlign w:val="bottom"/>
            <w:hideMark/>
          </w:tcPr>
          <w:p w14:paraId="086E8349" w14:textId="77777777" w:rsidR="00A46F3B" w:rsidRPr="00A46F3B" w:rsidRDefault="00A46F3B" w:rsidP="00A46F3B">
            <w:pPr>
              <w:spacing w:after="0" w:line="240" w:lineRule="auto"/>
              <w:rPr>
                <w:rFonts w:ascii="Arial" w:eastAsia="Times New Roman" w:hAnsi="Arial" w:cs="Arial"/>
                <w:b/>
                <w:bCs/>
                <w:color w:val="000000"/>
                <w:sz w:val="20"/>
                <w:szCs w:val="20"/>
              </w:rPr>
            </w:pPr>
            <w:r w:rsidRPr="00A46F3B">
              <w:rPr>
                <w:rFonts w:ascii="Arial" w:eastAsia="Times New Roman" w:hAnsi="Arial" w:cs="Arial"/>
                <w:b/>
                <w:bCs/>
                <w:color w:val="000000"/>
                <w:sz w:val="20"/>
                <w:szCs w:val="20"/>
              </w:rPr>
              <w:t>Total number of genes in ontology</w:t>
            </w:r>
          </w:p>
        </w:tc>
      </w:tr>
      <w:tr w:rsidR="00256A2A" w:rsidRPr="00A46F3B" w14:paraId="0F6288EC" w14:textId="77777777" w:rsidTr="00256A2A">
        <w:trPr>
          <w:trHeight w:val="288"/>
        </w:trPr>
        <w:tc>
          <w:tcPr>
            <w:tcW w:w="3510" w:type="dxa"/>
            <w:tcBorders>
              <w:top w:val="single" w:sz="4" w:space="0" w:color="auto"/>
              <w:left w:val="nil"/>
              <w:right w:val="nil"/>
            </w:tcBorders>
            <w:shd w:val="clear" w:color="auto" w:fill="auto"/>
            <w:noWrap/>
            <w:vAlign w:val="bottom"/>
          </w:tcPr>
          <w:p w14:paraId="58FD7BF1" w14:textId="647A01AE" w:rsidR="00256A2A" w:rsidRPr="00256A2A" w:rsidRDefault="00256A2A" w:rsidP="00A46F3B">
            <w:pPr>
              <w:spacing w:after="0" w:line="240" w:lineRule="auto"/>
              <w:rPr>
                <w:rFonts w:ascii="Arial" w:eastAsia="Times New Roman" w:hAnsi="Arial" w:cs="Arial"/>
                <w:i/>
                <w:iCs/>
                <w:color w:val="000000"/>
                <w:sz w:val="20"/>
                <w:szCs w:val="20"/>
                <w:u w:val="single"/>
              </w:rPr>
            </w:pPr>
            <w:r>
              <w:rPr>
                <w:rFonts w:ascii="Arial" w:eastAsia="Times New Roman" w:hAnsi="Arial" w:cs="Arial"/>
                <w:i/>
                <w:iCs/>
                <w:color w:val="000000"/>
                <w:sz w:val="20"/>
                <w:szCs w:val="20"/>
                <w:u w:val="single"/>
              </w:rPr>
              <w:t>IQ</w:t>
            </w:r>
          </w:p>
        </w:tc>
        <w:tc>
          <w:tcPr>
            <w:tcW w:w="2340" w:type="dxa"/>
            <w:tcBorders>
              <w:top w:val="single" w:sz="4" w:space="0" w:color="auto"/>
              <w:left w:val="nil"/>
              <w:right w:val="nil"/>
            </w:tcBorders>
            <w:shd w:val="clear" w:color="auto" w:fill="auto"/>
            <w:noWrap/>
            <w:vAlign w:val="bottom"/>
          </w:tcPr>
          <w:p w14:paraId="0F88A56B" w14:textId="77777777" w:rsidR="00256A2A" w:rsidRPr="00A46F3B" w:rsidRDefault="00256A2A" w:rsidP="00A46F3B">
            <w:pPr>
              <w:spacing w:after="0" w:line="240" w:lineRule="auto"/>
              <w:jc w:val="right"/>
              <w:rPr>
                <w:rFonts w:ascii="Arial" w:eastAsia="Times New Roman" w:hAnsi="Arial" w:cs="Arial"/>
                <w:color w:val="000000"/>
                <w:sz w:val="20"/>
                <w:szCs w:val="20"/>
              </w:rPr>
            </w:pPr>
          </w:p>
        </w:tc>
        <w:tc>
          <w:tcPr>
            <w:tcW w:w="3510" w:type="dxa"/>
            <w:tcBorders>
              <w:top w:val="single" w:sz="4" w:space="0" w:color="auto"/>
              <w:left w:val="nil"/>
              <w:right w:val="nil"/>
            </w:tcBorders>
            <w:shd w:val="clear" w:color="auto" w:fill="auto"/>
            <w:noWrap/>
            <w:vAlign w:val="bottom"/>
          </w:tcPr>
          <w:p w14:paraId="083EBDAF" w14:textId="77777777" w:rsidR="00256A2A" w:rsidRPr="00A46F3B" w:rsidRDefault="00256A2A" w:rsidP="00A46F3B">
            <w:pPr>
              <w:spacing w:after="0" w:line="240" w:lineRule="auto"/>
              <w:jc w:val="right"/>
              <w:rPr>
                <w:rFonts w:ascii="Arial" w:eastAsia="Times New Roman" w:hAnsi="Arial" w:cs="Arial"/>
                <w:color w:val="000000"/>
                <w:sz w:val="20"/>
                <w:szCs w:val="20"/>
              </w:rPr>
            </w:pPr>
          </w:p>
        </w:tc>
        <w:tc>
          <w:tcPr>
            <w:tcW w:w="3510" w:type="dxa"/>
            <w:tcBorders>
              <w:top w:val="single" w:sz="4" w:space="0" w:color="auto"/>
              <w:left w:val="nil"/>
              <w:right w:val="nil"/>
            </w:tcBorders>
            <w:shd w:val="clear" w:color="auto" w:fill="auto"/>
            <w:noWrap/>
            <w:vAlign w:val="bottom"/>
          </w:tcPr>
          <w:p w14:paraId="69FFA4CF" w14:textId="77777777" w:rsidR="00256A2A" w:rsidRPr="00A46F3B" w:rsidRDefault="00256A2A" w:rsidP="00A46F3B">
            <w:pPr>
              <w:spacing w:after="0" w:line="240" w:lineRule="auto"/>
              <w:jc w:val="right"/>
              <w:rPr>
                <w:rFonts w:ascii="Arial" w:eastAsia="Times New Roman" w:hAnsi="Arial" w:cs="Arial"/>
                <w:color w:val="000000"/>
                <w:sz w:val="20"/>
                <w:szCs w:val="20"/>
              </w:rPr>
            </w:pPr>
          </w:p>
        </w:tc>
      </w:tr>
      <w:tr w:rsidR="00A46F3B" w:rsidRPr="00A46F3B" w14:paraId="080D9A1B" w14:textId="77777777" w:rsidTr="00256A2A">
        <w:trPr>
          <w:trHeight w:val="288"/>
        </w:trPr>
        <w:tc>
          <w:tcPr>
            <w:tcW w:w="3510" w:type="dxa"/>
            <w:tcBorders>
              <w:left w:val="nil"/>
              <w:bottom w:val="nil"/>
              <w:right w:val="nil"/>
            </w:tcBorders>
            <w:shd w:val="clear" w:color="auto" w:fill="auto"/>
            <w:noWrap/>
            <w:vAlign w:val="bottom"/>
            <w:hideMark/>
          </w:tcPr>
          <w:p w14:paraId="66FB7FDE" w14:textId="77777777" w:rsidR="00A46F3B" w:rsidRPr="00A46F3B" w:rsidRDefault="00A46F3B" w:rsidP="00256A2A">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Endomembrane system organization</w:t>
            </w:r>
          </w:p>
        </w:tc>
        <w:tc>
          <w:tcPr>
            <w:tcW w:w="2340" w:type="dxa"/>
            <w:tcBorders>
              <w:left w:val="nil"/>
              <w:bottom w:val="nil"/>
              <w:right w:val="nil"/>
            </w:tcBorders>
            <w:shd w:val="clear" w:color="auto" w:fill="auto"/>
            <w:noWrap/>
            <w:vAlign w:val="bottom"/>
            <w:hideMark/>
          </w:tcPr>
          <w:p w14:paraId="596558CA" w14:textId="77777777" w:rsidR="00A46F3B" w:rsidRPr="00A46F3B" w:rsidRDefault="00A46F3B" w:rsidP="00A46F3B">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0.014</w:t>
            </w:r>
          </w:p>
        </w:tc>
        <w:tc>
          <w:tcPr>
            <w:tcW w:w="3510" w:type="dxa"/>
            <w:tcBorders>
              <w:left w:val="nil"/>
              <w:bottom w:val="nil"/>
              <w:right w:val="nil"/>
            </w:tcBorders>
            <w:shd w:val="clear" w:color="auto" w:fill="auto"/>
            <w:noWrap/>
            <w:vAlign w:val="bottom"/>
            <w:hideMark/>
          </w:tcPr>
          <w:p w14:paraId="200C21DD" w14:textId="77777777" w:rsidR="00A46F3B" w:rsidRPr="00A46F3B" w:rsidRDefault="00A46F3B" w:rsidP="00A46F3B">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3</w:t>
            </w:r>
          </w:p>
        </w:tc>
        <w:tc>
          <w:tcPr>
            <w:tcW w:w="3510" w:type="dxa"/>
            <w:tcBorders>
              <w:left w:val="nil"/>
              <w:bottom w:val="nil"/>
              <w:right w:val="nil"/>
            </w:tcBorders>
            <w:shd w:val="clear" w:color="auto" w:fill="auto"/>
            <w:noWrap/>
            <w:vAlign w:val="bottom"/>
            <w:hideMark/>
          </w:tcPr>
          <w:p w14:paraId="0C7BE505" w14:textId="77777777" w:rsidR="00A46F3B" w:rsidRPr="00A46F3B" w:rsidRDefault="00A46F3B" w:rsidP="00A46F3B">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204</w:t>
            </w:r>
          </w:p>
        </w:tc>
      </w:tr>
      <w:tr w:rsidR="00A46F3B" w:rsidRPr="00A46F3B" w14:paraId="164A972A" w14:textId="77777777" w:rsidTr="00256A2A">
        <w:trPr>
          <w:trHeight w:val="288"/>
        </w:trPr>
        <w:tc>
          <w:tcPr>
            <w:tcW w:w="3510" w:type="dxa"/>
            <w:tcBorders>
              <w:top w:val="nil"/>
              <w:left w:val="nil"/>
              <w:bottom w:val="nil"/>
              <w:right w:val="nil"/>
            </w:tcBorders>
            <w:shd w:val="clear" w:color="auto" w:fill="auto"/>
            <w:noWrap/>
            <w:vAlign w:val="bottom"/>
            <w:hideMark/>
          </w:tcPr>
          <w:p w14:paraId="0CDDB482" w14:textId="77777777" w:rsidR="00A46F3B" w:rsidRPr="00A46F3B" w:rsidRDefault="00A46F3B" w:rsidP="00256A2A">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Membrane organization</w:t>
            </w:r>
          </w:p>
        </w:tc>
        <w:tc>
          <w:tcPr>
            <w:tcW w:w="2340" w:type="dxa"/>
            <w:tcBorders>
              <w:top w:val="nil"/>
              <w:left w:val="nil"/>
              <w:bottom w:val="nil"/>
              <w:right w:val="nil"/>
            </w:tcBorders>
            <w:shd w:val="clear" w:color="auto" w:fill="auto"/>
            <w:noWrap/>
            <w:vAlign w:val="bottom"/>
            <w:hideMark/>
          </w:tcPr>
          <w:p w14:paraId="3062A9A2" w14:textId="77777777" w:rsidR="00A46F3B" w:rsidRPr="00A46F3B" w:rsidRDefault="00A46F3B" w:rsidP="00A46F3B">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0.020</w:t>
            </w:r>
          </w:p>
        </w:tc>
        <w:tc>
          <w:tcPr>
            <w:tcW w:w="3510" w:type="dxa"/>
            <w:tcBorders>
              <w:top w:val="nil"/>
              <w:left w:val="nil"/>
              <w:bottom w:val="nil"/>
              <w:right w:val="nil"/>
            </w:tcBorders>
            <w:shd w:val="clear" w:color="auto" w:fill="auto"/>
            <w:noWrap/>
            <w:vAlign w:val="bottom"/>
            <w:hideMark/>
          </w:tcPr>
          <w:p w14:paraId="54126D7D" w14:textId="77777777" w:rsidR="00A46F3B" w:rsidRPr="00A46F3B" w:rsidRDefault="00A46F3B" w:rsidP="00A46F3B">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3</w:t>
            </w:r>
          </w:p>
        </w:tc>
        <w:tc>
          <w:tcPr>
            <w:tcW w:w="3510" w:type="dxa"/>
            <w:tcBorders>
              <w:top w:val="nil"/>
              <w:left w:val="nil"/>
              <w:bottom w:val="nil"/>
              <w:right w:val="nil"/>
            </w:tcBorders>
            <w:shd w:val="clear" w:color="auto" w:fill="auto"/>
            <w:noWrap/>
            <w:vAlign w:val="bottom"/>
            <w:hideMark/>
          </w:tcPr>
          <w:p w14:paraId="61FF32BE" w14:textId="77777777" w:rsidR="00A46F3B" w:rsidRPr="00A46F3B" w:rsidRDefault="00A46F3B" w:rsidP="00A46F3B">
            <w:pPr>
              <w:spacing w:after="0" w:line="240" w:lineRule="auto"/>
              <w:jc w:val="right"/>
              <w:rPr>
                <w:rFonts w:ascii="Arial" w:eastAsia="Times New Roman" w:hAnsi="Arial" w:cs="Arial"/>
                <w:color w:val="000000"/>
                <w:sz w:val="20"/>
                <w:szCs w:val="20"/>
              </w:rPr>
            </w:pPr>
            <w:r w:rsidRPr="00A46F3B">
              <w:rPr>
                <w:rFonts w:ascii="Arial" w:eastAsia="Times New Roman" w:hAnsi="Arial" w:cs="Arial"/>
                <w:color w:val="000000"/>
                <w:sz w:val="20"/>
                <w:szCs w:val="20"/>
              </w:rPr>
              <w:t>296</w:t>
            </w:r>
          </w:p>
        </w:tc>
      </w:tr>
      <w:tr w:rsidR="00256A2A" w:rsidRPr="00A46F3B" w14:paraId="53695A13" w14:textId="77777777" w:rsidTr="00256A2A">
        <w:trPr>
          <w:trHeight w:val="288"/>
        </w:trPr>
        <w:tc>
          <w:tcPr>
            <w:tcW w:w="3510" w:type="dxa"/>
            <w:tcBorders>
              <w:top w:val="nil"/>
              <w:left w:val="nil"/>
              <w:bottom w:val="nil"/>
              <w:right w:val="nil"/>
            </w:tcBorders>
            <w:shd w:val="clear" w:color="auto" w:fill="auto"/>
            <w:noWrap/>
            <w:vAlign w:val="bottom"/>
          </w:tcPr>
          <w:p w14:paraId="1E8ED57C" w14:textId="18DEA730" w:rsidR="00256A2A" w:rsidRPr="00256A2A" w:rsidRDefault="00256A2A" w:rsidP="00A46F3B">
            <w:pPr>
              <w:spacing w:after="0" w:line="240" w:lineRule="auto"/>
              <w:rPr>
                <w:rFonts w:ascii="Arial" w:eastAsia="Times New Roman" w:hAnsi="Arial" w:cs="Arial"/>
                <w:i/>
                <w:iCs/>
                <w:color w:val="000000"/>
                <w:sz w:val="20"/>
                <w:szCs w:val="20"/>
                <w:u w:val="single"/>
              </w:rPr>
            </w:pPr>
            <w:r w:rsidRPr="00256A2A">
              <w:rPr>
                <w:rFonts w:ascii="Arial" w:eastAsia="Times New Roman" w:hAnsi="Arial" w:cs="Arial"/>
                <w:i/>
                <w:iCs/>
                <w:color w:val="000000"/>
                <w:sz w:val="20"/>
                <w:szCs w:val="20"/>
                <w:u w:val="single"/>
              </w:rPr>
              <w:t>SRS</w:t>
            </w:r>
          </w:p>
        </w:tc>
        <w:tc>
          <w:tcPr>
            <w:tcW w:w="2340" w:type="dxa"/>
            <w:tcBorders>
              <w:top w:val="nil"/>
              <w:left w:val="nil"/>
              <w:bottom w:val="nil"/>
              <w:right w:val="nil"/>
            </w:tcBorders>
            <w:shd w:val="clear" w:color="auto" w:fill="auto"/>
            <w:noWrap/>
            <w:vAlign w:val="bottom"/>
          </w:tcPr>
          <w:p w14:paraId="68A0A912" w14:textId="77777777" w:rsidR="00256A2A" w:rsidRPr="00A46F3B" w:rsidRDefault="00256A2A" w:rsidP="00A46F3B">
            <w:pPr>
              <w:spacing w:after="0" w:line="240" w:lineRule="auto"/>
              <w:jc w:val="right"/>
              <w:rPr>
                <w:rFonts w:ascii="Arial" w:eastAsia="Times New Roman" w:hAnsi="Arial" w:cs="Arial"/>
                <w:color w:val="000000"/>
                <w:sz w:val="20"/>
                <w:szCs w:val="20"/>
              </w:rPr>
            </w:pPr>
          </w:p>
        </w:tc>
        <w:tc>
          <w:tcPr>
            <w:tcW w:w="3510" w:type="dxa"/>
            <w:tcBorders>
              <w:top w:val="nil"/>
              <w:left w:val="nil"/>
              <w:bottom w:val="nil"/>
              <w:right w:val="nil"/>
            </w:tcBorders>
            <w:shd w:val="clear" w:color="auto" w:fill="auto"/>
            <w:noWrap/>
            <w:vAlign w:val="bottom"/>
          </w:tcPr>
          <w:p w14:paraId="76830C20" w14:textId="77777777" w:rsidR="00256A2A" w:rsidRPr="00A46F3B" w:rsidRDefault="00256A2A" w:rsidP="00A46F3B">
            <w:pPr>
              <w:spacing w:after="0" w:line="240" w:lineRule="auto"/>
              <w:jc w:val="right"/>
              <w:rPr>
                <w:rFonts w:ascii="Arial" w:eastAsia="Times New Roman" w:hAnsi="Arial" w:cs="Arial"/>
                <w:color w:val="000000"/>
                <w:sz w:val="20"/>
                <w:szCs w:val="20"/>
              </w:rPr>
            </w:pPr>
          </w:p>
        </w:tc>
        <w:tc>
          <w:tcPr>
            <w:tcW w:w="3510" w:type="dxa"/>
            <w:tcBorders>
              <w:top w:val="nil"/>
              <w:left w:val="nil"/>
              <w:bottom w:val="nil"/>
              <w:right w:val="nil"/>
            </w:tcBorders>
            <w:shd w:val="clear" w:color="auto" w:fill="auto"/>
            <w:noWrap/>
            <w:vAlign w:val="bottom"/>
          </w:tcPr>
          <w:p w14:paraId="1C7519BE" w14:textId="77777777" w:rsidR="00256A2A" w:rsidRPr="00A46F3B" w:rsidRDefault="00256A2A" w:rsidP="00A46F3B">
            <w:pPr>
              <w:spacing w:after="0" w:line="240" w:lineRule="auto"/>
              <w:jc w:val="right"/>
              <w:rPr>
                <w:rFonts w:ascii="Arial" w:eastAsia="Times New Roman" w:hAnsi="Arial" w:cs="Arial"/>
                <w:color w:val="000000"/>
                <w:sz w:val="20"/>
                <w:szCs w:val="20"/>
              </w:rPr>
            </w:pPr>
          </w:p>
        </w:tc>
      </w:tr>
      <w:tr w:rsidR="00256A2A" w:rsidRPr="00A46F3B" w14:paraId="7CF9D74A" w14:textId="77777777" w:rsidTr="00256A2A">
        <w:trPr>
          <w:trHeight w:val="288"/>
        </w:trPr>
        <w:tc>
          <w:tcPr>
            <w:tcW w:w="3510" w:type="dxa"/>
            <w:tcBorders>
              <w:top w:val="nil"/>
              <w:left w:val="nil"/>
              <w:bottom w:val="nil"/>
              <w:right w:val="nil"/>
            </w:tcBorders>
            <w:shd w:val="clear" w:color="auto" w:fill="auto"/>
            <w:noWrap/>
            <w:vAlign w:val="bottom"/>
          </w:tcPr>
          <w:p w14:paraId="07C6AD03" w14:textId="49FDD1FB"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Nucleic acid binding</w:t>
            </w:r>
          </w:p>
        </w:tc>
        <w:tc>
          <w:tcPr>
            <w:tcW w:w="2340" w:type="dxa"/>
            <w:tcBorders>
              <w:top w:val="nil"/>
              <w:left w:val="nil"/>
              <w:bottom w:val="nil"/>
              <w:right w:val="nil"/>
            </w:tcBorders>
            <w:shd w:val="clear" w:color="auto" w:fill="auto"/>
            <w:noWrap/>
            <w:vAlign w:val="bottom"/>
          </w:tcPr>
          <w:p w14:paraId="6BE7FBD1" w14:textId="296D6719"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0.011</w:t>
            </w:r>
          </w:p>
        </w:tc>
        <w:tc>
          <w:tcPr>
            <w:tcW w:w="3510" w:type="dxa"/>
            <w:tcBorders>
              <w:top w:val="nil"/>
              <w:left w:val="nil"/>
              <w:bottom w:val="nil"/>
              <w:right w:val="nil"/>
            </w:tcBorders>
            <w:shd w:val="clear" w:color="auto" w:fill="auto"/>
            <w:noWrap/>
            <w:vAlign w:val="bottom"/>
          </w:tcPr>
          <w:p w14:paraId="3DB475D0" w14:textId="6518E68C"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5</w:t>
            </w:r>
          </w:p>
        </w:tc>
        <w:tc>
          <w:tcPr>
            <w:tcW w:w="3510" w:type="dxa"/>
            <w:tcBorders>
              <w:top w:val="nil"/>
              <w:left w:val="nil"/>
              <w:bottom w:val="nil"/>
              <w:right w:val="nil"/>
            </w:tcBorders>
            <w:shd w:val="clear" w:color="auto" w:fill="auto"/>
            <w:noWrap/>
            <w:vAlign w:val="bottom"/>
          </w:tcPr>
          <w:p w14:paraId="4F189430" w14:textId="0751791B"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2056</w:t>
            </w:r>
          </w:p>
        </w:tc>
      </w:tr>
      <w:tr w:rsidR="00256A2A" w:rsidRPr="00A46F3B" w14:paraId="1F131DC5" w14:textId="77777777" w:rsidTr="00256A2A">
        <w:trPr>
          <w:trHeight w:val="288"/>
        </w:trPr>
        <w:tc>
          <w:tcPr>
            <w:tcW w:w="3510" w:type="dxa"/>
            <w:tcBorders>
              <w:top w:val="nil"/>
              <w:left w:val="nil"/>
              <w:bottom w:val="nil"/>
              <w:right w:val="nil"/>
            </w:tcBorders>
            <w:shd w:val="clear" w:color="auto" w:fill="auto"/>
            <w:noWrap/>
            <w:vAlign w:val="bottom"/>
          </w:tcPr>
          <w:p w14:paraId="2057A0BE" w14:textId="5B9FB808"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RNA binding</w:t>
            </w:r>
          </w:p>
        </w:tc>
        <w:tc>
          <w:tcPr>
            <w:tcW w:w="2340" w:type="dxa"/>
            <w:tcBorders>
              <w:top w:val="nil"/>
              <w:left w:val="nil"/>
              <w:bottom w:val="nil"/>
              <w:right w:val="nil"/>
            </w:tcBorders>
            <w:shd w:val="clear" w:color="auto" w:fill="auto"/>
            <w:noWrap/>
            <w:vAlign w:val="bottom"/>
          </w:tcPr>
          <w:p w14:paraId="5CBE53C4" w14:textId="1963DFBA"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0.011</w:t>
            </w:r>
          </w:p>
        </w:tc>
        <w:tc>
          <w:tcPr>
            <w:tcW w:w="3510" w:type="dxa"/>
            <w:tcBorders>
              <w:top w:val="nil"/>
              <w:left w:val="nil"/>
              <w:bottom w:val="nil"/>
              <w:right w:val="nil"/>
            </w:tcBorders>
            <w:shd w:val="clear" w:color="auto" w:fill="auto"/>
            <w:noWrap/>
            <w:vAlign w:val="bottom"/>
          </w:tcPr>
          <w:p w14:paraId="0CA06FA1" w14:textId="278AADBA"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3</w:t>
            </w:r>
          </w:p>
        </w:tc>
        <w:tc>
          <w:tcPr>
            <w:tcW w:w="3510" w:type="dxa"/>
            <w:tcBorders>
              <w:top w:val="nil"/>
              <w:left w:val="nil"/>
              <w:bottom w:val="nil"/>
              <w:right w:val="nil"/>
            </w:tcBorders>
            <w:shd w:val="clear" w:color="auto" w:fill="auto"/>
            <w:noWrap/>
            <w:vAlign w:val="bottom"/>
          </w:tcPr>
          <w:p w14:paraId="01E73CC6" w14:textId="0E37732B"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536</w:t>
            </w:r>
          </w:p>
        </w:tc>
      </w:tr>
      <w:tr w:rsidR="00256A2A" w:rsidRPr="00A46F3B" w14:paraId="55414753" w14:textId="77777777" w:rsidTr="00256A2A">
        <w:trPr>
          <w:trHeight w:val="288"/>
        </w:trPr>
        <w:tc>
          <w:tcPr>
            <w:tcW w:w="3510" w:type="dxa"/>
            <w:tcBorders>
              <w:top w:val="nil"/>
              <w:left w:val="nil"/>
              <w:bottom w:val="nil"/>
              <w:right w:val="nil"/>
            </w:tcBorders>
            <w:shd w:val="clear" w:color="auto" w:fill="auto"/>
            <w:noWrap/>
            <w:vAlign w:val="bottom"/>
          </w:tcPr>
          <w:p w14:paraId="1A7C2191" w14:textId="0049EDC0"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Ubiquitin protein ligase binding</w:t>
            </w:r>
          </w:p>
        </w:tc>
        <w:tc>
          <w:tcPr>
            <w:tcW w:w="2340" w:type="dxa"/>
            <w:tcBorders>
              <w:top w:val="nil"/>
              <w:left w:val="nil"/>
              <w:bottom w:val="nil"/>
              <w:right w:val="nil"/>
            </w:tcBorders>
            <w:shd w:val="clear" w:color="auto" w:fill="auto"/>
            <w:noWrap/>
            <w:vAlign w:val="bottom"/>
          </w:tcPr>
          <w:p w14:paraId="27206F93" w14:textId="2F3289E9"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0.011</w:t>
            </w:r>
          </w:p>
        </w:tc>
        <w:tc>
          <w:tcPr>
            <w:tcW w:w="3510" w:type="dxa"/>
            <w:tcBorders>
              <w:top w:val="nil"/>
              <w:left w:val="nil"/>
              <w:bottom w:val="nil"/>
              <w:right w:val="nil"/>
            </w:tcBorders>
            <w:shd w:val="clear" w:color="auto" w:fill="auto"/>
            <w:noWrap/>
            <w:vAlign w:val="bottom"/>
          </w:tcPr>
          <w:p w14:paraId="22652136" w14:textId="40E17B19"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2</w:t>
            </w:r>
          </w:p>
        </w:tc>
        <w:tc>
          <w:tcPr>
            <w:tcW w:w="3510" w:type="dxa"/>
            <w:tcBorders>
              <w:top w:val="nil"/>
              <w:left w:val="nil"/>
              <w:bottom w:val="nil"/>
              <w:right w:val="nil"/>
            </w:tcBorders>
            <w:shd w:val="clear" w:color="auto" w:fill="auto"/>
            <w:noWrap/>
            <w:vAlign w:val="bottom"/>
          </w:tcPr>
          <w:p w14:paraId="1CB7E10C" w14:textId="253C52F0"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181</w:t>
            </w:r>
          </w:p>
        </w:tc>
      </w:tr>
      <w:tr w:rsidR="00256A2A" w:rsidRPr="00A46F3B" w14:paraId="6E2E76BE" w14:textId="77777777" w:rsidTr="00256A2A">
        <w:trPr>
          <w:trHeight w:val="288"/>
        </w:trPr>
        <w:tc>
          <w:tcPr>
            <w:tcW w:w="3510" w:type="dxa"/>
            <w:tcBorders>
              <w:top w:val="nil"/>
              <w:left w:val="nil"/>
              <w:bottom w:val="nil"/>
              <w:right w:val="nil"/>
            </w:tcBorders>
            <w:shd w:val="clear" w:color="auto" w:fill="auto"/>
            <w:noWrap/>
            <w:vAlign w:val="bottom"/>
          </w:tcPr>
          <w:p w14:paraId="7ACF0618" w14:textId="16468766"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Ubiquitin-like protein ligase binding</w:t>
            </w:r>
          </w:p>
        </w:tc>
        <w:tc>
          <w:tcPr>
            <w:tcW w:w="2340" w:type="dxa"/>
            <w:tcBorders>
              <w:top w:val="nil"/>
              <w:left w:val="nil"/>
              <w:bottom w:val="nil"/>
              <w:right w:val="nil"/>
            </w:tcBorders>
            <w:shd w:val="clear" w:color="auto" w:fill="auto"/>
            <w:noWrap/>
            <w:vAlign w:val="bottom"/>
          </w:tcPr>
          <w:p w14:paraId="7329CEA3" w14:textId="2AC50F1A"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0.011</w:t>
            </w:r>
          </w:p>
        </w:tc>
        <w:tc>
          <w:tcPr>
            <w:tcW w:w="3510" w:type="dxa"/>
            <w:tcBorders>
              <w:top w:val="nil"/>
              <w:left w:val="nil"/>
              <w:bottom w:val="nil"/>
              <w:right w:val="nil"/>
            </w:tcBorders>
            <w:shd w:val="clear" w:color="auto" w:fill="auto"/>
            <w:noWrap/>
            <w:vAlign w:val="bottom"/>
          </w:tcPr>
          <w:p w14:paraId="25E9303D" w14:textId="64E11104"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2</w:t>
            </w:r>
          </w:p>
        </w:tc>
        <w:tc>
          <w:tcPr>
            <w:tcW w:w="3510" w:type="dxa"/>
            <w:tcBorders>
              <w:top w:val="nil"/>
              <w:left w:val="nil"/>
              <w:bottom w:val="nil"/>
              <w:right w:val="nil"/>
            </w:tcBorders>
            <w:shd w:val="clear" w:color="auto" w:fill="auto"/>
            <w:noWrap/>
            <w:vAlign w:val="bottom"/>
          </w:tcPr>
          <w:p w14:paraId="7DEC52B9" w14:textId="2956A59D"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192</w:t>
            </w:r>
          </w:p>
        </w:tc>
      </w:tr>
      <w:tr w:rsidR="00256A2A" w:rsidRPr="00A46F3B" w14:paraId="0E99D903" w14:textId="77777777" w:rsidTr="00256A2A">
        <w:trPr>
          <w:trHeight w:val="288"/>
        </w:trPr>
        <w:tc>
          <w:tcPr>
            <w:tcW w:w="3510" w:type="dxa"/>
            <w:tcBorders>
              <w:top w:val="nil"/>
              <w:left w:val="nil"/>
              <w:bottom w:val="nil"/>
              <w:right w:val="nil"/>
            </w:tcBorders>
            <w:shd w:val="clear" w:color="auto" w:fill="auto"/>
            <w:noWrap/>
            <w:vAlign w:val="bottom"/>
          </w:tcPr>
          <w:p w14:paraId="465C4CB5" w14:textId="7C1C45BC"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Organic cyclic compound binding</w:t>
            </w:r>
          </w:p>
        </w:tc>
        <w:tc>
          <w:tcPr>
            <w:tcW w:w="2340" w:type="dxa"/>
            <w:tcBorders>
              <w:top w:val="nil"/>
              <w:left w:val="nil"/>
              <w:bottom w:val="nil"/>
              <w:right w:val="nil"/>
            </w:tcBorders>
            <w:shd w:val="clear" w:color="auto" w:fill="auto"/>
            <w:noWrap/>
            <w:vAlign w:val="bottom"/>
          </w:tcPr>
          <w:p w14:paraId="5DF7845C" w14:textId="63AC24FF"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0.014</w:t>
            </w:r>
          </w:p>
        </w:tc>
        <w:tc>
          <w:tcPr>
            <w:tcW w:w="3510" w:type="dxa"/>
            <w:tcBorders>
              <w:top w:val="nil"/>
              <w:left w:val="nil"/>
              <w:bottom w:val="nil"/>
              <w:right w:val="nil"/>
            </w:tcBorders>
            <w:shd w:val="clear" w:color="auto" w:fill="auto"/>
            <w:noWrap/>
            <w:vAlign w:val="bottom"/>
          </w:tcPr>
          <w:p w14:paraId="7B9D97A2" w14:textId="5E143376"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6</w:t>
            </w:r>
          </w:p>
        </w:tc>
        <w:tc>
          <w:tcPr>
            <w:tcW w:w="3510" w:type="dxa"/>
            <w:tcBorders>
              <w:top w:val="nil"/>
              <w:left w:val="nil"/>
              <w:bottom w:val="nil"/>
              <w:right w:val="nil"/>
            </w:tcBorders>
            <w:shd w:val="clear" w:color="auto" w:fill="auto"/>
            <w:noWrap/>
            <w:vAlign w:val="bottom"/>
          </w:tcPr>
          <w:p w14:paraId="67CF165D" w14:textId="48071420"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3510</w:t>
            </w:r>
          </w:p>
        </w:tc>
      </w:tr>
      <w:tr w:rsidR="00256A2A" w:rsidRPr="00A46F3B" w14:paraId="08CD1C2D" w14:textId="77777777" w:rsidTr="00256A2A">
        <w:trPr>
          <w:trHeight w:val="288"/>
        </w:trPr>
        <w:tc>
          <w:tcPr>
            <w:tcW w:w="3510" w:type="dxa"/>
            <w:tcBorders>
              <w:top w:val="nil"/>
              <w:left w:val="nil"/>
              <w:bottom w:val="nil"/>
              <w:right w:val="nil"/>
            </w:tcBorders>
            <w:shd w:val="clear" w:color="auto" w:fill="auto"/>
            <w:noWrap/>
            <w:vAlign w:val="bottom"/>
          </w:tcPr>
          <w:p w14:paraId="3BBFE66D" w14:textId="529BFCCB"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Heterocyclic compound binding</w:t>
            </w:r>
          </w:p>
        </w:tc>
        <w:tc>
          <w:tcPr>
            <w:tcW w:w="2340" w:type="dxa"/>
            <w:tcBorders>
              <w:top w:val="nil"/>
              <w:left w:val="nil"/>
              <w:bottom w:val="nil"/>
              <w:right w:val="nil"/>
            </w:tcBorders>
            <w:shd w:val="clear" w:color="auto" w:fill="auto"/>
            <w:noWrap/>
            <w:vAlign w:val="bottom"/>
          </w:tcPr>
          <w:p w14:paraId="4BF7AAB4" w14:textId="453DEA89"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0.014</w:t>
            </w:r>
          </w:p>
        </w:tc>
        <w:tc>
          <w:tcPr>
            <w:tcW w:w="3510" w:type="dxa"/>
            <w:tcBorders>
              <w:top w:val="nil"/>
              <w:left w:val="nil"/>
              <w:bottom w:val="nil"/>
              <w:right w:val="nil"/>
            </w:tcBorders>
            <w:shd w:val="clear" w:color="auto" w:fill="auto"/>
            <w:noWrap/>
            <w:vAlign w:val="bottom"/>
          </w:tcPr>
          <w:p w14:paraId="775CA3B0" w14:textId="735B6E19"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6</w:t>
            </w:r>
          </w:p>
        </w:tc>
        <w:tc>
          <w:tcPr>
            <w:tcW w:w="3510" w:type="dxa"/>
            <w:tcBorders>
              <w:top w:val="nil"/>
              <w:left w:val="nil"/>
              <w:bottom w:val="nil"/>
              <w:right w:val="nil"/>
            </w:tcBorders>
            <w:shd w:val="clear" w:color="auto" w:fill="auto"/>
            <w:noWrap/>
            <w:vAlign w:val="bottom"/>
          </w:tcPr>
          <w:p w14:paraId="38009125" w14:textId="159B973E"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3472</w:t>
            </w:r>
          </w:p>
        </w:tc>
      </w:tr>
      <w:tr w:rsidR="00256A2A" w:rsidRPr="00A46F3B" w14:paraId="41887096" w14:textId="77777777" w:rsidTr="00256A2A">
        <w:trPr>
          <w:trHeight w:val="288"/>
        </w:trPr>
        <w:tc>
          <w:tcPr>
            <w:tcW w:w="3510" w:type="dxa"/>
            <w:tcBorders>
              <w:top w:val="nil"/>
              <w:left w:val="nil"/>
              <w:bottom w:val="nil"/>
              <w:right w:val="nil"/>
            </w:tcBorders>
            <w:shd w:val="clear" w:color="auto" w:fill="auto"/>
            <w:noWrap/>
            <w:vAlign w:val="bottom"/>
          </w:tcPr>
          <w:p w14:paraId="264D4150" w14:textId="0D05D734"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Enzyme binding</w:t>
            </w:r>
          </w:p>
        </w:tc>
        <w:tc>
          <w:tcPr>
            <w:tcW w:w="2340" w:type="dxa"/>
            <w:tcBorders>
              <w:top w:val="nil"/>
              <w:left w:val="nil"/>
              <w:bottom w:val="nil"/>
              <w:right w:val="nil"/>
            </w:tcBorders>
            <w:shd w:val="clear" w:color="auto" w:fill="auto"/>
            <w:noWrap/>
            <w:vAlign w:val="bottom"/>
          </w:tcPr>
          <w:p w14:paraId="7CCF65A9" w14:textId="341DA9C7"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0.039</w:t>
            </w:r>
          </w:p>
        </w:tc>
        <w:tc>
          <w:tcPr>
            <w:tcW w:w="3510" w:type="dxa"/>
            <w:tcBorders>
              <w:top w:val="nil"/>
              <w:left w:val="nil"/>
              <w:bottom w:val="nil"/>
              <w:right w:val="nil"/>
            </w:tcBorders>
            <w:shd w:val="clear" w:color="auto" w:fill="auto"/>
            <w:noWrap/>
            <w:vAlign w:val="bottom"/>
          </w:tcPr>
          <w:p w14:paraId="3B7C0F2A" w14:textId="7107007F"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3</w:t>
            </w:r>
          </w:p>
        </w:tc>
        <w:tc>
          <w:tcPr>
            <w:tcW w:w="3510" w:type="dxa"/>
            <w:tcBorders>
              <w:top w:val="nil"/>
              <w:left w:val="nil"/>
              <w:bottom w:val="nil"/>
              <w:right w:val="nil"/>
            </w:tcBorders>
            <w:shd w:val="clear" w:color="auto" w:fill="auto"/>
            <w:noWrap/>
            <w:vAlign w:val="bottom"/>
          </w:tcPr>
          <w:p w14:paraId="215E8105" w14:textId="34AAF3BC" w:rsidR="00256A2A" w:rsidRPr="00256A2A" w:rsidRDefault="00256A2A" w:rsidP="00256A2A">
            <w:pPr>
              <w:spacing w:after="0" w:line="240" w:lineRule="auto"/>
              <w:jc w:val="right"/>
              <w:rPr>
                <w:rFonts w:ascii="Arial" w:eastAsia="Times New Roman" w:hAnsi="Arial" w:cs="Arial"/>
                <w:color w:val="000000"/>
                <w:sz w:val="20"/>
                <w:szCs w:val="20"/>
              </w:rPr>
            </w:pPr>
            <w:r w:rsidRPr="00256A2A">
              <w:rPr>
                <w:rFonts w:ascii="Arial" w:hAnsi="Arial" w:cs="Arial"/>
                <w:color w:val="000000"/>
                <w:sz w:val="20"/>
                <w:szCs w:val="20"/>
              </w:rPr>
              <w:t>1230</w:t>
            </w:r>
          </w:p>
        </w:tc>
      </w:tr>
    </w:tbl>
    <w:p w14:paraId="5A7D7F09" w14:textId="77777777" w:rsidR="00A46F3B" w:rsidRPr="00A46F3B" w:rsidRDefault="00A46F3B" w:rsidP="00A46F3B"/>
    <w:sectPr w:rsidR="00A46F3B" w:rsidRPr="00A46F3B" w:rsidSect="0059520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C81C5" w14:textId="77777777" w:rsidR="00F87422" w:rsidRDefault="00F87422" w:rsidP="0059520F">
      <w:pPr>
        <w:spacing w:after="0" w:line="240" w:lineRule="auto"/>
      </w:pPr>
      <w:r>
        <w:separator/>
      </w:r>
    </w:p>
  </w:endnote>
  <w:endnote w:type="continuationSeparator" w:id="0">
    <w:p w14:paraId="5F1006E8" w14:textId="77777777" w:rsidR="00F87422" w:rsidRDefault="00F87422" w:rsidP="0059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55B3A" w14:textId="77777777" w:rsidR="00F87422" w:rsidRDefault="00F87422" w:rsidP="0059520F">
      <w:pPr>
        <w:spacing w:after="0" w:line="240" w:lineRule="auto"/>
      </w:pPr>
      <w:r>
        <w:separator/>
      </w:r>
    </w:p>
  </w:footnote>
  <w:footnote w:type="continuationSeparator" w:id="0">
    <w:p w14:paraId="03C71CA1" w14:textId="77777777" w:rsidR="00F87422" w:rsidRDefault="00F87422" w:rsidP="00595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26C33" w14:textId="2B4612DE" w:rsidR="003540EC" w:rsidRPr="003540EC" w:rsidRDefault="003540EC" w:rsidP="003540EC">
    <w:pPr>
      <w:spacing w:after="0" w:line="240" w:lineRule="auto"/>
      <w:rPr>
        <w:rFonts w:ascii="Arial" w:hAnsi="Arial" w:cs="Arial"/>
        <w:b/>
      </w:rPr>
    </w:pPr>
    <w:r w:rsidRPr="003540EC">
      <w:rPr>
        <w:rFonts w:ascii="Arial" w:hAnsi="Arial" w:cs="Arial"/>
        <w:b/>
      </w:rPr>
      <w:t>Evidence for the Placenta-Brain Axis: Multi-</w:t>
    </w:r>
    <w:proofErr w:type="spellStart"/>
    <w:r w:rsidRPr="003540EC">
      <w:rPr>
        <w:rFonts w:ascii="Arial" w:hAnsi="Arial" w:cs="Arial"/>
        <w:b/>
      </w:rPr>
      <w:t>Omic</w:t>
    </w:r>
    <w:proofErr w:type="spellEnd"/>
    <w:r w:rsidRPr="003540EC">
      <w:rPr>
        <w:rFonts w:ascii="Arial" w:hAnsi="Arial" w:cs="Arial"/>
        <w:b/>
      </w:rPr>
      <w:t xml:space="preserve"> Kernel Aggregation Predicts Intellectual and Social Impairment in Children Born Extremely Preterm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0F"/>
    <w:rsid w:val="000144EE"/>
    <w:rsid w:val="000253B2"/>
    <w:rsid w:val="00057D1F"/>
    <w:rsid w:val="00060F54"/>
    <w:rsid w:val="0009580B"/>
    <w:rsid w:val="000A50A5"/>
    <w:rsid w:val="000E166E"/>
    <w:rsid w:val="001655A4"/>
    <w:rsid w:val="001948C9"/>
    <w:rsid w:val="00197C94"/>
    <w:rsid w:val="001C4706"/>
    <w:rsid w:val="001E7FEF"/>
    <w:rsid w:val="001F259D"/>
    <w:rsid w:val="00256A2A"/>
    <w:rsid w:val="00267F9B"/>
    <w:rsid w:val="00281A3A"/>
    <w:rsid w:val="0031294C"/>
    <w:rsid w:val="003540EC"/>
    <w:rsid w:val="00394031"/>
    <w:rsid w:val="003A228D"/>
    <w:rsid w:val="003B6A58"/>
    <w:rsid w:val="003C6F27"/>
    <w:rsid w:val="003D5E20"/>
    <w:rsid w:val="003F490B"/>
    <w:rsid w:val="004B12F2"/>
    <w:rsid w:val="00517FF9"/>
    <w:rsid w:val="00536C0D"/>
    <w:rsid w:val="00541FA1"/>
    <w:rsid w:val="005459FB"/>
    <w:rsid w:val="00550C1F"/>
    <w:rsid w:val="005572AE"/>
    <w:rsid w:val="0059520F"/>
    <w:rsid w:val="00617544"/>
    <w:rsid w:val="006E2A0A"/>
    <w:rsid w:val="007540E2"/>
    <w:rsid w:val="00776056"/>
    <w:rsid w:val="007D0DC9"/>
    <w:rsid w:val="007E63EE"/>
    <w:rsid w:val="008725D2"/>
    <w:rsid w:val="008B5C05"/>
    <w:rsid w:val="00915691"/>
    <w:rsid w:val="009169C1"/>
    <w:rsid w:val="00950ABF"/>
    <w:rsid w:val="00A46F3B"/>
    <w:rsid w:val="00AB32BB"/>
    <w:rsid w:val="00B0390B"/>
    <w:rsid w:val="00B05EE7"/>
    <w:rsid w:val="00B52794"/>
    <w:rsid w:val="00B838D8"/>
    <w:rsid w:val="00C84A6B"/>
    <w:rsid w:val="00C95A81"/>
    <w:rsid w:val="00CA3D55"/>
    <w:rsid w:val="00CB3148"/>
    <w:rsid w:val="00CC269F"/>
    <w:rsid w:val="00D07DF1"/>
    <w:rsid w:val="00D453A2"/>
    <w:rsid w:val="00E96B25"/>
    <w:rsid w:val="00F36C83"/>
    <w:rsid w:val="00F87422"/>
    <w:rsid w:val="00FA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BC6D"/>
  <w15:chartTrackingRefBased/>
  <w15:docId w15:val="{CFA36B3C-1B48-42D5-B650-A90100AD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2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9520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595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20F"/>
  </w:style>
  <w:style w:type="paragraph" w:styleId="Footer">
    <w:name w:val="footer"/>
    <w:basedOn w:val="Normal"/>
    <w:link w:val="FooterChar"/>
    <w:uiPriority w:val="99"/>
    <w:unhideWhenUsed/>
    <w:rsid w:val="00595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20F"/>
  </w:style>
  <w:style w:type="paragraph" w:styleId="BalloonText">
    <w:name w:val="Balloon Text"/>
    <w:basedOn w:val="Normal"/>
    <w:link w:val="BalloonTextChar"/>
    <w:uiPriority w:val="99"/>
    <w:semiHidden/>
    <w:unhideWhenUsed/>
    <w:rsid w:val="004B12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2F2"/>
    <w:rPr>
      <w:rFonts w:ascii="Segoe UI" w:hAnsi="Segoe UI" w:cs="Segoe UI"/>
      <w:sz w:val="18"/>
      <w:szCs w:val="18"/>
    </w:rPr>
  </w:style>
  <w:style w:type="character" w:styleId="CommentReference">
    <w:name w:val="annotation reference"/>
    <w:basedOn w:val="DefaultParagraphFont"/>
    <w:uiPriority w:val="99"/>
    <w:semiHidden/>
    <w:unhideWhenUsed/>
    <w:rsid w:val="004B12F2"/>
    <w:rPr>
      <w:sz w:val="16"/>
      <w:szCs w:val="16"/>
    </w:rPr>
  </w:style>
  <w:style w:type="paragraph" w:styleId="CommentText">
    <w:name w:val="annotation text"/>
    <w:basedOn w:val="Normal"/>
    <w:link w:val="CommentTextChar"/>
    <w:uiPriority w:val="99"/>
    <w:semiHidden/>
    <w:unhideWhenUsed/>
    <w:rsid w:val="004B12F2"/>
    <w:pPr>
      <w:spacing w:line="240" w:lineRule="auto"/>
    </w:pPr>
    <w:rPr>
      <w:sz w:val="20"/>
      <w:szCs w:val="20"/>
    </w:rPr>
  </w:style>
  <w:style w:type="character" w:customStyle="1" w:styleId="CommentTextChar">
    <w:name w:val="Comment Text Char"/>
    <w:basedOn w:val="DefaultParagraphFont"/>
    <w:link w:val="CommentText"/>
    <w:uiPriority w:val="99"/>
    <w:semiHidden/>
    <w:rsid w:val="004B12F2"/>
    <w:rPr>
      <w:sz w:val="20"/>
      <w:szCs w:val="20"/>
    </w:rPr>
  </w:style>
  <w:style w:type="paragraph" w:styleId="CommentSubject">
    <w:name w:val="annotation subject"/>
    <w:basedOn w:val="CommentText"/>
    <w:next w:val="CommentText"/>
    <w:link w:val="CommentSubjectChar"/>
    <w:uiPriority w:val="99"/>
    <w:semiHidden/>
    <w:unhideWhenUsed/>
    <w:rsid w:val="004B12F2"/>
    <w:rPr>
      <w:b/>
      <w:bCs/>
    </w:rPr>
  </w:style>
  <w:style w:type="character" w:customStyle="1" w:styleId="CommentSubjectChar">
    <w:name w:val="Comment Subject Char"/>
    <w:basedOn w:val="CommentTextChar"/>
    <w:link w:val="CommentSubject"/>
    <w:uiPriority w:val="99"/>
    <w:semiHidden/>
    <w:rsid w:val="004B12F2"/>
    <w:rPr>
      <w:b/>
      <w:bCs/>
      <w:sz w:val="20"/>
      <w:szCs w:val="20"/>
    </w:rPr>
  </w:style>
  <w:style w:type="character" w:styleId="PlaceholderText">
    <w:name w:val="Placeholder Text"/>
    <w:basedOn w:val="DefaultParagraphFont"/>
    <w:uiPriority w:val="99"/>
    <w:semiHidden/>
    <w:rsid w:val="00281A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95973">
      <w:bodyDiv w:val="1"/>
      <w:marLeft w:val="0"/>
      <w:marRight w:val="0"/>
      <w:marTop w:val="0"/>
      <w:marBottom w:val="0"/>
      <w:divBdr>
        <w:top w:val="none" w:sz="0" w:space="0" w:color="auto"/>
        <w:left w:val="none" w:sz="0" w:space="0" w:color="auto"/>
        <w:bottom w:val="none" w:sz="0" w:space="0" w:color="auto"/>
        <w:right w:val="none" w:sz="0" w:space="0" w:color="auto"/>
      </w:divBdr>
    </w:div>
    <w:div w:id="413280005">
      <w:bodyDiv w:val="1"/>
      <w:marLeft w:val="0"/>
      <w:marRight w:val="0"/>
      <w:marTop w:val="0"/>
      <w:marBottom w:val="0"/>
      <w:divBdr>
        <w:top w:val="none" w:sz="0" w:space="0" w:color="auto"/>
        <w:left w:val="none" w:sz="0" w:space="0" w:color="auto"/>
        <w:bottom w:val="none" w:sz="0" w:space="0" w:color="auto"/>
        <w:right w:val="none" w:sz="0" w:space="0" w:color="auto"/>
      </w:divBdr>
    </w:div>
    <w:div w:id="486046550">
      <w:bodyDiv w:val="1"/>
      <w:marLeft w:val="0"/>
      <w:marRight w:val="0"/>
      <w:marTop w:val="0"/>
      <w:marBottom w:val="0"/>
      <w:divBdr>
        <w:top w:val="none" w:sz="0" w:space="0" w:color="auto"/>
        <w:left w:val="none" w:sz="0" w:space="0" w:color="auto"/>
        <w:bottom w:val="none" w:sz="0" w:space="0" w:color="auto"/>
        <w:right w:val="none" w:sz="0" w:space="0" w:color="auto"/>
      </w:divBdr>
    </w:div>
    <w:div w:id="635598795">
      <w:bodyDiv w:val="1"/>
      <w:marLeft w:val="0"/>
      <w:marRight w:val="0"/>
      <w:marTop w:val="0"/>
      <w:marBottom w:val="0"/>
      <w:divBdr>
        <w:top w:val="none" w:sz="0" w:space="0" w:color="auto"/>
        <w:left w:val="none" w:sz="0" w:space="0" w:color="auto"/>
        <w:bottom w:val="none" w:sz="0" w:space="0" w:color="auto"/>
        <w:right w:val="none" w:sz="0" w:space="0" w:color="auto"/>
      </w:divBdr>
    </w:div>
    <w:div w:id="685712689">
      <w:bodyDiv w:val="1"/>
      <w:marLeft w:val="0"/>
      <w:marRight w:val="0"/>
      <w:marTop w:val="0"/>
      <w:marBottom w:val="0"/>
      <w:divBdr>
        <w:top w:val="none" w:sz="0" w:space="0" w:color="auto"/>
        <w:left w:val="none" w:sz="0" w:space="0" w:color="auto"/>
        <w:bottom w:val="none" w:sz="0" w:space="0" w:color="auto"/>
        <w:right w:val="none" w:sz="0" w:space="0" w:color="auto"/>
      </w:divBdr>
    </w:div>
    <w:div w:id="692993795">
      <w:bodyDiv w:val="1"/>
      <w:marLeft w:val="0"/>
      <w:marRight w:val="0"/>
      <w:marTop w:val="0"/>
      <w:marBottom w:val="0"/>
      <w:divBdr>
        <w:top w:val="none" w:sz="0" w:space="0" w:color="auto"/>
        <w:left w:val="none" w:sz="0" w:space="0" w:color="auto"/>
        <w:bottom w:val="none" w:sz="0" w:space="0" w:color="auto"/>
        <w:right w:val="none" w:sz="0" w:space="0" w:color="auto"/>
      </w:divBdr>
    </w:div>
    <w:div w:id="1121191257">
      <w:bodyDiv w:val="1"/>
      <w:marLeft w:val="0"/>
      <w:marRight w:val="0"/>
      <w:marTop w:val="0"/>
      <w:marBottom w:val="0"/>
      <w:divBdr>
        <w:top w:val="none" w:sz="0" w:space="0" w:color="auto"/>
        <w:left w:val="none" w:sz="0" w:space="0" w:color="auto"/>
        <w:bottom w:val="none" w:sz="0" w:space="0" w:color="auto"/>
        <w:right w:val="none" w:sz="0" w:space="0" w:color="auto"/>
      </w:divBdr>
    </w:div>
    <w:div w:id="1429886446">
      <w:bodyDiv w:val="1"/>
      <w:marLeft w:val="0"/>
      <w:marRight w:val="0"/>
      <w:marTop w:val="0"/>
      <w:marBottom w:val="0"/>
      <w:divBdr>
        <w:top w:val="none" w:sz="0" w:space="0" w:color="auto"/>
        <w:left w:val="none" w:sz="0" w:space="0" w:color="auto"/>
        <w:bottom w:val="none" w:sz="0" w:space="0" w:color="auto"/>
        <w:right w:val="none" w:sz="0" w:space="0" w:color="auto"/>
      </w:divBdr>
    </w:div>
    <w:div w:id="167838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706BA-9C95-4F13-B531-F66C0747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Bhattacharya, Arjun</dc:creator>
  <cp:keywords/>
  <dc:description/>
  <cp:lastModifiedBy>Santos, Hudson</cp:lastModifiedBy>
  <cp:revision>59</cp:revision>
  <dcterms:created xsi:type="dcterms:W3CDTF">2020-10-19T23:38:00Z</dcterms:created>
  <dcterms:modified xsi:type="dcterms:W3CDTF">2020-12-08T14:04:00Z</dcterms:modified>
</cp:coreProperties>
</file>