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ind w:right="4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Supplementary Material</w:t>
      </w:r>
    </w:p>
    <w:p w:rsidR="00000000" w:rsidDel="00000000" w:rsidP="00000000" w:rsidRDefault="00000000" w:rsidRPr="00000000" w14:paraId="00000002">
      <w:pPr>
        <w:spacing w:after="0" w:line="360" w:lineRule="auto"/>
        <w:ind w:right="40"/>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Supplementary Material About Hair Sampling and Cortisol Concentration Analysis</w:t>
      </w:r>
    </w:p>
    <w:p w:rsidR="00000000" w:rsidDel="00000000" w:rsidP="00000000" w:rsidRDefault="00000000" w:rsidRPr="00000000" w14:paraId="00000003">
      <w:pPr>
        <w:spacing w:after="0" w:line="360" w:lineRule="auto"/>
        <w:ind w:right="40"/>
        <w:rPr>
          <w:rFonts w:ascii="Times New Roman" w:cs="Times New Roman" w:eastAsia="Times New Roman" w:hAnsi="Times New Roman"/>
          <w:b w:val="1"/>
          <w:i w:val="1"/>
          <w:color w:val="000000"/>
          <w:sz w:val="24"/>
          <w:szCs w:val="24"/>
        </w:rPr>
      </w:pPr>
      <w:r w:rsidDel="00000000" w:rsidR="00000000" w:rsidRPr="00000000">
        <w:rPr>
          <w:rFonts w:ascii="Times New Roman" w:cs="Times New Roman" w:eastAsia="Times New Roman" w:hAnsi="Times New Roman"/>
          <w:b w:val="1"/>
          <w:i w:val="1"/>
          <w:color w:val="000000"/>
          <w:sz w:val="24"/>
          <w:szCs w:val="24"/>
          <w:rtl w:val="0"/>
        </w:rPr>
        <w:t xml:space="preserve">Hair Sampling</w:t>
      </w:r>
    </w:p>
    <w:p w:rsidR="00000000" w:rsidDel="00000000" w:rsidP="00000000" w:rsidRDefault="00000000" w:rsidRPr="00000000" w14:paraId="00000004">
      <w:pPr>
        <w:spacing w:after="0" w:line="36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Following Yang et al.</w:t>
      </w:r>
      <w:r w:rsidDel="00000000" w:rsidR="00000000" w:rsidRPr="00000000">
        <w:rPr>
          <w:rFonts w:ascii="Times New Roman" w:cs="Times New Roman" w:eastAsia="Times New Roman" w:hAnsi="Times New Roman"/>
          <w:color w:val="000000"/>
          <w:sz w:val="24"/>
          <w:szCs w:val="24"/>
          <w:vertAlign w:val="superscript"/>
          <w:rtl w:val="0"/>
        </w:rPr>
        <w:t xml:space="preserve">1</w:t>
      </w:r>
      <w:r w:rsidDel="00000000" w:rsidR="00000000" w:rsidRPr="00000000">
        <w:rPr>
          <w:rFonts w:ascii="Times New Roman" w:cs="Times New Roman" w:eastAsia="Times New Roman" w:hAnsi="Times New Roman"/>
          <w:color w:val="000000"/>
          <w:sz w:val="24"/>
          <w:szCs w:val="24"/>
          <w:rtl w:val="0"/>
        </w:rPr>
        <w:t xml:space="preserve"> and Brænden et al.</w:t>
      </w:r>
      <w:r w:rsidDel="00000000" w:rsidR="00000000" w:rsidRPr="00000000">
        <w:rPr>
          <w:rFonts w:ascii="Times New Roman" w:cs="Times New Roman" w:eastAsia="Times New Roman" w:hAnsi="Times New Roman"/>
          <w:color w:val="000000"/>
          <w:sz w:val="24"/>
          <w:szCs w:val="24"/>
          <w:vertAlign w:val="super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we used competitive radioimmunoassay (RIA) for extract and analyse cortisol levels in hair. The hair samples were cut into smaller pieces weighting 5 to 7 mg, frozen for 2 min in liquid nitrogen in a test tube, and grinded together with a 5 mm steel ball using a Retch Cryo Mill (20 HZ) for 2 min. A volume of 1 ml of methanol was added to each tube and then, the samples are incubated overnight on a moving platform. Then, 0.8 ml of the methanol supernatant is removed and lyophilized using a Savant Speed Vac Plus SC210A. The extracts of hair samples were dissolved in a radioimmunoassay buffer. Cortisol concentrations were analyzed as described by Morelius et al.</w:t>
      </w:r>
      <w:r w:rsidDel="00000000" w:rsidR="00000000" w:rsidRPr="00000000">
        <w:rPr>
          <w:rFonts w:ascii="Times New Roman" w:cs="Times New Roman" w:eastAsia="Times New Roman" w:hAnsi="Times New Roman"/>
          <w:color w:val="000000"/>
          <w:sz w:val="24"/>
          <w:szCs w:val="24"/>
          <w:vertAlign w:val="super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The primary antibody used was a rabbit polyclonal antibody “Cortisol 3”, catalog number MBS535414 (MyBioSource, San Diego, USA). Its reactivity profile is as follows: cortisol 100%, prednisolone 37%, 11-deoxycortisol 5%, corticosterone 3%, and cortisone&lt;1%. The radioligand (radiolabelled cortisol) competes for the same binding sites as cortisol on the antibody. The secondary solid-phase antibody was anti-rabbit Sac-Cel (AA-Sac1, ImmunoDiagnostic Systems Ltd, Boldon, England) and it is used to separate the free sections from the ones that are connected to the primary antibody. The amount of radiation measured is inversely proportional to the amount of cortisol in the sample. The extracted cortisol is analysed, ensuring that inter-assay variations are less than 8% and intra-assay variations less than 7%.</w:t>
      </w:r>
      <w:r w:rsidDel="00000000" w:rsidR="00000000" w:rsidRPr="00000000">
        <w:rPr>
          <w:rFonts w:ascii="Times New Roman" w:cs="Times New Roman" w:eastAsia="Times New Roman" w:hAnsi="Times New Roman"/>
          <w:color w:val="000000"/>
          <w:sz w:val="24"/>
          <w:szCs w:val="24"/>
          <w:vertAlign w:val="superscript"/>
          <w:rtl w:val="0"/>
        </w:rPr>
        <w:t xml:space="preserve">4</w:t>
      </w:r>
      <w:r w:rsidDel="00000000" w:rsidR="00000000" w:rsidRPr="00000000">
        <w:rPr>
          <w:rFonts w:ascii="Times New Roman" w:cs="Times New Roman" w:eastAsia="Times New Roman" w:hAnsi="Times New Roman"/>
          <w:color w:val="000000"/>
          <w:sz w:val="24"/>
          <w:szCs w:val="24"/>
          <w:rtl w:val="0"/>
        </w:rPr>
        <w:t xml:space="preserve"> Furthermore, the gamma radiation used for cortisol detection in the RIA-method is not influenced by coloured hair.</w:t>
      </w:r>
      <w:r w:rsidDel="00000000" w:rsidR="00000000" w:rsidRPr="00000000">
        <w:rPr>
          <w:rFonts w:ascii="Times New Roman" w:cs="Times New Roman" w:eastAsia="Times New Roman" w:hAnsi="Times New Roman"/>
          <w:color w:val="000000"/>
          <w:sz w:val="24"/>
          <w:szCs w:val="24"/>
          <w:vertAlign w:val="superscript"/>
          <w:rtl w:val="0"/>
        </w:rPr>
        <w:t xml:space="preserve">2,5</w:t>
      </w:r>
      <w:r w:rsidDel="00000000" w:rsidR="00000000" w:rsidRPr="00000000">
        <w:rPr>
          <w:rtl w:val="0"/>
        </w:rPr>
      </w:r>
    </w:p>
    <w:p w:rsidR="00000000" w:rsidDel="00000000" w:rsidP="00000000" w:rsidRDefault="00000000" w:rsidRPr="00000000" w14:paraId="00000005">
      <w:pPr>
        <w:rPr/>
      </w:pPr>
      <w:r w:rsidDel="00000000" w:rsidR="00000000" w:rsidRPr="00000000">
        <w:br w:type="page"/>
      </w:r>
      <w:r w:rsidDel="00000000" w:rsidR="00000000" w:rsidRPr="00000000">
        <w:rPr>
          <w:rtl w:val="0"/>
        </w:rPr>
      </w:r>
    </w:p>
    <w:p w:rsidR="00000000" w:rsidDel="00000000" w:rsidP="00000000" w:rsidRDefault="00000000" w:rsidRPr="00000000" w14:paraId="00000006">
      <w:pPr>
        <w:spacing w:after="0" w:line="360" w:lineRule="auto"/>
        <w:ind w:right="40"/>
        <w:jc w:val="both"/>
        <w:rPr>
          <w:rFonts w:ascii="Times New Roman" w:cs="Times New Roman" w:eastAsia="Times New Roman" w:hAnsi="Times New Roman"/>
          <w:b w:val="1"/>
          <w:i w:val="1"/>
          <w:color w:val="000000"/>
          <w:sz w:val="24"/>
          <w:szCs w:val="24"/>
        </w:rPr>
      </w:pPr>
      <w:r w:rsidDel="00000000" w:rsidR="00000000" w:rsidRPr="00000000">
        <w:rPr>
          <w:rFonts w:ascii="Times New Roman" w:cs="Times New Roman" w:eastAsia="Times New Roman" w:hAnsi="Times New Roman"/>
          <w:b w:val="1"/>
          <w:i w:val="1"/>
          <w:color w:val="000000"/>
          <w:sz w:val="24"/>
          <w:szCs w:val="24"/>
          <w:rtl w:val="0"/>
        </w:rPr>
        <w:t xml:space="preserve">Hair Cortisol Concentration (HCC) Distribution and Transformation Analysis</w:t>
      </w:r>
    </w:p>
    <w:p w:rsidR="00000000" w:rsidDel="00000000" w:rsidP="00000000" w:rsidRDefault="00000000" w:rsidRPr="00000000" w14:paraId="00000007">
      <w:pPr>
        <w:spacing w:after="0" w:line="360" w:lineRule="auto"/>
        <w:ind w:right="4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Raw hair cortisol concentrations (HCC, pg/mg) had an interquartile range (IQR) of 32.34 (Q1=15.48, Q3 = 47.81) with high skewness (skew = 11.29) and kurtosis (kurt = 154.49), thus requiring a natural logarithm transformation. Post-transformation, the interquartile range (IQR) of log-transformed HCC (henceforth HCC) was reduced to 1.13 (Q1 = 2.74, Q3 = 3.87, skew=1.39, kurt = 6.32). </w:t>
      </w:r>
    </w:p>
    <w:p w:rsidR="00000000" w:rsidDel="00000000" w:rsidP="00000000" w:rsidRDefault="00000000" w:rsidRPr="00000000" w14:paraId="00000008">
      <w:pPr>
        <w:spacing w:after="0" w:line="360" w:lineRule="auto"/>
        <w:ind w:right="4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Shapiro-Wilk test confirmed non-normal distribution of HCC in both the full sample (</w:t>
      </w:r>
      <w:r w:rsidDel="00000000" w:rsidR="00000000" w:rsidRPr="00000000">
        <w:rPr>
          <w:rFonts w:ascii="Times New Roman" w:cs="Times New Roman" w:eastAsia="Times New Roman" w:hAnsi="Times New Roman"/>
          <w:i w:val="1"/>
          <w:color w:val="000000"/>
          <w:sz w:val="24"/>
          <w:szCs w:val="24"/>
          <w:rtl w:val="0"/>
        </w:rPr>
        <w:t xml:space="preserve">W</w:t>
      </w:r>
      <w:r w:rsidDel="00000000" w:rsidR="00000000" w:rsidRPr="00000000">
        <w:rPr>
          <w:rFonts w:ascii="Times New Roman" w:cs="Times New Roman" w:eastAsia="Times New Roman" w:hAnsi="Times New Roman"/>
          <w:color w:val="000000"/>
          <w:sz w:val="24"/>
          <w:szCs w:val="24"/>
          <w:rtl w:val="0"/>
        </w:rPr>
        <w:t xml:space="preserve"> = 0.91,</w:t>
      </w:r>
      <w:r w:rsidDel="00000000" w:rsidR="00000000" w:rsidRPr="00000000">
        <w:rPr>
          <w:rFonts w:ascii="Times New Roman" w:cs="Times New Roman" w:eastAsia="Times New Roman" w:hAnsi="Times New Roman"/>
          <w:i w:val="1"/>
          <w:color w:val="000000"/>
          <w:sz w:val="24"/>
          <w:szCs w:val="24"/>
          <w:rtl w:val="0"/>
        </w:rPr>
        <w:t xml:space="preserve"> p</w:t>
      </w:r>
      <w:r w:rsidDel="00000000" w:rsidR="00000000" w:rsidRPr="00000000">
        <w:rPr>
          <w:rFonts w:ascii="Times New Roman" w:cs="Times New Roman" w:eastAsia="Times New Roman" w:hAnsi="Times New Roman"/>
          <w:color w:val="000000"/>
          <w:sz w:val="24"/>
          <w:szCs w:val="24"/>
          <w:rtl w:val="0"/>
        </w:rPr>
        <w:t xml:space="preserve"> &lt; 0.001) and the adult subsample (</w:t>
      </w:r>
      <w:r w:rsidDel="00000000" w:rsidR="00000000" w:rsidRPr="00000000">
        <w:rPr>
          <w:rFonts w:ascii="Times New Roman" w:cs="Times New Roman" w:eastAsia="Times New Roman" w:hAnsi="Times New Roman"/>
          <w:i w:val="1"/>
          <w:color w:val="000000"/>
          <w:sz w:val="24"/>
          <w:szCs w:val="24"/>
          <w:rtl w:val="0"/>
        </w:rPr>
        <w:t xml:space="preserve">W</w:t>
      </w:r>
      <w:r w:rsidDel="00000000" w:rsidR="00000000" w:rsidRPr="00000000">
        <w:rPr>
          <w:rFonts w:ascii="Times New Roman" w:cs="Times New Roman" w:eastAsia="Times New Roman" w:hAnsi="Times New Roman"/>
          <w:color w:val="000000"/>
          <w:sz w:val="24"/>
          <w:szCs w:val="24"/>
          <w:rtl w:val="0"/>
        </w:rPr>
        <w:t xml:space="preserve"> = 0.92, </w:t>
      </w:r>
      <w:r w:rsidDel="00000000" w:rsidR="00000000" w:rsidRPr="00000000">
        <w:rPr>
          <w:rFonts w:ascii="Times New Roman" w:cs="Times New Roman" w:eastAsia="Times New Roman" w:hAnsi="Times New Roman"/>
          <w:i w:val="1"/>
          <w:color w:val="000000"/>
          <w:sz w:val="24"/>
          <w:szCs w:val="24"/>
          <w:rtl w:val="0"/>
        </w:rPr>
        <w:t xml:space="preserve">p</w:t>
      </w:r>
      <w:r w:rsidDel="00000000" w:rsidR="00000000" w:rsidRPr="00000000">
        <w:rPr>
          <w:rFonts w:ascii="Times New Roman" w:cs="Times New Roman" w:eastAsia="Times New Roman" w:hAnsi="Times New Roman"/>
          <w:color w:val="000000"/>
          <w:sz w:val="24"/>
          <w:szCs w:val="24"/>
          <w:rtl w:val="0"/>
        </w:rPr>
        <w:t xml:space="preserve"> &lt; 0.001), while autistic participants showed a normal distribution (</w:t>
      </w:r>
      <w:r w:rsidDel="00000000" w:rsidR="00000000" w:rsidRPr="00000000">
        <w:rPr>
          <w:rFonts w:ascii="Times New Roman" w:cs="Times New Roman" w:eastAsia="Times New Roman" w:hAnsi="Times New Roman"/>
          <w:i w:val="1"/>
          <w:color w:val="000000"/>
          <w:sz w:val="24"/>
          <w:szCs w:val="24"/>
          <w:rtl w:val="0"/>
        </w:rPr>
        <w:t xml:space="preserve">W</w:t>
      </w:r>
      <w:r w:rsidDel="00000000" w:rsidR="00000000" w:rsidRPr="00000000">
        <w:rPr>
          <w:rFonts w:ascii="Times New Roman" w:cs="Times New Roman" w:eastAsia="Times New Roman" w:hAnsi="Times New Roman"/>
          <w:color w:val="000000"/>
          <w:sz w:val="24"/>
          <w:szCs w:val="24"/>
          <w:rtl w:val="0"/>
        </w:rPr>
        <w:t xml:space="preserve"> = 0.97, </w:t>
      </w:r>
      <w:r w:rsidDel="00000000" w:rsidR="00000000" w:rsidRPr="00000000">
        <w:rPr>
          <w:rFonts w:ascii="Times New Roman" w:cs="Times New Roman" w:eastAsia="Times New Roman" w:hAnsi="Times New Roman"/>
          <w:i w:val="1"/>
          <w:color w:val="000000"/>
          <w:sz w:val="24"/>
          <w:szCs w:val="24"/>
          <w:rtl w:val="0"/>
        </w:rPr>
        <w:t xml:space="preserve">p</w:t>
      </w:r>
      <w:r w:rsidDel="00000000" w:rsidR="00000000" w:rsidRPr="00000000">
        <w:rPr>
          <w:rFonts w:ascii="Times New Roman" w:cs="Times New Roman" w:eastAsia="Times New Roman" w:hAnsi="Times New Roman"/>
          <w:color w:val="000000"/>
          <w:sz w:val="24"/>
          <w:szCs w:val="24"/>
          <w:rtl w:val="0"/>
        </w:rPr>
        <w:t xml:space="preserve"> = 0.16). HCC distribution for the full sample and subsamples is represented in Figure S1. </w:t>
      </w:r>
    </w:p>
    <w:p w:rsidR="00000000" w:rsidDel="00000000" w:rsidP="00000000" w:rsidRDefault="00000000" w:rsidRPr="00000000" w14:paraId="00000009">
      <w:pPr>
        <w:spacing w:after="0" w:line="480" w:lineRule="auto"/>
        <w:ind w:right="40"/>
        <w:jc w:val="both"/>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A">
      <w:pPr>
        <w:spacing w:after="0" w:line="480" w:lineRule="auto"/>
        <w:ind w:right="40"/>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Figure S1.</w:t>
      </w:r>
    </w:p>
    <w:p w:rsidR="00000000" w:rsidDel="00000000" w:rsidP="00000000" w:rsidRDefault="00000000" w:rsidRPr="00000000" w14:paraId="0000000B">
      <w:pPr>
        <w:spacing w:after="0" w:line="480" w:lineRule="auto"/>
        <w:ind w:right="40"/>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HCC distribution in the full sample (a) and autistic (b) and adult subsamples.</w:t>
      </w:r>
    </w:p>
    <w:p w:rsidR="00000000" w:rsidDel="00000000" w:rsidP="00000000" w:rsidRDefault="00000000" w:rsidRPr="00000000" w14:paraId="0000000C">
      <w:pPr>
        <w:spacing w:after="0" w:line="360" w:lineRule="auto"/>
        <w:ind w:right="40"/>
        <w:rPr/>
      </w:pPr>
      <w:r w:rsidDel="00000000" w:rsidR="00000000" w:rsidRPr="00000000">
        <w:rPr/>
        <w:drawing>
          <wp:inline distB="0" distT="0" distL="0" distR="0">
            <wp:extent cx="6531842" cy="2004646"/>
            <wp:effectExtent b="0" l="0" r="0" t="0"/>
            <wp:docPr descr="Gráfico, Gráfico de cajas y bigotes&#10;&#10;Descripción generada automáticamente" id="5" name="image2.png"/>
            <a:graphic>
              <a:graphicData uri="http://schemas.openxmlformats.org/drawingml/2006/picture">
                <pic:pic>
                  <pic:nvPicPr>
                    <pic:cNvPr descr="Gráfico, Gráfico de cajas y bigotes&#10;&#10;Descripción generada automáticamente" id="0" name="image2.png"/>
                    <pic:cNvPicPr preferRelativeResize="0"/>
                  </pic:nvPicPr>
                  <pic:blipFill>
                    <a:blip r:embed="rId6"/>
                    <a:srcRect b="12551" l="0" r="0" t="0"/>
                    <a:stretch>
                      <a:fillRect/>
                    </a:stretch>
                  </pic:blipFill>
                  <pic:spPr>
                    <a:xfrm>
                      <a:off x="0" y="0"/>
                      <a:ext cx="6531842" cy="2004646"/>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pacing w:after="0" w:line="360" w:lineRule="auto"/>
        <w:ind w:right="40"/>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color w:val="000000"/>
          <w:sz w:val="20"/>
          <w:szCs w:val="20"/>
          <w:rtl w:val="0"/>
        </w:rPr>
        <w:t xml:space="preserve">Note. HCC = </w:t>
      </w:r>
      <w:r w:rsidDel="00000000" w:rsidR="00000000" w:rsidRPr="00000000">
        <w:rPr>
          <w:rFonts w:ascii="Times New Roman" w:cs="Times New Roman" w:eastAsia="Times New Roman" w:hAnsi="Times New Roman"/>
          <w:color w:val="000000"/>
          <w:sz w:val="20"/>
          <w:szCs w:val="20"/>
          <w:rtl w:val="0"/>
        </w:rPr>
        <w:t xml:space="preserve">Hair Cortisol Concentration,</w:t>
      </w:r>
      <w:r w:rsidDel="00000000" w:rsidR="00000000" w:rsidRPr="00000000">
        <w:rPr>
          <w:rFonts w:ascii="Times New Roman" w:cs="Times New Roman" w:eastAsia="Times New Roman" w:hAnsi="Times New Roman"/>
          <w:i w:val="1"/>
          <w:color w:val="000000"/>
          <w:sz w:val="20"/>
          <w:szCs w:val="20"/>
          <w:rtl w:val="0"/>
        </w:rPr>
        <w:t xml:space="preserve"> IQR = </w:t>
      </w:r>
      <w:r w:rsidDel="00000000" w:rsidR="00000000" w:rsidRPr="00000000">
        <w:rPr>
          <w:rFonts w:ascii="Times New Roman" w:cs="Times New Roman" w:eastAsia="Times New Roman" w:hAnsi="Times New Roman"/>
          <w:color w:val="000000"/>
          <w:sz w:val="20"/>
          <w:szCs w:val="20"/>
          <w:rtl w:val="0"/>
        </w:rPr>
        <w:t xml:space="preserve">Intercuartile Range</w:t>
      </w:r>
    </w:p>
    <w:p w:rsidR="00000000" w:rsidDel="00000000" w:rsidP="00000000" w:rsidRDefault="00000000" w:rsidRPr="00000000" w14:paraId="0000000E">
      <w:pPr>
        <w:spacing w:line="360" w:lineRule="auto"/>
        <w:rPr>
          <w:rFonts w:ascii="Times New Roman" w:cs="Times New Roman" w:eastAsia="Times New Roman" w:hAnsi="Times New Roman"/>
          <w:b w:val="1"/>
          <w:color w:val="000000"/>
          <w:sz w:val="24"/>
          <w:szCs w:val="24"/>
        </w:rPr>
      </w:pPr>
      <w:r w:rsidDel="00000000" w:rsidR="00000000" w:rsidRPr="00000000">
        <w:br w:type="page"/>
      </w:r>
      <w:r w:rsidDel="00000000" w:rsidR="00000000" w:rsidRPr="00000000">
        <w:rPr>
          <w:rFonts w:ascii="Times New Roman" w:cs="Times New Roman" w:eastAsia="Times New Roman" w:hAnsi="Times New Roman"/>
          <w:b w:val="1"/>
          <w:color w:val="000000"/>
          <w:sz w:val="24"/>
          <w:szCs w:val="24"/>
          <w:rtl w:val="0"/>
        </w:rPr>
        <w:t xml:space="preserve">HCC Confounders Distribution and Associations</w:t>
      </w:r>
    </w:p>
    <w:p w:rsidR="00000000" w:rsidDel="00000000" w:rsidP="00000000" w:rsidRDefault="00000000" w:rsidRPr="00000000" w14:paraId="0000000F">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4"/>
          <w:szCs w:val="24"/>
          <w:rtl w:val="0"/>
        </w:rPr>
        <w:t xml:space="preserve">The most reported chronic conditions included allergies (36.5%), eczema (26.0%) and asthma (19.7%). Additionally, 3.5% of the participants were taking steroid-based medication (e.g., inhaled budesonide, or mometasone nasal spray). Regarding BMI, 74.0% participants was classified as “normal weight”, 13.7% as “overweight”, 6.3% “underweight” and 6.0% were “obese”, using ISO-recommended cut-offs for children and adolescents under 19 years old.</w:t>
      </w:r>
      <w:r w:rsidDel="00000000" w:rsidR="00000000" w:rsidRPr="00000000">
        <w:rPr>
          <w:rFonts w:ascii="Times New Roman" w:cs="Times New Roman" w:eastAsia="Times New Roman" w:hAnsi="Times New Roman"/>
          <w:color w:val="000000"/>
          <w:sz w:val="24"/>
          <w:szCs w:val="24"/>
          <w:vertAlign w:val="superscript"/>
          <w:rtl w:val="0"/>
        </w:rPr>
        <w:t xml:space="preserve">6,7</w:t>
      </w:r>
      <w:r w:rsidDel="00000000" w:rsidR="00000000" w:rsidRPr="00000000">
        <w:rPr>
          <w:rFonts w:ascii="Times New Roman" w:cs="Times New Roman" w:eastAsia="Times New Roman" w:hAnsi="Times New Roman"/>
          <w:color w:val="000000"/>
          <w:sz w:val="24"/>
          <w:szCs w:val="24"/>
          <w:rtl w:val="0"/>
        </w:rPr>
        <w:t xml:space="preserve"> Participants with allergies exhibited higher HCC levels than those without allergies (</w:t>
      </w:r>
      <w:r w:rsidDel="00000000" w:rsidR="00000000" w:rsidRPr="00000000">
        <w:rPr>
          <w:rFonts w:ascii="Times New Roman" w:cs="Times New Roman" w:eastAsia="Times New Roman" w:hAnsi="Times New Roman"/>
          <w:i w:val="1"/>
          <w:color w:val="000000"/>
          <w:sz w:val="24"/>
          <w:szCs w:val="24"/>
          <w:rtl w:val="0"/>
        </w:rPr>
        <w:t xml:space="preserve">W </w:t>
      </w:r>
      <w:r w:rsidDel="00000000" w:rsidR="00000000" w:rsidRPr="00000000">
        <w:rPr>
          <w:rFonts w:ascii="Times New Roman" w:cs="Times New Roman" w:eastAsia="Times New Roman" w:hAnsi="Times New Roman"/>
          <w:color w:val="000000"/>
          <w:sz w:val="24"/>
          <w:szCs w:val="24"/>
          <w:rtl w:val="0"/>
        </w:rPr>
        <w:t xml:space="preserve">= 9379.5,</w:t>
      </w:r>
      <w:r w:rsidDel="00000000" w:rsidR="00000000" w:rsidRPr="00000000">
        <w:rPr>
          <w:rFonts w:ascii="Times New Roman" w:cs="Times New Roman" w:eastAsia="Times New Roman" w:hAnsi="Times New Roman"/>
          <w:i w:val="1"/>
          <w:color w:val="000000"/>
          <w:sz w:val="24"/>
          <w:szCs w:val="24"/>
          <w:rtl w:val="0"/>
        </w:rPr>
        <w:t xml:space="preserve"> p</w:t>
      </w:r>
      <w:r w:rsidDel="00000000" w:rsidR="00000000" w:rsidRPr="00000000">
        <w:rPr>
          <w:rFonts w:ascii="Times New Roman" w:cs="Times New Roman" w:eastAsia="Times New Roman" w:hAnsi="Times New Roman"/>
          <w:color w:val="000000"/>
          <w:sz w:val="24"/>
          <w:szCs w:val="24"/>
          <w:rtl w:val="0"/>
        </w:rPr>
        <w:t xml:space="preserve"> = 0.01) and the same was found for participants with asthma compared to those without (</w:t>
      </w:r>
      <w:r w:rsidDel="00000000" w:rsidR="00000000" w:rsidRPr="00000000">
        <w:rPr>
          <w:rFonts w:ascii="Times New Roman" w:cs="Times New Roman" w:eastAsia="Times New Roman" w:hAnsi="Times New Roman"/>
          <w:i w:val="1"/>
          <w:color w:val="000000"/>
          <w:sz w:val="24"/>
          <w:szCs w:val="24"/>
          <w:rtl w:val="0"/>
        </w:rPr>
        <w:t xml:space="preserve">W </w:t>
      </w:r>
      <w:r w:rsidDel="00000000" w:rsidR="00000000" w:rsidRPr="00000000">
        <w:rPr>
          <w:rFonts w:ascii="Times New Roman" w:cs="Times New Roman" w:eastAsia="Times New Roman" w:hAnsi="Times New Roman"/>
          <w:color w:val="000000"/>
          <w:sz w:val="24"/>
          <w:szCs w:val="24"/>
          <w:rtl w:val="0"/>
        </w:rPr>
        <w:t xml:space="preserve">= 6159,</w:t>
      </w:r>
      <w:r w:rsidDel="00000000" w:rsidR="00000000" w:rsidRPr="00000000">
        <w:rPr>
          <w:rFonts w:ascii="Times New Roman" w:cs="Times New Roman" w:eastAsia="Times New Roman" w:hAnsi="Times New Roman"/>
          <w:i w:val="1"/>
          <w:color w:val="000000"/>
          <w:sz w:val="24"/>
          <w:szCs w:val="24"/>
          <w:rtl w:val="0"/>
        </w:rPr>
        <w:t xml:space="preserve"> p</w:t>
      </w:r>
      <w:r w:rsidDel="00000000" w:rsidR="00000000" w:rsidRPr="00000000">
        <w:rPr>
          <w:rFonts w:ascii="Times New Roman" w:cs="Times New Roman" w:eastAsia="Times New Roman" w:hAnsi="Times New Roman"/>
          <w:color w:val="000000"/>
          <w:sz w:val="24"/>
          <w:szCs w:val="24"/>
          <w:rtl w:val="0"/>
        </w:rPr>
        <w:t xml:space="preserve"> = 0.01). No significant differences in HCC levels were found between different BMI classifications, steroid medication use, or other chronic conditions.</w:t>
      </w:r>
      <w:r w:rsidDel="00000000" w:rsidR="00000000" w:rsidRPr="00000000">
        <w:rPr>
          <w:rtl w:val="0"/>
        </w:rPr>
      </w:r>
    </w:p>
    <w:p w:rsidR="00000000" w:rsidDel="00000000" w:rsidP="00000000" w:rsidRDefault="00000000" w:rsidRPr="00000000" w14:paraId="00000010">
      <w:pPr>
        <w:rPr/>
      </w:pPr>
      <w:r w:rsidDel="00000000" w:rsidR="00000000" w:rsidRPr="00000000">
        <w:br w:type="page"/>
      </w:r>
      <w:r w:rsidDel="00000000" w:rsidR="00000000" w:rsidRPr="00000000">
        <w:rPr>
          <w:rtl w:val="0"/>
        </w:rPr>
      </w:r>
    </w:p>
    <w:p w:rsidR="00000000" w:rsidDel="00000000" w:rsidP="00000000" w:rsidRDefault="00000000" w:rsidRPr="00000000" w14:paraId="00000011">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Figure S2.</w:t>
      </w:r>
      <w:r w:rsidDel="00000000" w:rsidR="00000000" w:rsidRPr="00000000">
        <w:rPr>
          <w:rtl w:val="0"/>
        </w:rPr>
        <w:tab/>
      </w:r>
      <w:r w:rsidDel="00000000" w:rsidR="00000000" w:rsidRPr="00000000">
        <w:rPr>
          <w:rtl w:val="0"/>
        </w:rPr>
      </w:r>
    </w:p>
    <w:p w:rsidR="00000000" w:rsidDel="00000000" w:rsidP="00000000" w:rsidRDefault="00000000" w:rsidRPr="00000000" w14:paraId="00000012">
      <w:pPr>
        <w:spacing w:after="0" w:line="360" w:lineRule="auto"/>
        <w:ind w:right="4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Association between camouflaging and stress-related symptoms in the full sample and autistic and adult subsamples.</w:t>
      </w:r>
      <w:r w:rsidDel="00000000" w:rsidR="00000000" w:rsidRPr="00000000">
        <w:rPr>
          <w:rtl w:val="0"/>
        </w:rPr>
      </w:r>
    </w:p>
    <w:p w:rsidR="00000000" w:rsidDel="00000000" w:rsidP="00000000" w:rsidRDefault="00000000" w:rsidRPr="00000000" w14:paraId="00000013">
      <w:pPr>
        <w:spacing w:after="0" w:line="360" w:lineRule="auto"/>
        <w:ind w:right="40"/>
        <w:jc w:val="both"/>
        <w:rPr/>
      </w:pPr>
      <w:r w:rsidDel="00000000" w:rsidR="00000000" w:rsidRPr="00000000">
        <w:rPr/>
        <w:drawing>
          <wp:inline distB="0" distT="0" distL="0" distR="0">
            <wp:extent cx="3683842" cy="2533859"/>
            <wp:effectExtent b="0" l="0" r="0" t="0"/>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683842" cy="2533859"/>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after="0" w:line="360" w:lineRule="auto"/>
        <w:ind w:right="40"/>
        <w:jc w:val="both"/>
        <w:rPr/>
      </w:pPr>
      <w:r w:rsidDel="00000000" w:rsidR="00000000" w:rsidRPr="00000000">
        <w:rPr/>
        <w:drawing>
          <wp:inline distB="0" distT="0" distL="0" distR="0">
            <wp:extent cx="3718003" cy="2557356"/>
            <wp:effectExtent b="0" l="0" r="0" t="0"/>
            <wp:docPr id="6"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3718003" cy="2557356"/>
                    </a:xfrm>
                    <a:prstGeom prst="rect"/>
                    <a:ln/>
                  </pic:spPr>
                </pic:pic>
              </a:graphicData>
            </a:graphic>
          </wp:inline>
        </w:drawing>
      </w:r>
      <w:r w:rsidDel="00000000" w:rsidR="00000000" w:rsidRPr="00000000">
        <w:rPr/>
        <w:drawing>
          <wp:inline distB="0" distT="0" distL="0" distR="0">
            <wp:extent cx="3684588" cy="2534373"/>
            <wp:effectExtent b="0" l="0" r="0" t="0"/>
            <wp:docPr id="9"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684588" cy="2534373"/>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rPr/>
      </w:pPr>
      <w:r w:rsidDel="00000000" w:rsidR="00000000" w:rsidRPr="00000000">
        <w:br w:type="page"/>
      </w:r>
      <w:r w:rsidDel="00000000" w:rsidR="00000000" w:rsidRPr="00000000">
        <w:rPr>
          <w:rtl w:val="0"/>
        </w:rPr>
      </w:r>
    </w:p>
    <w:p w:rsidR="00000000" w:rsidDel="00000000" w:rsidP="00000000" w:rsidRDefault="00000000" w:rsidRPr="00000000" w14:paraId="00000016">
      <w:pPr>
        <w:spacing w:after="0" w:line="480" w:lineRule="auto"/>
        <w:ind w:right="4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Figure S3.</w:t>
      </w:r>
      <w:r w:rsidDel="00000000" w:rsidR="00000000" w:rsidRPr="00000000">
        <w:rPr>
          <w:rtl w:val="0"/>
        </w:rPr>
      </w:r>
    </w:p>
    <w:p w:rsidR="00000000" w:rsidDel="00000000" w:rsidP="00000000" w:rsidRDefault="00000000" w:rsidRPr="00000000" w14:paraId="00000017">
      <w:pPr>
        <w:spacing w:after="0" w:line="480" w:lineRule="auto"/>
        <w:ind w:right="4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Association between camouflaging and HCC in the full sample and autistic and adult subsamples.</w:t>
      </w:r>
      <w:r w:rsidDel="00000000" w:rsidR="00000000" w:rsidRPr="00000000">
        <w:rPr>
          <w:rtl w:val="0"/>
        </w:rPr>
      </w:r>
    </w:p>
    <w:p w:rsidR="00000000" w:rsidDel="00000000" w:rsidP="00000000" w:rsidRDefault="00000000" w:rsidRPr="00000000" w14:paraId="00000018">
      <w:pPr>
        <w:spacing w:after="0" w:line="360" w:lineRule="auto"/>
        <w:rPr/>
      </w:pPr>
      <w:r w:rsidDel="00000000" w:rsidR="00000000" w:rsidRPr="00000000">
        <w:rPr/>
        <w:drawing>
          <wp:inline distB="0" distT="0" distL="0" distR="0">
            <wp:extent cx="3377231" cy="2322963"/>
            <wp:effectExtent b="0" l="0" r="0" t="0"/>
            <wp:docPr id="8"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3377231" cy="2322963"/>
                    </a:xfrm>
                    <a:prstGeom prst="rect"/>
                    <a:ln/>
                  </pic:spPr>
                </pic:pic>
              </a:graphicData>
            </a:graphic>
          </wp:inline>
        </w:drawing>
      </w:r>
      <w:r w:rsidDel="00000000" w:rsidR="00000000" w:rsidRPr="00000000">
        <w:rPr/>
        <w:drawing>
          <wp:inline distB="0" distT="0" distL="0" distR="0">
            <wp:extent cx="3410179" cy="2345626"/>
            <wp:effectExtent b="0" l="0" r="0" t="0"/>
            <wp:docPr id="2"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3410179" cy="2345626"/>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spacing w:after="0" w:line="360" w:lineRule="auto"/>
        <w:rPr/>
      </w:pPr>
      <w:r w:rsidDel="00000000" w:rsidR="00000000" w:rsidRPr="00000000">
        <w:rPr/>
        <w:drawing>
          <wp:inline distB="0" distT="0" distL="0" distR="0">
            <wp:extent cx="3429640" cy="2359011"/>
            <wp:effectExtent b="0" l="0" r="0" t="0"/>
            <wp:docPr id="1"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3429640" cy="2359011"/>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spacing w:after="0" w:line="36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color w:val="000000"/>
          <w:sz w:val="20"/>
          <w:szCs w:val="20"/>
          <w:rtl w:val="0"/>
        </w:rPr>
        <w:t xml:space="preserve">Note. HCC = </w:t>
      </w:r>
      <w:r w:rsidDel="00000000" w:rsidR="00000000" w:rsidRPr="00000000">
        <w:rPr>
          <w:rFonts w:ascii="Times New Roman" w:cs="Times New Roman" w:eastAsia="Times New Roman" w:hAnsi="Times New Roman"/>
          <w:color w:val="000000"/>
          <w:sz w:val="20"/>
          <w:szCs w:val="20"/>
          <w:rtl w:val="0"/>
        </w:rPr>
        <w:t xml:space="preserve">Hair Cortisol Concentration</w:t>
      </w:r>
    </w:p>
    <w:p w:rsidR="00000000" w:rsidDel="00000000" w:rsidP="00000000" w:rsidRDefault="00000000" w:rsidRPr="00000000" w14:paraId="0000001B">
      <w:pPr>
        <w:spacing w:after="0" w:line="360" w:lineRule="auto"/>
        <w:rPr/>
      </w:pPr>
      <w:r w:rsidDel="00000000" w:rsidR="00000000" w:rsidRPr="00000000">
        <w:rPr>
          <w:rtl w:val="0"/>
        </w:rPr>
      </w:r>
    </w:p>
    <w:p w:rsidR="00000000" w:rsidDel="00000000" w:rsidP="00000000" w:rsidRDefault="00000000" w:rsidRPr="00000000" w14:paraId="0000001C">
      <w:pPr>
        <w:spacing w:after="0" w:line="360" w:lineRule="auto"/>
        <w:rPr>
          <w:rFonts w:ascii="Times New Roman" w:cs="Times New Roman" w:eastAsia="Times New Roman" w:hAnsi="Times New Roman"/>
          <w:color w:val="000000"/>
        </w:rPr>
      </w:pPr>
      <w:r w:rsidDel="00000000" w:rsidR="00000000" w:rsidRPr="00000000">
        <w:br w:type="page"/>
      </w:r>
      <w:r w:rsidDel="00000000" w:rsidR="00000000" w:rsidRPr="00000000">
        <w:rPr>
          <w:rFonts w:ascii="Times New Roman" w:cs="Times New Roman" w:eastAsia="Times New Roman" w:hAnsi="Times New Roman"/>
          <w:b w:val="1"/>
          <w:color w:val="000000"/>
          <w:rtl w:val="0"/>
        </w:rPr>
        <w:t xml:space="preserve">Table S1</w:t>
      </w:r>
      <w:r w:rsidDel="00000000" w:rsidR="00000000" w:rsidRPr="00000000">
        <w:rPr>
          <w:rtl w:val="0"/>
        </w:rPr>
      </w:r>
    </w:p>
    <w:p w:rsidR="00000000" w:rsidDel="00000000" w:rsidP="00000000" w:rsidRDefault="00000000" w:rsidRPr="00000000" w14:paraId="0000001D">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i w:val="1"/>
          <w:color w:val="000000"/>
          <w:sz w:val="24"/>
          <w:szCs w:val="24"/>
          <w:rtl w:val="0"/>
        </w:rPr>
        <w:t xml:space="preserve">Within-pair association between camouflaging and stress in MZ and DZ twins.</w:t>
      </w:r>
      <w:r w:rsidDel="00000000" w:rsidR="00000000" w:rsidRPr="00000000">
        <w:rPr>
          <w:rtl w:val="0"/>
        </w:rPr>
      </w:r>
    </w:p>
    <w:tbl>
      <w:tblPr>
        <w:tblStyle w:val="Table1"/>
        <w:tblW w:w="8489.0" w:type="dxa"/>
        <w:jc w:val="left"/>
        <w:tblBorders>
          <w:top w:color="000000" w:space="0" w:sz="6" w:val="single"/>
          <w:left w:color="000000" w:space="0" w:sz="6" w:val="single"/>
          <w:bottom w:color="000000" w:space="0" w:sz="6" w:val="single"/>
          <w:right w:color="000000" w:space="0" w:sz="6" w:val="single"/>
          <w:insideH w:color="000000" w:space="0" w:sz="4" w:val="single"/>
          <w:insideV w:color="000000" w:space="0" w:sz="4" w:val="single"/>
        </w:tblBorders>
        <w:tblLayout w:type="fixed"/>
        <w:tblLook w:val="0400"/>
      </w:tblPr>
      <w:tblGrid>
        <w:gridCol w:w="1726"/>
        <w:gridCol w:w="1740"/>
        <w:gridCol w:w="1740"/>
        <w:gridCol w:w="1645"/>
        <w:gridCol w:w="1638"/>
        <w:tblGridChange w:id="0">
          <w:tblGrid>
            <w:gridCol w:w="1726"/>
            <w:gridCol w:w="1740"/>
            <w:gridCol w:w="1740"/>
            <w:gridCol w:w="1645"/>
            <w:gridCol w:w="1638"/>
          </w:tblGrid>
        </w:tblGridChange>
      </w:tblGrid>
      <w:tr>
        <w:trPr>
          <w:cantSplit w:val="0"/>
          <w:trHeight w:val="300" w:hRule="atLeast"/>
          <w:tblHeader w:val="0"/>
        </w:trPr>
        <w:tc>
          <w:tcPr>
            <w:tcBorders>
              <w:top w:color="000000" w:space="0" w:sz="6" w:val="single"/>
              <w:left w:color="000000" w:space="0" w:sz="0" w:val="nil"/>
              <w:bottom w:color="000000" w:space="0" w:sz="6" w:val="single"/>
              <w:right w:color="000000" w:space="0" w:sz="0" w:val="nil"/>
            </w:tcBorders>
            <w:tcMar>
              <w:left w:w="90.0" w:type="dxa"/>
              <w:right w:w="90.0" w:type="dxa"/>
            </w:tcMar>
          </w:tcPr>
          <w:p w:rsidR="00000000" w:rsidDel="00000000" w:rsidP="00000000" w:rsidRDefault="00000000" w:rsidRPr="00000000" w14:paraId="0000001E">
            <w:pPr>
              <w:spacing w:line="360" w:lineRule="auto"/>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6" w:val="single"/>
              <w:left w:color="000000" w:space="0" w:sz="0" w:val="nil"/>
              <w:bottom w:color="000000" w:space="0" w:sz="6" w:val="single"/>
              <w:right w:color="000000" w:space="0" w:sz="0" w:val="nil"/>
            </w:tcBorders>
            <w:tcMar>
              <w:left w:w="90.0" w:type="dxa"/>
              <w:right w:w="90.0" w:type="dxa"/>
            </w:tcMar>
          </w:tcPr>
          <w:p w:rsidR="00000000" w:rsidDel="00000000" w:rsidP="00000000" w:rsidRDefault="00000000" w:rsidRPr="00000000" w14:paraId="0000001F">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MZ</w:t>
            </w:r>
          </w:p>
        </w:tc>
        <w:tc>
          <w:tcPr>
            <w:gridSpan w:val="2"/>
            <w:tcBorders>
              <w:top w:color="000000" w:space="0" w:sz="6" w:val="single"/>
              <w:left w:color="000000" w:space="0" w:sz="0" w:val="nil"/>
              <w:bottom w:color="000000" w:space="0" w:sz="6" w:val="single"/>
              <w:right w:color="000000" w:space="0" w:sz="0" w:val="nil"/>
            </w:tcBorders>
            <w:tcMar>
              <w:left w:w="90.0" w:type="dxa"/>
              <w:right w:w="90.0" w:type="dxa"/>
            </w:tcMar>
          </w:tcPr>
          <w:p w:rsidR="00000000" w:rsidDel="00000000" w:rsidP="00000000" w:rsidRDefault="00000000" w:rsidRPr="00000000" w14:paraId="00000021">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DZ</w:t>
            </w:r>
          </w:p>
        </w:tc>
      </w:tr>
      <w:tr>
        <w:trPr>
          <w:cantSplit w:val="0"/>
          <w:trHeight w:val="300" w:hRule="atLeast"/>
          <w:tblHeader w:val="0"/>
        </w:trPr>
        <w:tc>
          <w:tcPr>
            <w:tcBorders>
              <w:top w:color="000000" w:space="0" w:sz="6" w:val="single"/>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23">
            <w:pPr>
              <w:spacing w:line="36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6" w:val="single"/>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24">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Crude Model</w:t>
            </w:r>
          </w:p>
        </w:tc>
        <w:tc>
          <w:tcPr>
            <w:tcBorders>
              <w:top w:color="000000" w:space="0" w:sz="6" w:val="single"/>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25">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Adjusted Model</w:t>
            </w:r>
          </w:p>
        </w:tc>
        <w:tc>
          <w:tcPr>
            <w:tcBorders>
              <w:top w:color="000000" w:space="0" w:sz="6" w:val="single"/>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26">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Crude Model</w:t>
            </w:r>
          </w:p>
        </w:tc>
        <w:tc>
          <w:tcPr>
            <w:tcBorders>
              <w:top w:color="000000" w:space="0" w:sz="6" w:val="single"/>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27">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Adjusted Model</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28">
            <w:pPr>
              <w:spacing w:line="36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29">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b/SE/p</w:t>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2A">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b/SE/p</w:t>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2B">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b/SE/p</w:t>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2C">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b/SE/p</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2D">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Stress-related symptoms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2E">
            <w:pPr>
              <w:spacing w:line="36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2F">
            <w:pPr>
              <w:spacing w:line="36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30">
            <w:pPr>
              <w:spacing w:line="36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31">
            <w:pPr>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32">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Camouflaging</w:t>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33">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-0.88/1.42/0.54</w:t>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34">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-0.90/1.42/0.53</w:t>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35">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0.76/1.69/0.66</w:t>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36">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0.70/1.71/0.68</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37">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rtl w:val="0"/>
              </w:rPr>
              <w:t xml:space="preserve">HCC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38">
            <w:pPr>
              <w:spacing w:line="36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39">
            <w:pPr>
              <w:spacing w:line="36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3A">
            <w:pPr>
              <w:spacing w:line="36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left w:w="90.0" w:type="dxa"/>
              <w:right w:w="90.0" w:type="dxa"/>
            </w:tcMar>
          </w:tcPr>
          <w:p w:rsidR="00000000" w:rsidDel="00000000" w:rsidP="00000000" w:rsidRDefault="00000000" w:rsidRPr="00000000" w14:paraId="0000003B">
            <w:pPr>
              <w:spacing w:line="36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tcBorders>
              <w:top w:color="000000" w:space="0" w:sz="0" w:val="nil"/>
              <w:left w:color="000000" w:space="0" w:sz="0" w:val="nil"/>
              <w:bottom w:color="000000" w:space="0" w:sz="6" w:val="single"/>
              <w:right w:color="000000" w:space="0" w:sz="0" w:val="nil"/>
            </w:tcBorders>
            <w:tcMar>
              <w:left w:w="90.0" w:type="dxa"/>
              <w:right w:w="90.0" w:type="dxa"/>
            </w:tcMar>
          </w:tcPr>
          <w:p w:rsidR="00000000" w:rsidDel="00000000" w:rsidP="00000000" w:rsidRDefault="00000000" w:rsidRPr="00000000" w14:paraId="0000003C">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Camouflaging</w:t>
            </w:r>
          </w:p>
        </w:tc>
        <w:tc>
          <w:tcPr>
            <w:tcBorders>
              <w:top w:color="000000" w:space="0" w:sz="0" w:val="nil"/>
              <w:left w:color="000000" w:space="0" w:sz="0" w:val="nil"/>
              <w:bottom w:color="000000" w:space="0" w:sz="6" w:val="single"/>
              <w:right w:color="000000" w:space="0" w:sz="0" w:val="nil"/>
            </w:tcBorders>
            <w:tcMar>
              <w:left w:w="90.0" w:type="dxa"/>
              <w:right w:w="90.0" w:type="dxa"/>
            </w:tcMar>
          </w:tcPr>
          <w:p w:rsidR="00000000" w:rsidDel="00000000" w:rsidP="00000000" w:rsidRDefault="00000000" w:rsidRPr="00000000" w14:paraId="0000003D">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-0.33/0.28/0.24</w:t>
            </w:r>
          </w:p>
        </w:tc>
        <w:tc>
          <w:tcPr>
            <w:tcBorders>
              <w:top w:color="000000" w:space="0" w:sz="0" w:val="nil"/>
              <w:left w:color="000000" w:space="0" w:sz="0" w:val="nil"/>
              <w:bottom w:color="000000" w:space="0" w:sz="6" w:val="single"/>
              <w:right w:color="000000" w:space="0" w:sz="0" w:val="nil"/>
            </w:tcBorders>
            <w:tcMar>
              <w:left w:w="90.0" w:type="dxa"/>
              <w:right w:w="90.0" w:type="dxa"/>
            </w:tcMar>
          </w:tcPr>
          <w:p w:rsidR="00000000" w:rsidDel="00000000" w:rsidP="00000000" w:rsidRDefault="00000000" w:rsidRPr="00000000" w14:paraId="0000003E">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-0.36/0.29/0.23</w:t>
            </w:r>
          </w:p>
        </w:tc>
        <w:tc>
          <w:tcPr>
            <w:tcBorders>
              <w:top w:color="000000" w:space="0" w:sz="0" w:val="nil"/>
              <w:left w:color="000000" w:space="0" w:sz="0" w:val="nil"/>
              <w:bottom w:color="000000" w:space="0" w:sz="6" w:val="single"/>
              <w:right w:color="000000" w:space="0" w:sz="0" w:val="nil"/>
            </w:tcBorders>
            <w:tcMar>
              <w:left w:w="90.0" w:type="dxa"/>
              <w:right w:w="90.0" w:type="dxa"/>
            </w:tcMar>
          </w:tcPr>
          <w:p w:rsidR="00000000" w:rsidDel="00000000" w:rsidP="00000000" w:rsidRDefault="00000000" w:rsidRPr="00000000" w14:paraId="0000003F">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-0.14/0.33/0.66</w:t>
            </w:r>
          </w:p>
        </w:tc>
        <w:tc>
          <w:tcPr>
            <w:tcBorders>
              <w:top w:color="000000" w:space="0" w:sz="0" w:val="nil"/>
              <w:left w:color="000000" w:space="0" w:sz="0" w:val="nil"/>
              <w:bottom w:color="000000" w:space="0" w:sz="6" w:val="single"/>
              <w:right w:color="000000" w:space="0" w:sz="0" w:val="nil"/>
            </w:tcBorders>
            <w:tcMar>
              <w:left w:w="90.0" w:type="dxa"/>
              <w:right w:w="90.0" w:type="dxa"/>
            </w:tcMar>
          </w:tcPr>
          <w:p w:rsidR="00000000" w:rsidDel="00000000" w:rsidP="00000000" w:rsidRDefault="00000000" w:rsidRPr="00000000" w14:paraId="00000040">
            <w:pPr>
              <w:spacing w:line="3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-0.16/0.33/0.63</w:t>
            </w:r>
          </w:p>
        </w:tc>
      </w:tr>
    </w:tbl>
    <w:p w:rsidR="00000000" w:rsidDel="00000000" w:rsidP="00000000" w:rsidRDefault="00000000" w:rsidRPr="00000000" w14:paraId="00000041">
      <w:pPr>
        <w:tabs>
          <w:tab w:val="left" w:leader="none" w:pos="4564"/>
        </w:tabs>
        <w:spacing w:after="0" w:line="360" w:lineRule="auto"/>
        <w:ind w:right="40"/>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color w:val="000000"/>
          <w:sz w:val="20"/>
          <w:szCs w:val="20"/>
          <w:rtl w:val="0"/>
        </w:rPr>
        <w:t xml:space="preserve">Note. </w:t>
      </w:r>
      <w:r w:rsidDel="00000000" w:rsidR="00000000" w:rsidRPr="00000000">
        <w:rPr>
          <w:rFonts w:ascii="Times New Roman" w:cs="Times New Roman" w:eastAsia="Times New Roman" w:hAnsi="Times New Roman"/>
          <w:color w:val="000000"/>
          <w:sz w:val="20"/>
          <w:szCs w:val="20"/>
          <w:rtl w:val="0"/>
        </w:rPr>
        <w:t xml:space="preserve">MZ = monozygotic twin pairs</w:t>
      </w:r>
      <w:r w:rsidDel="00000000" w:rsidR="00000000" w:rsidRPr="00000000">
        <w:rPr>
          <w:rFonts w:ascii="Times New Roman" w:cs="Times New Roman" w:eastAsia="Times New Roman" w:hAnsi="Times New Roman"/>
          <w:i w:val="1"/>
          <w:color w:val="000000"/>
          <w:sz w:val="20"/>
          <w:szCs w:val="20"/>
          <w:rtl w:val="0"/>
        </w:rPr>
        <w:t xml:space="preserve">,</w:t>
      </w:r>
      <w:r w:rsidDel="00000000" w:rsidR="00000000" w:rsidRPr="00000000">
        <w:rPr>
          <w:rFonts w:ascii="Times New Roman" w:cs="Times New Roman" w:eastAsia="Times New Roman" w:hAnsi="Times New Roman"/>
          <w:color w:val="000000"/>
          <w:sz w:val="20"/>
          <w:szCs w:val="20"/>
          <w:rtl w:val="0"/>
        </w:rPr>
        <w:t xml:space="preserve"> DZ = dizygotic twin pairs</w:t>
      </w:r>
      <w:r w:rsidDel="00000000" w:rsidR="00000000" w:rsidRPr="00000000">
        <w:rPr>
          <w:rFonts w:ascii="Times New Roman" w:cs="Times New Roman" w:eastAsia="Times New Roman" w:hAnsi="Times New Roman"/>
          <w:i w:val="1"/>
          <w:color w:val="000000"/>
          <w:sz w:val="20"/>
          <w:szCs w:val="20"/>
          <w:rtl w:val="0"/>
        </w:rPr>
        <w:t xml:space="preserve">, b = </w:t>
      </w:r>
      <w:r w:rsidDel="00000000" w:rsidR="00000000" w:rsidRPr="00000000">
        <w:rPr>
          <w:rFonts w:ascii="Times New Roman" w:cs="Times New Roman" w:eastAsia="Times New Roman" w:hAnsi="Times New Roman"/>
          <w:color w:val="000000"/>
          <w:sz w:val="20"/>
          <w:szCs w:val="20"/>
          <w:rtl w:val="0"/>
        </w:rPr>
        <w:t xml:space="preserve">regression coefficient,</w:t>
      </w:r>
      <w:r w:rsidDel="00000000" w:rsidR="00000000" w:rsidRPr="00000000">
        <w:rPr>
          <w:rFonts w:ascii="Times New Roman" w:cs="Times New Roman" w:eastAsia="Times New Roman" w:hAnsi="Times New Roman"/>
          <w:i w:val="1"/>
          <w:color w:val="000000"/>
          <w:sz w:val="20"/>
          <w:szCs w:val="20"/>
          <w:rtl w:val="0"/>
        </w:rPr>
        <w:t xml:space="preserve"> SE </w:t>
      </w:r>
      <w:r w:rsidDel="00000000" w:rsidR="00000000" w:rsidRPr="00000000">
        <w:rPr>
          <w:rFonts w:ascii="Times New Roman" w:cs="Times New Roman" w:eastAsia="Times New Roman" w:hAnsi="Times New Roman"/>
          <w:color w:val="000000"/>
          <w:sz w:val="20"/>
          <w:szCs w:val="20"/>
          <w:rtl w:val="0"/>
        </w:rPr>
        <w:t xml:space="preserve">= standard error,</w:t>
      </w:r>
      <w:r w:rsidDel="00000000" w:rsidR="00000000" w:rsidRPr="00000000">
        <w:rPr>
          <w:rFonts w:ascii="Times New Roman" w:cs="Times New Roman" w:eastAsia="Times New Roman" w:hAnsi="Times New Roman"/>
          <w:i w:val="1"/>
          <w:color w:val="000000"/>
          <w:sz w:val="20"/>
          <w:szCs w:val="20"/>
          <w:rtl w:val="0"/>
        </w:rPr>
        <w:t xml:space="preserve">  p= </w:t>
      </w:r>
      <w:r w:rsidDel="00000000" w:rsidR="00000000" w:rsidRPr="00000000">
        <w:rPr>
          <w:rFonts w:ascii="Times New Roman" w:cs="Times New Roman" w:eastAsia="Times New Roman" w:hAnsi="Times New Roman"/>
          <w:color w:val="000000"/>
          <w:sz w:val="20"/>
          <w:szCs w:val="20"/>
          <w:rtl w:val="0"/>
        </w:rPr>
        <w:t xml:space="preserve">p-value. Significant associations are indicated in bold.</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Figure S4</w:t>
      </w:r>
      <w:r w:rsidDel="00000000" w:rsidR="00000000" w:rsidRPr="00000000">
        <w:rPr>
          <w:rtl w:val="0"/>
        </w:rPr>
      </w:r>
    </w:p>
    <w:p w:rsidR="00000000" w:rsidDel="00000000" w:rsidP="00000000" w:rsidRDefault="00000000" w:rsidRPr="00000000" w14:paraId="00000044">
      <w:pPr>
        <w:spacing w:after="0" w:line="480" w:lineRule="auto"/>
        <w:rPr>
          <w:rFonts w:ascii="Aptos" w:cs="Aptos" w:eastAsia="Aptos" w:hAnsi="Aptos"/>
          <w:color w:val="000000"/>
          <w:sz w:val="24"/>
          <w:szCs w:val="24"/>
        </w:rPr>
      </w:pPr>
      <w:r w:rsidDel="00000000" w:rsidR="00000000" w:rsidRPr="00000000">
        <w:rPr>
          <w:rFonts w:ascii="Times New Roman" w:cs="Times New Roman" w:eastAsia="Times New Roman" w:hAnsi="Times New Roman"/>
          <w:color w:val="000000"/>
          <w:rtl w:val="0"/>
        </w:rPr>
        <w:t xml:space="preserve">Within-pair associations between camouflaging and stress-related symptoms</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and</w:t>
      </w:r>
      <w:r w:rsidDel="00000000" w:rsidR="00000000" w:rsidRPr="00000000">
        <w:rPr>
          <w:rFonts w:ascii="Times New Roman" w:cs="Times New Roman" w:eastAsia="Times New Roman" w:hAnsi="Times New Roman"/>
          <w:b w:val="1"/>
          <w:color w:val="000000"/>
          <w:rtl w:val="0"/>
        </w:rPr>
        <w:t xml:space="preserve"> </w:t>
      </w:r>
      <w:r w:rsidDel="00000000" w:rsidR="00000000" w:rsidRPr="00000000">
        <w:rPr>
          <w:rFonts w:ascii="Times New Roman" w:cs="Times New Roman" w:eastAsia="Times New Roman" w:hAnsi="Times New Roman"/>
          <w:color w:val="000000"/>
          <w:rtl w:val="0"/>
        </w:rPr>
        <w:t xml:space="preserve">HCC in MZ- and DZ-pairs. The twins in each pair are shown connected with a line.</w:t>
      </w:r>
      <w:r w:rsidDel="00000000" w:rsidR="00000000" w:rsidRPr="00000000">
        <w:rPr>
          <w:rFonts w:ascii="Aptos" w:cs="Aptos" w:eastAsia="Aptos" w:hAnsi="Aptos"/>
          <w:color w:val="000000"/>
          <w:sz w:val="24"/>
          <w:szCs w:val="24"/>
          <w:rtl w:val="0"/>
        </w:rPr>
        <w:t xml:space="preserve"> </w:t>
      </w:r>
    </w:p>
    <w:p w:rsidR="00000000" w:rsidDel="00000000" w:rsidP="00000000" w:rsidRDefault="00000000" w:rsidRPr="00000000" w14:paraId="00000045">
      <w:pPr>
        <w:spacing w:after="0" w:line="360" w:lineRule="auto"/>
        <w:rPr/>
      </w:pPr>
      <w:r w:rsidDel="00000000" w:rsidR="00000000" w:rsidRPr="00000000">
        <w:rPr/>
        <w:drawing>
          <wp:inline distB="0" distT="0" distL="114300" distR="114300">
            <wp:extent cx="3510569" cy="2228933"/>
            <wp:effectExtent b="0" l="0" r="0" t="0"/>
            <wp:docPr id="4"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3510569" cy="2228933"/>
                    </a:xfrm>
                    <a:prstGeom prst="rect"/>
                    <a:ln/>
                  </pic:spPr>
                </pic:pic>
              </a:graphicData>
            </a:graphic>
          </wp:inline>
        </w:drawing>
      </w:r>
      <w:r w:rsidDel="00000000" w:rsidR="00000000" w:rsidRPr="00000000">
        <w:rPr/>
        <w:drawing>
          <wp:inline distB="0" distT="0" distL="114300" distR="114300">
            <wp:extent cx="3512719" cy="2230298"/>
            <wp:effectExtent b="0" l="0" r="0" t="0"/>
            <wp:docPr id="3"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3512719" cy="2230298"/>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after="0" w:line="36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i w:val="1"/>
          <w:color w:val="000000"/>
          <w:sz w:val="20"/>
          <w:szCs w:val="20"/>
          <w:rtl w:val="0"/>
        </w:rPr>
        <w:t xml:space="preserve">Note. HCC = </w:t>
      </w:r>
      <w:r w:rsidDel="00000000" w:rsidR="00000000" w:rsidRPr="00000000">
        <w:rPr>
          <w:rFonts w:ascii="Times New Roman" w:cs="Times New Roman" w:eastAsia="Times New Roman" w:hAnsi="Times New Roman"/>
          <w:color w:val="000000"/>
          <w:sz w:val="20"/>
          <w:szCs w:val="20"/>
          <w:rtl w:val="0"/>
        </w:rPr>
        <w:t xml:space="preserve">Hair Cortisol Concentration</w:t>
      </w:r>
    </w:p>
    <w:p w:rsidR="00000000" w:rsidDel="00000000" w:rsidP="00000000" w:rsidRDefault="00000000" w:rsidRPr="00000000" w14:paraId="00000047">
      <w:pPr>
        <w:spacing w:after="0" w:line="360" w:lineRule="auto"/>
        <w:ind w:right="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259" w:lineRule="auto"/>
        <w:ind w:left="36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Yang HZ, Lan J, Meng YJ, Wan XJ, Han DW. A preliminary study of steroid reproductive hormones in human hair. J Steroid Biochem Mol Biol. 1998;67(5–6):447–50. doi:10.1016/s0960-0760(98)00120-4.</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Brænden A, Lebena A, Faresjö Å, Theodorsson E, Coldevin M, Stubberud J, et al. Excessive hair cortisol concentration as an indicator of psychological disorders in children. Psychoneuroendocrinology. 2023;157:106363. doi:10.1016/j.psyneuen.2023.106363.</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Morelius E, Nelson N, Theodorsson E. Salivary cortisol and administration of concentrated oral glucose in newborn infants: improved detection limit and smaller sample volumes without glucose interference. Scand J Clin Lab Invest. 2004;64(2):113–8. doi:10.1080/00365510410004452.</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Karlén J, Ludvigsson J, Frostell A, Theodorsson E, Faresjö T. Cortisol in hair measured in young adults - a biomarker of major life stressors? BMC Clin Pathol. 2011;11:12. doi:10.1186/1472-6890-11-12.</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Marteinsdottir I, Sydsjö G, Faresjö Å, Theodorsson E, Josefsson A. Parity-related variation in cortisol concentrations in hair during pregnancy. BJOG. 2021;128(4):637–44. doi:10.1111/1471-0528.16542.</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Cole TJ, Bellizzi MC, Flegal KM, Dietz WH. Establishing a standard definition for child overweight and obesity worldwide: international survey. BMJ. 2000;320(7244):1240–3. doi:10.1136/bmj.320.7244.1240.</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59" w:lineRule="auto"/>
        <w:ind w:left="36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Cole TJ, Flegal KM, Nicholls D, Jackson AA. Body mass index cut offs to define thinness in children and adolescents: international survey. BMJ. 2007;335(7612):194. doi:10.1136/bmj.39238.399444.55.</w:t>
      </w:r>
      <w:r w:rsidDel="00000000" w:rsidR="00000000" w:rsidRPr="00000000">
        <w:rPr>
          <w:rtl w:val="0"/>
        </w:rPr>
      </w:r>
    </w:p>
    <w:p w:rsidR="00000000" w:rsidDel="00000000" w:rsidP="00000000" w:rsidRDefault="00000000" w:rsidRPr="00000000" w14:paraId="0000004F">
      <w:pPr>
        <w:spacing w:after="0" w:line="360" w:lineRule="auto"/>
        <w:ind w:right="4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after="0" w:line="276" w:lineRule="auto"/>
        <w:ind w:left="720" w:hanging="720"/>
        <w:jc w:val="both"/>
        <w:rPr>
          <w:rFonts w:ascii="Times New Roman" w:cs="Times New Roman" w:eastAsia="Times New Roman" w:hAnsi="Times New Roman"/>
          <w:color w:val="0563c1"/>
          <w:sz w:val="24"/>
          <w:szCs w:val="24"/>
          <w:u w:val="single"/>
        </w:rPr>
      </w:pPr>
      <w:r w:rsidDel="00000000" w:rsidR="00000000" w:rsidRPr="00000000">
        <w:rPr>
          <w:rtl w:val="0"/>
        </w:rPr>
      </w:r>
    </w:p>
    <w:p w:rsidR="00000000" w:rsidDel="00000000" w:rsidP="00000000" w:rsidRDefault="00000000" w:rsidRPr="00000000" w14:paraId="00000051">
      <w:pPr>
        <w:spacing w:after="0" w:line="276" w:lineRule="auto"/>
        <w:ind w:left="720" w:hanging="720"/>
        <w:jc w:val="both"/>
        <w:rPr>
          <w:rFonts w:ascii="Times New Roman" w:cs="Times New Roman" w:eastAsia="Times New Roman" w:hAnsi="Times New Roman"/>
          <w:color w:val="0563c1"/>
          <w:sz w:val="24"/>
          <w:szCs w:val="24"/>
          <w:u w:val="single"/>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tl w:val="0"/>
        </w:rPr>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9.png"/><Relationship Id="rId13" Type="http://schemas.openxmlformats.org/officeDocument/2006/relationships/image" Target="media/image5.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4" Type="http://schemas.openxmlformats.org/officeDocument/2006/relationships/image" Target="media/image7.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