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85017" w14:textId="4FEC1F22" w:rsidR="001818E5" w:rsidRPr="00124E3E" w:rsidRDefault="00124E3E" w:rsidP="001818E5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en-US"/>
        </w:rPr>
      </w:pPr>
      <w:r w:rsidRPr="00124E3E">
        <w:rPr>
          <w:rFonts w:ascii="Arial" w:hAnsi="Arial" w:cs="Arial"/>
          <w:b/>
          <w:bCs/>
          <w:sz w:val="28"/>
          <w:szCs w:val="28"/>
          <w:u w:val="single"/>
          <w:lang w:val="en-US"/>
        </w:rPr>
        <w:t>ELECTRONIC SUPPLEMENTARY MATERIAL</w:t>
      </w:r>
    </w:p>
    <w:p w14:paraId="08457932" w14:textId="77777777" w:rsidR="001818E5" w:rsidRPr="00124E3E" w:rsidRDefault="001818E5" w:rsidP="001818E5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A27D9B0" w14:textId="77777777" w:rsidR="00124E3E" w:rsidRDefault="001818E5" w:rsidP="00124E3E">
      <w:pPr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  <w:r w:rsidRPr="00124E3E">
        <w:rPr>
          <w:rFonts w:ascii="Arial" w:hAnsi="Arial" w:cs="Arial"/>
          <w:b/>
          <w:bCs/>
          <w:sz w:val="22"/>
          <w:szCs w:val="22"/>
          <w:lang w:val="en-US"/>
        </w:rPr>
        <w:t>Changes of radiological examination volumes over the course of the COVID-19 pandemic. Analyzing the waves.</w:t>
      </w:r>
    </w:p>
    <w:p w14:paraId="343C928A" w14:textId="77777777" w:rsidR="00124E3E" w:rsidRDefault="00124E3E" w:rsidP="00124E3E">
      <w:pPr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</w:p>
    <w:p w14:paraId="164D76F7" w14:textId="77777777" w:rsidR="00124E3E" w:rsidRDefault="00124E3E" w:rsidP="00124E3E">
      <w:pPr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</w:p>
    <w:p w14:paraId="011AEDD3" w14:textId="12CE7AE6" w:rsidR="001818E5" w:rsidRPr="00124E3E" w:rsidRDefault="001818E5" w:rsidP="00124E3E">
      <w:pPr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  <w:r w:rsidRPr="00124E3E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Figure S1: </w:t>
      </w:r>
      <w:r w:rsidRPr="00124E3E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LOESS</w:t>
      </w:r>
      <w:r w:rsidRPr="00124E3E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 estimate for the development of median age over the study period, along with 95% CI.</w:t>
      </w:r>
      <w:r w:rsidRPr="00124E3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Median age was higher in the first two waves of the pandemic when compared to previous years.</w:t>
      </w:r>
    </w:p>
    <w:p w14:paraId="0122570D" w14:textId="77777777" w:rsidR="001818E5" w:rsidRPr="00124E3E" w:rsidRDefault="001818E5" w:rsidP="001818E5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124E3E">
        <w:rPr>
          <w:rFonts w:ascii="Arial" w:hAnsi="Arial" w:cs="Arial"/>
          <w:iCs/>
          <w:sz w:val="22"/>
          <w:szCs w:val="22"/>
          <w:lang w:val="en-US"/>
        </w:rPr>
        <w:t xml:space="preserve">Wave 1: 16-03-2020 – 19-04-2020; Wave 2: 11-12-2020 – 29-01-2021; Wave 3: 21-04-2021 – 31-05-2021; </w:t>
      </w:r>
      <w:r w:rsidRPr="00124E3E">
        <w:rPr>
          <w:rFonts w:ascii="Arial" w:hAnsi="Arial" w:cs="Arial"/>
          <w:bCs/>
          <w:sz w:val="22"/>
          <w:szCs w:val="22"/>
          <w:lang w:val="en-US"/>
        </w:rPr>
        <w:t xml:space="preserve">CI: confidence interval; </w:t>
      </w:r>
      <w:r w:rsidRPr="00124E3E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LOESS: locally weighted scatterplot smoothing.</w:t>
      </w:r>
      <w:r w:rsidRPr="00124E3E">
        <w:rPr>
          <w:rFonts w:ascii="Arial" w:hAnsi="Arial" w:cs="Arial"/>
          <w:noProof/>
          <w:sz w:val="22"/>
          <w:szCs w:val="22"/>
          <w:lang w:eastAsia="de-DE"/>
        </w:rPr>
        <w:drawing>
          <wp:inline distT="0" distB="0" distL="0" distR="0" wp14:anchorId="6A1EEE98" wp14:editId="3FB42CA3">
            <wp:extent cx="5727700" cy="4582160"/>
            <wp:effectExtent l="0" t="0" r="6350" b="8890"/>
            <wp:docPr id="1" name="Grafik 1" descr="C:\Users\aignera\AppData\Local\Microsoft\Windows\INetCache\Content.MSO\230A212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gnera\AppData\Local\Microsoft\Windows\INetCache\Content.MSO\230A2127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24553" w14:textId="77777777" w:rsidR="001818E5" w:rsidRPr="00124E3E" w:rsidRDefault="001818E5" w:rsidP="001818E5">
      <w:pPr>
        <w:rPr>
          <w:rFonts w:ascii="Arial" w:hAnsi="Arial" w:cs="Arial"/>
          <w:sz w:val="22"/>
          <w:szCs w:val="22"/>
          <w:lang w:val="en-US"/>
        </w:rPr>
      </w:pPr>
    </w:p>
    <w:p w14:paraId="43DA3796" w14:textId="77777777" w:rsidR="001818E5" w:rsidRPr="00124E3E" w:rsidRDefault="001818E5" w:rsidP="001818E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25934A0D" w14:textId="77777777" w:rsidR="001818E5" w:rsidRPr="00124E3E" w:rsidRDefault="001818E5" w:rsidP="001818E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 w:rsidRPr="00124E3E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br w:type="page"/>
      </w:r>
      <w:r w:rsidRPr="00124E3E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lastRenderedPageBreak/>
        <w:t xml:space="preserve">Figure S2: </w:t>
      </w:r>
      <w:r w:rsidRPr="00124E3E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LOESS</w:t>
      </w:r>
      <w:r w:rsidRPr="00124E3E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 estimate for the development of the ratio men/women over the study period, along with 95% CI. </w:t>
      </w:r>
      <w:r w:rsidRPr="00124E3E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It shows a higher ratio during all waves as compared to the inter-year control period.</w:t>
      </w:r>
    </w:p>
    <w:p w14:paraId="1E8C9AB5" w14:textId="77777777" w:rsidR="001818E5" w:rsidRPr="00124E3E" w:rsidRDefault="001818E5" w:rsidP="001818E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  <w:r w:rsidRPr="00124E3E">
        <w:rPr>
          <w:rFonts w:ascii="Arial" w:hAnsi="Arial" w:cs="Arial"/>
          <w:iCs/>
          <w:sz w:val="22"/>
          <w:szCs w:val="22"/>
          <w:lang w:val="en-US"/>
        </w:rPr>
        <w:t xml:space="preserve">Wave 1: 16-03-2020 – 19-04-2020; Wave 2: 11-12-2020 – 29-01-2021; Wave 3: 21-04-2021 – 31-05-2021; </w:t>
      </w:r>
      <w:r w:rsidRPr="00124E3E">
        <w:rPr>
          <w:rFonts w:ascii="Arial" w:hAnsi="Arial" w:cs="Arial"/>
          <w:bCs/>
          <w:sz w:val="22"/>
          <w:szCs w:val="22"/>
          <w:lang w:val="en-US"/>
        </w:rPr>
        <w:t xml:space="preserve">CI: confidence interval; </w:t>
      </w:r>
      <w:r w:rsidRPr="00124E3E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LOESS: locally weighted scatterplot smoothing.</w:t>
      </w:r>
      <w:r w:rsidRPr="00124E3E">
        <w:rPr>
          <w:rFonts w:ascii="Arial" w:hAnsi="Arial" w:cs="Arial"/>
          <w:bCs/>
          <w:noProof/>
          <w:sz w:val="22"/>
          <w:szCs w:val="22"/>
          <w:lang w:eastAsia="de-DE"/>
        </w:rPr>
        <w:drawing>
          <wp:inline distT="0" distB="0" distL="0" distR="0" wp14:anchorId="7E2146DF" wp14:editId="5DA8DB29">
            <wp:extent cx="5727700" cy="4582160"/>
            <wp:effectExtent l="0" t="0" r="0" b="2540"/>
            <wp:docPr id="3" name="Picture 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7DE42" w14:textId="77777777" w:rsidR="001818E5" w:rsidRPr="00124E3E" w:rsidRDefault="001818E5" w:rsidP="001818E5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124E3E">
        <w:rPr>
          <w:rFonts w:ascii="Arial" w:hAnsi="Arial" w:cs="Arial"/>
          <w:color w:val="000000" w:themeColor="text1"/>
          <w:sz w:val="22"/>
          <w:szCs w:val="22"/>
          <w:lang w:val="en-US"/>
        </w:rPr>
        <w:br w:type="page"/>
      </w:r>
    </w:p>
    <w:p w14:paraId="15B64EEA" w14:textId="77777777" w:rsidR="001818E5" w:rsidRPr="00124E3E" w:rsidRDefault="001818E5" w:rsidP="001818E5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124E3E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lastRenderedPageBreak/>
        <w:t xml:space="preserve">Figure S3: </w:t>
      </w:r>
      <w:r w:rsidRPr="00124E3E">
        <w:rPr>
          <w:rFonts w:ascii="Arial" w:hAnsi="Arial" w:cs="Arial"/>
          <w:b/>
          <w:sz w:val="22"/>
          <w:szCs w:val="22"/>
          <w:lang w:val="en-US"/>
        </w:rPr>
        <w:t xml:space="preserve">Incidence Rate Ratios stratified by </w:t>
      </w:r>
      <w:r w:rsidRPr="00124E3E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regular working hours vs. night shift / weekend / holiday</w:t>
      </w:r>
      <w:r w:rsidRPr="00124E3E">
        <w:rPr>
          <w:rFonts w:ascii="Arial" w:hAnsi="Arial" w:cs="Arial"/>
          <w:b/>
          <w:sz w:val="22"/>
          <w:szCs w:val="22"/>
          <w:lang w:val="en-US"/>
        </w:rPr>
        <w:t xml:space="preserve"> for inter- and intra-year comparison of the study periods, along with 95% CI, derived from the negative binominal regression. </w:t>
      </w:r>
      <w:r w:rsidRPr="00124E3E">
        <w:rPr>
          <w:rFonts w:ascii="Arial" w:hAnsi="Arial" w:cs="Arial"/>
          <w:bCs/>
          <w:sz w:val="22"/>
          <w:szCs w:val="22"/>
          <w:lang w:val="en-US"/>
        </w:rPr>
        <w:t xml:space="preserve">Additional analyses stratified by regular working hours compared to night shifts, </w:t>
      </w:r>
      <w:proofErr w:type="gramStart"/>
      <w:r w:rsidRPr="00124E3E">
        <w:rPr>
          <w:rFonts w:ascii="Arial" w:hAnsi="Arial" w:cs="Arial"/>
          <w:bCs/>
          <w:sz w:val="22"/>
          <w:szCs w:val="22"/>
          <w:lang w:val="en-US"/>
        </w:rPr>
        <w:t>weekends</w:t>
      </w:r>
      <w:proofErr w:type="gramEnd"/>
      <w:r w:rsidRPr="00124E3E">
        <w:rPr>
          <w:rFonts w:ascii="Arial" w:hAnsi="Arial" w:cs="Arial"/>
          <w:bCs/>
          <w:sz w:val="22"/>
          <w:szCs w:val="22"/>
          <w:lang w:val="en-US"/>
        </w:rPr>
        <w:t xml:space="preserve"> or holidays, shows confirm the trend of higher examination volumes in latter infection waves.</w:t>
      </w:r>
    </w:p>
    <w:p w14:paraId="0DFE1EAF" w14:textId="77777777" w:rsidR="001818E5" w:rsidRPr="00124E3E" w:rsidRDefault="001818E5" w:rsidP="001818E5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124E3E">
        <w:rPr>
          <w:rFonts w:ascii="Arial" w:hAnsi="Arial" w:cs="Arial"/>
          <w:color w:val="000000" w:themeColor="text1"/>
          <w:sz w:val="22"/>
          <w:szCs w:val="22"/>
          <w:lang w:val="en-US"/>
        </w:rPr>
        <w:t>(CI: confidence intervals).</w:t>
      </w:r>
    </w:p>
    <w:p w14:paraId="68EBD179" w14:textId="77777777" w:rsidR="001818E5" w:rsidRPr="00124E3E" w:rsidRDefault="001818E5" w:rsidP="001818E5">
      <w:pPr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</w:p>
    <w:p w14:paraId="47033DF8" w14:textId="18924DCF" w:rsidR="008F2275" w:rsidRPr="00124E3E" w:rsidRDefault="001818E5">
      <w:pPr>
        <w:rPr>
          <w:rFonts w:ascii="Arial" w:hAnsi="Arial" w:cs="Arial"/>
          <w:sz w:val="22"/>
          <w:szCs w:val="22"/>
        </w:rPr>
      </w:pPr>
      <w:r w:rsidRPr="00124E3E">
        <w:rPr>
          <w:rFonts w:ascii="Arial" w:hAnsi="Arial" w:cs="Arial"/>
          <w:b/>
          <w:noProof/>
          <w:color w:val="000000" w:themeColor="text1"/>
          <w:sz w:val="22"/>
          <w:szCs w:val="22"/>
          <w:lang w:eastAsia="de-DE"/>
        </w:rPr>
        <w:drawing>
          <wp:inline distT="0" distB="0" distL="0" distR="0" wp14:anchorId="31ECA15E" wp14:editId="5DF75515">
            <wp:extent cx="5727700" cy="2861945"/>
            <wp:effectExtent l="0" t="0" r="0" b="0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86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2275" w:rsidRPr="00124E3E" w:rsidSect="00814097">
      <w:headerReference w:type="default" r:id="rId9"/>
      <w:footerReference w:type="even" r:id="rId10"/>
      <w:footerReference w:type="defaul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66F35" w14:textId="77777777" w:rsidR="00542FF3" w:rsidRDefault="00542FF3">
      <w:r>
        <w:separator/>
      </w:r>
    </w:p>
  </w:endnote>
  <w:endnote w:type="continuationSeparator" w:id="0">
    <w:p w14:paraId="54809D02" w14:textId="77777777" w:rsidR="00542FF3" w:rsidRDefault="00542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530028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D971403" w14:textId="77777777" w:rsidR="00F725C7" w:rsidRDefault="001818E5" w:rsidP="008B6F9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7E77547" w14:textId="77777777" w:rsidR="00F725C7" w:rsidRDefault="00542FF3" w:rsidP="00F15B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EC63D" w14:textId="391D6946" w:rsidR="00442C51" w:rsidRPr="00442C51" w:rsidRDefault="00442C51">
    <w:pPr>
      <w:pStyle w:val="Footer"/>
      <w:rPr>
        <w:rFonts w:ascii="Arial" w:hAnsi="Arial" w:cs="Arial"/>
        <w:sz w:val="20"/>
        <w:szCs w:val="20"/>
      </w:rPr>
    </w:pPr>
    <w:proofErr w:type="spellStart"/>
    <w:r w:rsidRPr="00442C51">
      <w:rPr>
        <w:rFonts w:ascii="Arial" w:hAnsi="Arial" w:cs="Arial"/>
        <w:sz w:val="20"/>
        <w:szCs w:val="20"/>
      </w:rPr>
      <w:t>Insights</w:t>
    </w:r>
    <w:proofErr w:type="spellEnd"/>
    <w:r w:rsidRPr="00442C51">
      <w:rPr>
        <w:rFonts w:ascii="Arial" w:hAnsi="Arial" w:cs="Arial"/>
        <w:sz w:val="20"/>
        <w:szCs w:val="20"/>
      </w:rPr>
      <w:t xml:space="preserve"> Imaging (2022) Fleckenstein FN, </w:t>
    </w:r>
    <w:proofErr w:type="spellStart"/>
    <w:r w:rsidRPr="00442C51">
      <w:rPr>
        <w:rFonts w:ascii="Arial" w:hAnsi="Arial" w:cs="Arial"/>
        <w:sz w:val="20"/>
        <w:szCs w:val="20"/>
      </w:rPr>
      <w:t>Maleitzke</w:t>
    </w:r>
    <w:proofErr w:type="spellEnd"/>
    <w:r w:rsidRPr="00442C51">
      <w:rPr>
        <w:rFonts w:ascii="Arial" w:hAnsi="Arial" w:cs="Arial"/>
        <w:sz w:val="20"/>
        <w:szCs w:val="20"/>
      </w:rPr>
      <w:t xml:space="preserve"> T, Böning G et al. </w:t>
    </w:r>
  </w:p>
  <w:p w14:paraId="74E15DBB" w14:textId="77777777" w:rsidR="00F725C7" w:rsidRDefault="00542FF3" w:rsidP="008B6F97">
    <w:pPr>
      <w:pStyle w:val="Footer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A0FBE" w14:textId="77777777" w:rsidR="00542FF3" w:rsidRDefault="00542FF3">
      <w:r>
        <w:separator/>
      </w:r>
    </w:p>
  </w:footnote>
  <w:footnote w:type="continuationSeparator" w:id="0">
    <w:p w14:paraId="7645768D" w14:textId="77777777" w:rsidR="00542FF3" w:rsidRDefault="00542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800D6" w14:textId="77777777" w:rsidR="00F725C7" w:rsidRPr="00F15BD2" w:rsidRDefault="00542FF3" w:rsidP="00F15BD2">
    <w:pPr>
      <w:spacing w:line="480" w:lineRule="auto"/>
      <w:jc w:val="right"/>
      <w:rPr>
        <w:rFonts w:ascii="Arial" w:hAnsi="Arial" w:cs="Arial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8E5"/>
    <w:rsid w:val="00022130"/>
    <w:rsid w:val="00054C66"/>
    <w:rsid w:val="00062C18"/>
    <w:rsid w:val="00124E3E"/>
    <w:rsid w:val="00150FCB"/>
    <w:rsid w:val="001818E5"/>
    <w:rsid w:val="001A15F4"/>
    <w:rsid w:val="001A296A"/>
    <w:rsid w:val="001B4D22"/>
    <w:rsid w:val="001B7C17"/>
    <w:rsid w:val="003632D2"/>
    <w:rsid w:val="003726C7"/>
    <w:rsid w:val="003973EA"/>
    <w:rsid w:val="003A3A32"/>
    <w:rsid w:val="003D159C"/>
    <w:rsid w:val="00437639"/>
    <w:rsid w:val="00442C51"/>
    <w:rsid w:val="004B7873"/>
    <w:rsid w:val="004D1E1B"/>
    <w:rsid w:val="00502241"/>
    <w:rsid w:val="00542FF3"/>
    <w:rsid w:val="00767EE6"/>
    <w:rsid w:val="007907AE"/>
    <w:rsid w:val="007E0814"/>
    <w:rsid w:val="00814097"/>
    <w:rsid w:val="0088496A"/>
    <w:rsid w:val="008C3A24"/>
    <w:rsid w:val="008F2275"/>
    <w:rsid w:val="009360D9"/>
    <w:rsid w:val="009A4594"/>
    <w:rsid w:val="00A21934"/>
    <w:rsid w:val="00AA7849"/>
    <w:rsid w:val="00AC4D51"/>
    <w:rsid w:val="00B01902"/>
    <w:rsid w:val="00B2511A"/>
    <w:rsid w:val="00B43D92"/>
    <w:rsid w:val="00B91846"/>
    <w:rsid w:val="00B97F97"/>
    <w:rsid w:val="00CB6451"/>
    <w:rsid w:val="00CC7FC6"/>
    <w:rsid w:val="00DA561E"/>
    <w:rsid w:val="00DB3887"/>
    <w:rsid w:val="00E265E5"/>
    <w:rsid w:val="00EF3CC0"/>
    <w:rsid w:val="00F17EB3"/>
    <w:rsid w:val="00F57635"/>
    <w:rsid w:val="00F6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65B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8E5"/>
    <w:rPr>
      <w:rFonts w:ascii="Times New Roman" w:eastAsia="Times New Roman" w:hAnsi="Times New Roman" w:cs="Times New Roman"/>
      <w:lang w:val="de-D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818E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818E5"/>
    <w:rPr>
      <w:lang w:val="de-DE"/>
    </w:rPr>
  </w:style>
  <w:style w:type="character" w:styleId="PageNumber">
    <w:name w:val="page number"/>
    <w:basedOn w:val="DefaultParagraphFont"/>
    <w:uiPriority w:val="99"/>
    <w:semiHidden/>
    <w:unhideWhenUsed/>
    <w:rsid w:val="001818E5"/>
  </w:style>
  <w:style w:type="paragraph" w:styleId="Header">
    <w:name w:val="header"/>
    <w:basedOn w:val="Normal"/>
    <w:link w:val="HeaderChar"/>
    <w:uiPriority w:val="99"/>
    <w:unhideWhenUsed/>
    <w:rsid w:val="00B43D9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D92"/>
    <w:rPr>
      <w:rFonts w:ascii="Times New Roman" w:eastAsia="Times New Roman" w:hAnsi="Times New Roman" w:cs="Times New Roman"/>
      <w:lang w:val="de-D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2022-02-05T16:10:00Z</dcterms:created>
  <dcterms:modified xsi:type="dcterms:W3CDTF">2022-02-15T10:15:00Z</dcterms:modified>
  <cp:category/>
</cp:coreProperties>
</file>