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726A3" w14:textId="05C4BBB9" w:rsidR="00C17C30" w:rsidRPr="0079518B" w:rsidRDefault="0079518B" w:rsidP="0079518B">
      <w:pPr>
        <w:spacing w:after="0" w:line="360" w:lineRule="auto"/>
        <w:jc w:val="left"/>
        <w:rPr>
          <w:b/>
          <w:sz w:val="24"/>
          <w:szCs w:val="24"/>
        </w:rPr>
      </w:pPr>
      <w:r w:rsidRPr="00EC6EDD">
        <w:rPr>
          <w:b/>
          <w:sz w:val="24"/>
          <w:szCs w:val="24"/>
        </w:rPr>
        <w:t>Electronic Supplementary Material S</w:t>
      </w:r>
      <w:r w:rsidR="00E230DD">
        <w:rPr>
          <w:b/>
          <w:sz w:val="24"/>
          <w:szCs w:val="24"/>
        </w:rPr>
        <w:t>2</w:t>
      </w:r>
      <w:r w:rsidRPr="00BF70ED">
        <w:rPr>
          <w:b/>
          <w:sz w:val="24"/>
          <w:szCs w:val="24"/>
        </w:rPr>
        <w:t>:</w:t>
      </w:r>
      <w:r w:rsidRPr="00BF70ED">
        <w:rPr>
          <w:sz w:val="24"/>
          <w:szCs w:val="24"/>
        </w:rPr>
        <w:t xml:space="preserve"> CLEAR checklist</w:t>
      </w:r>
      <w:r w:rsidR="006B510B">
        <w:rPr>
          <w:sz w:val="24"/>
          <w:szCs w:val="24"/>
        </w:rPr>
        <w:t xml:space="preserve"> </w:t>
      </w:r>
      <w:r w:rsidR="006B510B">
        <w:rPr>
          <w:sz w:val="24"/>
          <w:szCs w:val="24"/>
          <w:lang w:val="en-US"/>
        </w:rPr>
        <w:t>without explanations</w:t>
      </w:r>
    </w:p>
    <w:tbl>
      <w:tblPr>
        <w:tblStyle w:val="a0"/>
        <w:tblW w:w="949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722"/>
        <w:gridCol w:w="531"/>
        <w:gridCol w:w="4944"/>
        <w:gridCol w:w="541"/>
        <w:gridCol w:w="508"/>
        <w:gridCol w:w="570"/>
        <w:gridCol w:w="675"/>
      </w:tblGrid>
      <w:tr w:rsidR="00C17C30" w:rsidRPr="00BF70ED" w14:paraId="4229A33E" w14:textId="77777777" w:rsidTr="00C17C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1A1EDA4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Section</w:t>
            </w:r>
          </w:p>
        </w:tc>
        <w:tc>
          <w:tcPr>
            <w:tcW w:w="531" w:type="dxa"/>
            <w:vAlign w:val="center"/>
          </w:tcPr>
          <w:p w14:paraId="6C268FC8" w14:textId="77777777" w:rsidR="00C17C30" w:rsidRPr="00BF70E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No.</w:t>
            </w:r>
          </w:p>
        </w:tc>
        <w:tc>
          <w:tcPr>
            <w:tcW w:w="4944" w:type="dxa"/>
            <w:vAlign w:val="center"/>
          </w:tcPr>
          <w:p w14:paraId="1E66D861" w14:textId="77777777" w:rsidR="00C17C30" w:rsidRPr="00BF70E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Item</w:t>
            </w:r>
          </w:p>
        </w:tc>
        <w:tc>
          <w:tcPr>
            <w:tcW w:w="541" w:type="dxa"/>
          </w:tcPr>
          <w:p w14:paraId="6A87CA4B" w14:textId="77777777" w:rsidR="00C17C30" w:rsidRPr="00BF70ED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508" w:type="dxa"/>
          </w:tcPr>
          <w:p w14:paraId="76687CE7" w14:textId="77777777" w:rsidR="00C17C30" w:rsidRPr="00BF70ED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570" w:type="dxa"/>
          </w:tcPr>
          <w:p w14:paraId="218CAC12" w14:textId="77777777" w:rsidR="00C17C30" w:rsidRPr="00BF70ED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675" w:type="dxa"/>
          </w:tcPr>
          <w:p w14:paraId="2CB1F5A6" w14:textId="77777777" w:rsidR="00C17C30" w:rsidRPr="00BF70ED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Page</w:t>
            </w:r>
          </w:p>
        </w:tc>
      </w:tr>
      <w:tr w:rsidR="00C17C30" w:rsidRPr="00BF70ED" w14:paraId="6F4B552F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268555E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</w:p>
        </w:tc>
        <w:tc>
          <w:tcPr>
            <w:tcW w:w="531" w:type="dxa"/>
            <w:vAlign w:val="center"/>
          </w:tcPr>
          <w:p w14:paraId="079FDACF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4" w:type="dxa"/>
            <w:vAlign w:val="center"/>
          </w:tcPr>
          <w:p w14:paraId="1A99DAA5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1B659C33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</w:tcPr>
          <w:p w14:paraId="2426031B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</w:tcPr>
          <w:p w14:paraId="6151ED96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</w:tcPr>
          <w:p w14:paraId="1F1477F9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A695AD7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80FE21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54614321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44" w:type="dxa"/>
            <w:vAlign w:val="center"/>
          </w:tcPr>
          <w:p w14:paraId="32591A5D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Relevant title, specifying the radiomic methodology</w:t>
            </w:r>
          </w:p>
        </w:tc>
        <w:tc>
          <w:tcPr>
            <w:tcW w:w="541" w:type="dxa"/>
          </w:tcPr>
          <w:p w14:paraId="1F551F4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1F9EABA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52D22D5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F9DF914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E3F4509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6CEDD7F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Abstract</w:t>
            </w:r>
          </w:p>
        </w:tc>
        <w:tc>
          <w:tcPr>
            <w:tcW w:w="531" w:type="dxa"/>
            <w:vAlign w:val="center"/>
          </w:tcPr>
          <w:p w14:paraId="3914207D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4" w:type="dxa"/>
            <w:vAlign w:val="center"/>
          </w:tcPr>
          <w:p w14:paraId="542F1C99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2E68F479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14:paraId="0B778619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3603325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1C96BF8D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59E9C04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C4848AE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C190FF5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44" w:type="dxa"/>
            <w:vAlign w:val="center"/>
          </w:tcPr>
          <w:p w14:paraId="2885EE31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Structured summary with relevant information</w:t>
            </w:r>
          </w:p>
        </w:tc>
        <w:tc>
          <w:tcPr>
            <w:tcW w:w="541" w:type="dxa"/>
          </w:tcPr>
          <w:p w14:paraId="350F8C84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08E7F11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5AD8438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CB63867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6B5594A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0D3FBB4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Keywords</w:t>
            </w:r>
          </w:p>
        </w:tc>
        <w:tc>
          <w:tcPr>
            <w:tcW w:w="531" w:type="dxa"/>
            <w:vAlign w:val="center"/>
          </w:tcPr>
          <w:p w14:paraId="4F6BEF59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4" w:type="dxa"/>
            <w:vAlign w:val="center"/>
          </w:tcPr>
          <w:p w14:paraId="7ACA03B1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32FC9FC1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14:paraId="20896BBC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52F6BCC0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EB3E717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81318E2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62F2FFE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B510162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944" w:type="dxa"/>
            <w:vAlign w:val="center"/>
          </w:tcPr>
          <w:p w14:paraId="2DAEEBD6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Relevant keywords for radiomics</w:t>
            </w:r>
          </w:p>
        </w:tc>
        <w:tc>
          <w:tcPr>
            <w:tcW w:w="541" w:type="dxa"/>
          </w:tcPr>
          <w:p w14:paraId="2A9A456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B65B0B9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7399269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6B27A85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B18DBF3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FAE6467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Introduction</w:t>
            </w:r>
          </w:p>
        </w:tc>
        <w:tc>
          <w:tcPr>
            <w:tcW w:w="531" w:type="dxa"/>
            <w:vAlign w:val="center"/>
          </w:tcPr>
          <w:p w14:paraId="004E9625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4" w:type="dxa"/>
            <w:vAlign w:val="center"/>
          </w:tcPr>
          <w:p w14:paraId="61E2AAEF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4FC47415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14:paraId="3EA62903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07803AB3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5D589A00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1645D2C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3BACCF8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6056422C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44" w:type="dxa"/>
            <w:vAlign w:val="center"/>
          </w:tcPr>
          <w:p w14:paraId="68358A64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Scientific or clinical background</w:t>
            </w:r>
          </w:p>
        </w:tc>
        <w:tc>
          <w:tcPr>
            <w:tcW w:w="541" w:type="dxa"/>
          </w:tcPr>
          <w:p w14:paraId="690B1A8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A06BFE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FFE0174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E8A7982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4735B4C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2573F0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8197B15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944" w:type="dxa"/>
            <w:vAlign w:val="center"/>
          </w:tcPr>
          <w:p w14:paraId="4493AD6B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Rationale for using a radiomic approach</w:t>
            </w:r>
          </w:p>
        </w:tc>
        <w:tc>
          <w:tcPr>
            <w:tcW w:w="541" w:type="dxa"/>
          </w:tcPr>
          <w:p w14:paraId="7070C513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14556A0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C19012E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64F1F5E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BF094FD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8826014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6CACC790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944" w:type="dxa"/>
            <w:vAlign w:val="center"/>
          </w:tcPr>
          <w:p w14:paraId="3B70D985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Study objective(s)</w:t>
            </w:r>
          </w:p>
        </w:tc>
        <w:tc>
          <w:tcPr>
            <w:tcW w:w="541" w:type="dxa"/>
          </w:tcPr>
          <w:p w14:paraId="7355A70B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7F64822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E3A12F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4F7A7E4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F7F73B0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790B2D5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Method</w:t>
            </w:r>
          </w:p>
        </w:tc>
        <w:tc>
          <w:tcPr>
            <w:tcW w:w="531" w:type="dxa"/>
            <w:vAlign w:val="center"/>
          </w:tcPr>
          <w:p w14:paraId="65297835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4" w:type="dxa"/>
            <w:vAlign w:val="center"/>
          </w:tcPr>
          <w:p w14:paraId="02F57980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1E42DAB9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14:paraId="05CDC008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14CAEB3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35D6E0EB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E7626CA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785D206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Study Design</w:t>
            </w:r>
          </w:p>
        </w:tc>
        <w:tc>
          <w:tcPr>
            <w:tcW w:w="531" w:type="dxa"/>
            <w:vAlign w:val="center"/>
          </w:tcPr>
          <w:p w14:paraId="53D6F4AA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944" w:type="dxa"/>
            <w:vAlign w:val="center"/>
          </w:tcPr>
          <w:p w14:paraId="7874F858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Adherence to guidelines or checklists (e.g., CLEAR checklist)</w:t>
            </w:r>
          </w:p>
        </w:tc>
        <w:tc>
          <w:tcPr>
            <w:tcW w:w="541" w:type="dxa"/>
          </w:tcPr>
          <w:p w14:paraId="3A6838F6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4B5E0BE9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1FBBB9D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1596B4C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61F64F87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5BAE79A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E53DF13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944" w:type="dxa"/>
            <w:vAlign w:val="center"/>
          </w:tcPr>
          <w:p w14:paraId="72A1DDD3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Ethical details (e.g., approval, consent, data protection)</w:t>
            </w:r>
          </w:p>
        </w:tc>
        <w:tc>
          <w:tcPr>
            <w:tcW w:w="541" w:type="dxa"/>
          </w:tcPr>
          <w:p w14:paraId="46C7E6A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DE8905F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DF7887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C3A41AC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62D39815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155EB8C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83A3D38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944" w:type="dxa"/>
            <w:vAlign w:val="center"/>
          </w:tcPr>
          <w:p w14:paraId="0D4B3B47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Sample size calculation</w:t>
            </w:r>
          </w:p>
        </w:tc>
        <w:tc>
          <w:tcPr>
            <w:tcW w:w="541" w:type="dxa"/>
          </w:tcPr>
          <w:p w14:paraId="1A2DD389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B18DFD8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345060B3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A9A76FE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A8DB241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A7E451A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92DF0BB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944" w:type="dxa"/>
            <w:vAlign w:val="center"/>
          </w:tcPr>
          <w:p w14:paraId="4278FA32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Study nature (e.g., retrospective, prospective)</w:t>
            </w:r>
          </w:p>
        </w:tc>
        <w:tc>
          <w:tcPr>
            <w:tcW w:w="541" w:type="dxa"/>
          </w:tcPr>
          <w:p w14:paraId="362315D9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B09FCD2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9350012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1508F14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138D98F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8FC461A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511A08CB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944" w:type="dxa"/>
            <w:vAlign w:val="center"/>
          </w:tcPr>
          <w:p w14:paraId="6ED03A2C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Eligibility criteria</w:t>
            </w:r>
          </w:p>
        </w:tc>
        <w:tc>
          <w:tcPr>
            <w:tcW w:w="541" w:type="dxa"/>
          </w:tcPr>
          <w:p w14:paraId="45548F70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80F936D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897B155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E7B09EF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D32E021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CFF2495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532B35AE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944" w:type="dxa"/>
            <w:vAlign w:val="center"/>
          </w:tcPr>
          <w:p w14:paraId="3BB72DFA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Flowchart for technical pipeline</w:t>
            </w:r>
          </w:p>
        </w:tc>
        <w:tc>
          <w:tcPr>
            <w:tcW w:w="541" w:type="dxa"/>
          </w:tcPr>
          <w:p w14:paraId="7D6B9A8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413E43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A25F9A7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DE74AF2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2DEA61E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3CD575D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Data</w:t>
            </w:r>
          </w:p>
        </w:tc>
        <w:tc>
          <w:tcPr>
            <w:tcW w:w="531" w:type="dxa"/>
            <w:vAlign w:val="center"/>
          </w:tcPr>
          <w:p w14:paraId="179D4A8D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944" w:type="dxa"/>
            <w:vAlign w:val="center"/>
          </w:tcPr>
          <w:p w14:paraId="0841CCCE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Data source (e.g., private, public)</w:t>
            </w:r>
          </w:p>
        </w:tc>
        <w:tc>
          <w:tcPr>
            <w:tcW w:w="541" w:type="dxa"/>
          </w:tcPr>
          <w:p w14:paraId="5F5ABC8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7002C2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CAB10E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9B4A9B0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1C37FC5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297BD4B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5245AB67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944" w:type="dxa"/>
            <w:vAlign w:val="center"/>
          </w:tcPr>
          <w:p w14:paraId="55CD815B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Data overlap</w:t>
            </w:r>
          </w:p>
        </w:tc>
        <w:tc>
          <w:tcPr>
            <w:tcW w:w="541" w:type="dxa"/>
          </w:tcPr>
          <w:p w14:paraId="47E87253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B76B41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3E6C8D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57B2CF31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5DA9EA9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4094A6F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3796210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944" w:type="dxa"/>
            <w:vAlign w:val="center"/>
          </w:tcPr>
          <w:p w14:paraId="52B3D335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Data split methodology</w:t>
            </w:r>
          </w:p>
        </w:tc>
        <w:tc>
          <w:tcPr>
            <w:tcW w:w="541" w:type="dxa"/>
          </w:tcPr>
          <w:p w14:paraId="57BA7876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7AC2966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2BD026D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812D74D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6A13C8E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F056C4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E1779B7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944" w:type="dxa"/>
            <w:vAlign w:val="center"/>
          </w:tcPr>
          <w:p w14:paraId="65A55BD6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Imaging protocol (i.e., image acquisition and processing)</w:t>
            </w:r>
          </w:p>
        </w:tc>
        <w:tc>
          <w:tcPr>
            <w:tcW w:w="541" w:type="dxa"/>
          </w:tcPr>
          <w:p w14:paraId="13C11269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0EC0EAC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AFBD61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A512911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19B9B371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29CE315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7C0921E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944" w:type="dxa"/>
            <w:vAlign w:val="center"/>
          </w:tcPr>
          <w:p w14:paraId="71B25B8B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 of non-radiomic predictor variables</w:t>
            </w:r>
          </w:p>
        </w:tc>
        <w:tc>
          <w:tcPr>
            <w:tcW w:w="541" w:type="dxa"/>
          </w:tcPr>
          <w:p w14:paraId="626ECAB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4F64E6E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CFB7D91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70D065C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64A1F43A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425BC7D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6BCB0FF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944" w:type="dxa"/>
            <w:vAlign w:val="center"/>
          </w:tcPr>
          <w:p w14:paraId="7FDEF934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Definition of the reference standard (i.e., outcome variable)</w:t>
            </w:r>
          </w:p>
        </w:tc>
        <w:tc>
          <w:tcPr>
            <w:tcW w:w="541" w:type="dxa"/>
          </w:tcPr>
          <w:p w14:paraId="280B468A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39DDF5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A8E0A2F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6299765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1EF1DD9A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4233C8C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Segmentation</w:t>
            </w:r>
          </w:p>
        </w:tc>
        <w:tc>
          <w:tcPr>
            <w:tcW w:w="531" w:type="dxa"/>
            <w:vAlign w:val="center"/>
          </w:tcPr>
          <w:p w14:paraId="46D69AC7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944" w:type="dxa"/>
            <w:vAlign w:val="center"/>
          </w:tcPr>
          <w:p w14:paraId="31FCAEEB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Segmentation strategy</w:t>
            </w:r>
          </w:p>
        </w:tc>
        <w:tc>
          <w:tcPr>
            <w:tcW w:w="541" w:type="dxa"/>
          </w:tcPr>
          <w:p w14:paraId="45CF330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8E67714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C730FA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52D891C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62112762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FCF1C09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7735CDD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944" w:type="dxa"/>
            <w:vAlign w:val="center"/>
          </w:tcPr>
          <w:p w14:paraId="6FBE4AB9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Details of operators performing segmentation</w:t>
            </w:r>
          </w:p>
        </w:tc>
        <w:tc>
          <w:tcPr>
            <w:tcW w:w="541" w:type="dxa"/>
          </w:tcPr>
          <w:p w14:paraId="72457D23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EDE9123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B72DB6E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30590492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1593405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720CC58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Pre-processing</w:t>
            </w:r>
          </w:p>
        </w:tc>
        <w:tc>
          <w:tcPr>
            <w:tcW w:w="531" w:type="dxa"/>
            <w:vAlign w:val="center"/>
          </w:tcPr>
          <w:p w14:paraId="504C1B78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944" w:type="dxa"/>
            <w:vAlign w:val="center"/>
          </w:tcPr>
          <w:p w14:paraId="12C699B9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Image pre-processing details</w:t>
            </w:r>
          </w:p>
        </w:tc>
        <w:tc>
          <w:tcPr>
            <w:tcW w:w="541" w:type="dxa"/>
          </w:tcPr>
          <w:p w14:paraId="6803FA7D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BAD74A8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8615CC6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5A30E8A0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5D56DAE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62D5AE3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504A3B6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944" w:type="dxa"/>
            <w:vAlign w:val="center"/>
          </w:tcPr>
          <w:p w14:paraId="5E0950A9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Resampling method and its parameters</w:t>
            </w:r>
          </w:p>
        </w:tc>
        <w:tc>
          <w:tcPr>
            <w:tcW w:w="541" w:type="dxa"/>
          </w:tcPr>
          <w:p w14:paraId="2668518A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B0CF56D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B30055B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C4A34B9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78C8E3D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7DD8932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8E52CF7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944" w:type="dxa"/>
            <w:vAlign w:val="center"/>
          </w:tcPr>
          <w:p w14:paraId="5AFAC57D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Discretization method and its parameters</w:t>
            </w:r>
          </w:p>
        </w:tc>
        <w:tc>
          <w:tcPr>
            <w:tcW w:w="541" w:type="dxa"/>
          </w:tcPr>
          <w:p w14:paraId="61772A5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3A14FC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E7F951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F883601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1608421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639BE1B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503F0D11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944" w:type="dxa"/>
            <w:vAlign w:val="center"/>
          </w:tcPr>
          <w:p w14:paraId="1DE5174D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Image types (e.g., original, filtered, transformed)</w:t>
            </w:r>
          </w:p>
        </w:tc>
        <w:tc>
          <w:tcPr>
            <w:tcW w:w="541" w:type="dxa"/>
          </w:tcPr>
          <w:p w14:paraId="78BB9B7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0474047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879B1F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FAC55B3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CFCC993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EB9A023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Feature extraction</w:t>
            </w:r>
          </w:p>
        </w:tc>
        <w:tc>
          <w:tcPr>
            <w:tcW w:w="531" w:type="dxa"/>
            <w:vAlign w:val="center"/>
          </w:tcPr>
          <w:p w14:paraId="02411065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944" w:type="dxa"/>
            <w:vAlign w:val="center"/>
          </w:tcPr>
          <w:p w14:paraId="151EB694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Feature extraction method</w:t>
            </w:r>
          </w:p>
        </w:tc>
        <w:tc>
          <w:tcPr>
            <w:tcW w:w="541" w:type="dxa"/>
          </w:tcPr>
          <w:p w14:paraId="564F14F9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2E470B2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0C42726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01E7F0D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F627B70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8CDE60D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DFF6667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944" w:type="dxa"/>
            <w:vAlign w:val="center"/>
          </w:tcPr>
          <w:p w14:paraId="1A0843A1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Feature classes</w:t>
            </w:r>
          </w:p>
        </w:tc>
        <w:tc>
          <w:tcPr>
            <w:tcW w:w="541" w:type="dxa"/>
          </w:tcPr>
          <w:p w14:paraId="4A17328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6FA6A56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FCE6AC3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CE2AF0E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B984AC8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02638E0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6560C443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944" w:type="dxa"/>
            <w:vAlign w:val="center"/>
          </w:tcPr>
          <w:p w14:paraId="4C5624D7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Number of features</w:t>
            </w:r>
          </w:p>
        </w:tc>
        <w:tc>
          <w:tcPr>
            <w:tcW w:w="541" w:type="dxa"/>
          </w:tcPr>
          <w:p w14:paraId="1FD0388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12156684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A0A96C4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346BB9C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86D0D20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C799ED8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0CF832F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944" w:type="dxa"/>
            <w:vAlign w:val="center"/>
          </w:tcPr>
          <w:p w14:paraId="23E87D30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Default configuration statement for remaining parameters</w:t>
            </w:r>
          </w:p>
        </w:tc>
        <w:tc>
          <w:tcPr>
            <w:tcW w:w="541" w:type="dxa"/>
          </w:tcPr>
          <w:p w14:paraId="29176F7C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31CA1BF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C75CA9D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DEAEC03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17C34A91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A9D5CE5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Data preparation</w:t>
            </w:r>
          </w:p>
        </w:tc>
        <w:tc>
          <w:tcPr>
            <w:tcW w:w="531" w:type="dxa"/>
            <w:vAlign w:val="center"/>
          </w:tcPr>
          <w:p w14:paraId="22016F9F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944" w:type="dxa"/>
            <w:vAlign w:val="center"/>
          </w:tcPr>
          <w:p w14:paraId="2C23E39B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Handling of missing data</w:t>
            </w:r>
          </w:p>
        </w:tc>
        <w:tc>
          <w:tcPr>
            <w:tcW w:w="541" w:type="dxa"/>
          </w:tcPr>
          <w:p w14:paraId="77DF77A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2FEA41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DEA504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116EE5D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C2F8374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A105BFE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20A5E569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944" w:type="dxa"/>
            <w:vAlign w:val="center"/>
          </w:tcPr>
          <w:p w14:paraId="175EA139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Details of class imbalance</w:t>
            </w:r>
          </w:p>
        </w:tc>
        <w:tc>
          <w:tcPr>
            <w:tcW w:w="541" w:type="dxa"/>
          </w:tcPr>
          <w:p w14:paraId="245BC467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F8A5BD6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9F21854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79C2475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7D78876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5D2E902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741D2D6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944" w:type="dxa"/>
            <w:vAlign w:val="center"/>
          </w:tcPr>
          <w:p w14:paraId="53421ECD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Details of segmentation reliability analysis</w:t>
            </w:r>
          </w:p>
        </w:tc>
        <w:tc>
          <w:tcPr>
            <w:tcW w:w="541" w:type="dxa"/>
          </w:tcPr>
          <w:p w14:paraId="2AA48E1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5ECE11B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B8471D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5311402B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4A96800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29B04B7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0109EE6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944" w:type="dxa"/>
            <w:vAlign w:val="center"/>
          </w:tcPr>
          <w:p w14:paraId="68AC9CCB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Feature scaling details (e.g., normalization, standardization)</w:t>
            </w:r>
          </w:p>
        </w:tc>
        <w:tc>
          <w:tcPr>
            <w:tcW w:w="541" w:type="dxa"/>
          </w:tcPr>
          <w:p w14:paraId="41081447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DFEBD49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0B07D06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DB93169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1736E35E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207C6B5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F5EC73A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944" w:type="dxa"/>
            <w:vAlign w:val="center"/>
          </w:tcPr>
          <w:p w14:paraId="120DBBC3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Dimension reduction details</w:t>
            </w:r>
          </w:p>
        </w:tc>
        <w:tc>
          <w:tcPr>
            <w:tcW w:w="541" w:type="dxa"/>
          </w:tcPr>
          <w:p w14:paraId="33E8EA74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97729F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3B921A63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F0B1523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DEFD6D7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FBD462C" w14:textId="09251EC8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Modeling</w:t>
            </w:r>
          </w:p>
        </w:tc>
        <w:tc>
          <w:tcPr>
            <w:tcW w:w="531" w:type="dxa"/>
            <w:vAlign w:val="center"/>
          </w:tcPr>
          <w:p w14:paraId="0B39C23B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944" w:type="dxa"/>
            <w:vAlign w:val="center"/>
          </w:tcPr>
          <w:p w14:paraId="41DD0668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Algorithm details</w:t>
            </w:r>
          </w:p>
        </w:tc>
        <w:tc>
          <w:tcPr>
            <w:tcW w:w="541" w:type="dxa"/>
          </w:tcPr>
          <w:p w14:paraId="574BADBB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D54B2A2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555A036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0EFE34D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9974DF5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511D618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84EFDFC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944" w:type="dxa"/>
            <w:vAlign w:val="center"/>
          </w:tcPr>
          <w:p w14:paraId="297266EB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Training and tuning details</w:t>
            </w:r>
          </w:p>
        </w:tc>
        <w:tc>
          <w:tcPr>
            <w:tcW w:w="541" w:type="dxa"/>
          </w:tcPr>
          <w:p w14:paraId="24E30BF5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54E6D8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CCC9E60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0E4838B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C0F5B7A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C965732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E9BCC90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944" w:type="dxa"/>
            <w:vAlign w:val="center"/>
          </w:tcPr>
          <w:p w14:paraId="3A03A161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Handling of confounders</w:t>
            </w:r>
          </w:p>
        </w:tc>
        <w:tc>
          <w:tcPr>
            <w:tcW w:w="541" w:type="dxa"/>
          </w:tcPr>
          <w:p w14:paraId="3852E3D3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EFAEA7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B01EF1C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43EE620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613C8F3A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43528EA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666F91CA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4944" w:type="dxa"/>
            <w:vAlign w:val="center"/>
          </w:tcPr>
          <w:p w14:paraId="6138EB17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Model selection strategy</w:t>
            </w:r>
          </w:p>
        </w:tc>
        <w:tc>
          <w:tcPr>
            <w:tcW w:w="541" w:type="dxa"/>
          </w:tcPr>
          <w:p w14:paraId="5F9FC318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F0C6596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9A1D440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0589443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A14F639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B4F8973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Evaluation</w:t>
            </w:r>
          </w:p>
        </w:tc>
        <w:tc>
          <w:tcPr>
            <w:tcW w:w="531" w:type="dxa"/>
            <w:vAlign w:val="center"/>
          </w:tcPr>
          <w:p w14:paraId="6558DFC9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944" w:type="dxa"/>
            <w:vAlign w:val="center"/>
          </w:tcPr>
          <w:p w14:paraId="1D8E0826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Testing technique (e.g., internal, external)</w:t>
            </w:r>
          </w:p>
        </w:tc>
        <w:tc>
          <w:tcPr>
            <w:tcW w:w="541" w:type="dxa"/>
          </w:tcPr>
          <w:p w14:paraId="6CDB6362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7808EAE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9EE6839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A2149B2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72C2CE1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136CA43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5DFA5936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944" w:type="dxa"/>
            <w:vAlign w:val="center"/>
          </w:tcPr>
          <w:p w14:paraId="683D439B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Performance metrics and rationale for choosing</w:t>
            </w:r>
          </w:p>
        </w:tc>
        <w:tc>
          <w:tcPr>
            <w:tcW w:w="541" w:type="dxa"/>
          </w:tcPr>
          <w:p w14:paraId="11578D18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6CC87E4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F861C2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6F3EF32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88BD8BD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4C273CE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22E164ED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4944" w:type="dxa"/>
            <w:vAlign w:val="center"/>
          </w:tcPr>
          <w:p w14:paraId="3BE9AFB0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Uncertainty evaluation and measures (e.g., confidence intervals)</w:t>
            </w:r>
          </w:p>
        </w:tc>
        <w:tc>
          <w:tcPr>
            <w:tcW w:w="541" w:type="dxa"/>
          </w:tcPr>
          <w:p w14:paraId="0F05D9BE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E7F0997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1A9FCF3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FDCE6B6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B2ACBEB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806B7FC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4CCF28D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4944" w:type="dxa"/>
            <w:vAlign w:val="center"/>
          </w:tcPr>
          <w:p w14:paraId="4581C0F2" w14:textId="0CEE49C0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Statistical performance comparison (e.g., DeLong</w:t>
            </w:r>
            <w:r w:rsidR="0070493E">
              <w:rPr>
                <w:rFonts w:ascii="Times New Roman" w:eastAsia="Times New Roman" w:hAnsi="Times New Roman" w:cs="Times New Roman"/>
                <w:sz w:val="18"/>
                <w:szCs w:val="18"/>
              </w:rPr>
              <w:t>’s</w:t>
            </w: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test)</w:t>
            </w:r>
          </w:p>
        </w:tc>
        <w:tc>
          <w:tcPr>
            <w:tcW w:w="541" w:type="dxa"/>
          </w:tcPr>
          <w:p w14:paraId="1DD3E6D2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54AD722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32C332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51B440E7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CCFDC70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3DDB35E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6B36CB14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4944" w:type="dxa"/>
            <w:vAlign w:val="center"/>
          </w:tcPr>
          <w:p w14:paraId="3019A55E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Comparison with non-radiomic and combined methods</w:t>
            </w:r>
          </w:p>
        </w:tc>
        <w:tc>
          <w:tcPr>
            <w:tcW w:w="541" w:type="dxa"/>
          </w:tcPr>
          <w:p w14:paraId="62E9DE97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410D1FB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F86C00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5F81420D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1B17101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D48AE39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8508C28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4944" w:type="dxa"/>
            <w:vAlign w:val="center"/>
          </w:tcPr>
          <w:p w14:paraId="451DD75D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Interpretability and explainability methods</w:t>
            </w:r>
          </w:p>
        </w:tc>
        <w:tc>
          <w:tcPr>
            <w:tcW w:w="541" w:type="dxa"/>
          </w:tcPr>
          <w:p w14:paraId="24DBD5F1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0AB3926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63BC1BED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2884AFC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1C2C0406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0F48E378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Results</w:t>
            </w:r>
          </w:p>
        </w:tc>
        <w:tc>
          <w:tcPr>
            <w:tcW w:w="531" w:type="dxa"/>
            <w:vAlign w:val="center"/>
          </w:tcPr>
          <w:p w14:paraId="7A4B3D99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4" w:type="dxa"/>
            <w:vAlign w:val="center"/>
          </w:tcPr>
          <w:p w14:paraId="3387009B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5D2F150C" w14:textId="2FBD85BD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14:paraId="724745EC" w14:textId="14C0769C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33526366" w14:textId="3692F512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ABC12D9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638DCCE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5FA310F3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DCE3204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4944" w:type="dxa"/>
            <w:vAlign w:val="center"/>
          </w:tcPr>
          <w:p w14:paraId="3A6180F8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Baseline demographic and clinical characteristics</w:t>
            </w:r>
          </w:p>
        </w:tc>
        <w:tc>
          <w:tcPr>
            <w:tcW w:w="541" w:type="dxa"/>
          </w:tcPr>
          <w:p w14:paraId="499D88C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B96111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71A796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DB0E473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1A0072E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E7B9A2F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6D6E4A1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4944" w:type="dxa"/>
            <w:vAlign w:val="center"/>
          </w:tcPr>
          <w:p w14:paraId="4D0DA92A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Flowchart for eligibility criteria</w:t>
            </w:r>
          </w:p>
        </w:tc>
        <w:tc>
          <w:tcPr>
            <w:tcW w:w="541" w:type="dxa"/>
          </w:tcPr>
          <w:p w14:paraId="201F7E56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33E670E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3C047EAB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37C4642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9F4B7BA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34021D7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E5EFC71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4944" w:type="dxa"/>
            <w:vAlign w:val="center"/>
          </w:tcPr>
          <w:p w14:paraId="3D072B88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Feature statistics (e.g., reproducibility, feature selection)</w:t>
            </w:r>
          </w:p>
        </w:tc>
        <w:tc>
          <w:tcPr>
            <w:tcW w:w="541" w:type="dxa"/>
          </w:tcPr>
          <w:p w14:paraId="571DC7E3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2C8A343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D031420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A27F528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08795F2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C393D3F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AEFA28E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4944" w:type="dxa"/>
            <w:vAlign w:val="center"/>
          </w:tcPr>
          <w:p w14:paraId="163C076B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Model performance evaluation</w:t>
            </w:r>
          </w:p>
        </w:tc>
        <w:tc>
          <w:tcPr>
            <w:tcW w:w="541" w:type="dxa"/>
          </w:tcPr>
          <w:p w14:paraId="17F54195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6E19CF6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084F6D2D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A1C08B9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8838864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C903E9A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4BE840B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4944" w:type="dxa"/>
            <w:vAlign w:val="center"/>
          </w:tcPr>
          <w:p w14:paraId="5BDC7BA0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Comparison with non-radiomic and combined approaches</w:t>
            </w:r>
          </w:p>
        </w:tc>
        <w:tc>
          <w:tcPr>
            <w:tcW w:w="541" w:type="dxa"/>
          </w:tcPr>
          <w:p w14:paraId="347F9CF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1EB58287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345D43D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90178C8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168EF5C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914485B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Discussion</w:t>
            </w:r>
          </w:p>
        </w:tc>
        <w:tc>
          <w:tcPr>
            <w:tcW w:w="531" w:type="dxa"/>
            <w:vAlign w:val="center"/>
          </w:tcPr>
          <w:p w14:paraId="1A28B7B5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4" w:type="dxa"/>
            <w:vAlign w:val="center"/>
          </w:tcPr>
          <w:p w14:paraId="271C5CEB" w14:textId="77777777" w:rsidR="00C17C30" w:rsidRPr="00BF70ED" w:rsidRDefault="00C17C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062565C3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14:paraId="63BD9AC4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7BE7427E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1EECE30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4208925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61B39A3A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2307C03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4944" w:type="dxa"/>
            <w:vAlign w:val="center"/>
          </w:tcPr>
          <w:p w14:paraId="591249DE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Overview of important findings</w:t>
            </w:r>
          </w:p>
        </w:tc>
        <w:tc>
          <w:tcPr>
            <w:tcW w:w="541" w:type="dxa"/>
          </w:tcPr>
          <w:p w14:paraId="2DA8AE21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B2CF1B8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641EF7E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6A8D91D5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7EE875D5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F3A3870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7942562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4944" w:type="dxa"/>
            <w:vAlign w:val="center"/>
          </w:tcPr>
          <w:p w14:paraId="096B14D2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Previous works with differences from the current study</w:t>
            </w:r>
          </w:p>
        </w:tc>
        <w:tc>
          <w:tcPr>
            <w:tcW w:w="541" w:type="dxa"/>
          </w:tcPr>
          <w:p w14:paraId="6C0A6546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5DC15FB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7441939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A886DC9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B246765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36FD66F6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263CB80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4944" w:type="dxa"/>
            <w:vAlign w:val="center"/>
          </w:tcPr>
          <w:p w14:paraId="3982C910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Practical implications</w:t>
            </w:r>
          </w:p>
        </w:tc>
        <w:tc>
          <w:tcPr>
            <w:tcW w:w="541" w:type="dxa"/>
          </w:tcPr>
          <w:p w14:paraId="6968434D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5FEACEAB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4E074CF6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9206737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19293E0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E9F734A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616E9C6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4944" w:type="dxa"/>
            <w:vAlign w:val="center"/>
          </w:tcPr>
          <w:p w14:paraId="78132F90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Strengths and limitations (e.g., bias and generalizability issues)</w:t>
            </w:r>
          </w:p>
        </w:tc>
        <w:tc>
          <w:tcPr>
            <w:tcW w:w="541" w:type="dxa"/>
          </w:tcPr>
          <w:p w14:paraId="131490F7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170A0BB4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76FC62A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61227EE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378EB4C1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F3FDDF9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Open Science</w:t>
            </w:r>
          </w:p>
        </w:tc>
        <w:tc>
          <w:tcPr>
            <w:tcW w:w="531" w:type="dxa"/>
            <w:vAlign w:val="center"/>
          </w:tcPr>
          <w:p w14:paraId="5033A559" w14:textId="77777777" w:rsidR="00C17C30" w:rsidRPr="00BF70ED" w:rsidRDefault="00C17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4" w:type="dxa"/>
            <w:vAlign w:val="center"/>
          </w:tcPr>
          <w:p w14:paraId="685B25F7" w14:textId="77777777" w:rsidR="00C17C30" w:rsidRPr="00BF70ED" w:rsidRDefault="00C17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</w:tcPr>
          <w:p w14:paraId="0BCC5E62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14:paraId="3A4D8D6C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14:paraId="4C374E70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00C8EF3D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05D3BD8E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78B90F6D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Data availability</w:t>
            </w:r>
          </w:p>
        </w:tc>
        <w:tc>
          <w:tcPr>
            <w:tcW w:w="531" w:type="dxa"/>
            <w:vAlign w:val="center"/>
          </w:tcPr>
          <w:p w14:paraId="6E91C08E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944" w:type="dxa"/>
            <w:vAlign w:val="center"/>
          </w:tcPr>
          <w:p w14:paraId="68950071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images along with segmentation data [n/e]</w:t>
            </w:r>
          </w:p>
        </w:tc>
        <w:tc>
          <w:tcPr>
            <w:tcW w:w="541" w:type="dxa"/>
          </w:tcPr>
          <w:p w14:paraId="373EEECE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045C2311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DB9E890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01BCEA7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5D7C9D2D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71B9EBE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69A5B4AA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944" w:type="dxa"/>
            <w:vAlign w:val="center"/>
          </w:tcPr>
          <w:p w14:paraId="1510CF34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radiomic feature data</w:t>
            </w:r>
          </w:p>
        </w:tc>
        <w:tc>
          <w:tcPr>
            <w:tcW w:w="541" w:type="dxa"/>
          </w:tcPr>
          <w:p w14:paraId="40E9B184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604BF48F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CF20975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4C61C2D7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80E4CFE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0A6B6D8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Code availability</w:t>
            </w:r>
          </w:p>
        </w:tc>
        <w:tc>
          <w:tcPr>
            <w:tcW w:w="531" w:type="dxa"/>
            <w:vAlign w:val="center"/>
          </w:tcPr>
          <w:p w14:paraId="66C13ABB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944" w:type="dxa"/>
            <w:vAlign w:val="center"/>
          </w:tcPr>
          <w:p w14:paraId="1DF715F7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pre-processing scripts or settings</w:t>
            </w:r>
          </w:p>
        </w:tc>
        <w:tc>
          <w:tcPr>
            <w:tcW w:w="541" w:type="dxa"/>
          </w:tcPr>
          <w:p w14:paraId="2B126C24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7CCB5886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200FF668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1F6CB2A6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2752982B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47AC7913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3EADAEB6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944" w:type="dxa"/>
            <w:vAlign w:val="center"/>
          </w:tcPr>
          <w:p w14:paraId="281449AB" w14:textId="701A8C36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source code for modeling</w:t>
            </w:r>
          </w:p>
        </w:tc>
        <w:tc>
          <w:tcPr>
            <w:tcW w:w="541" w:type="dxa"/>
          </w:tcPr>
          <w:p w14:paraId="2D5AFEE3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16F1152C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39C5F022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799A1633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548AC75" w14:textId="77777777" w:rsidTr="00C17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26A463FE" w14:textId="77777777" w:rsidR="00C17C30" w:rsidRPr="00BF70ED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Model availability</w:t>
            </w:r>
          </w:p>
        </w:tc>
        <w:tc>
          <w:tcPr>
            <w:tcW w:w="531" w:type="dxa"/>
            <w:vAlign w:val="center"/>
          </w:tcPr>
          <w:p w14:paraId="0B9CCDDC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944" w:type="dxa"/>
            <w:vAlign w:val="center"/>
          </w:tcPr>
          <w:p w14:paraId="19922872" w14:textId="77777777" w:rsidR="00C17C30" w:rsidRPr="00BF70E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final model files</w:t>
            </w:r>
          </w:p>
        </w:tc>
        <w:tc>
          <w:tcPr>
            <w:tcW w:w="541" w:type="dxa"/>
          </w:tcPr>
          <w:p w14:paraId="172667BF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3766C50E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7CA28C8A" w14:textId="77777777" w:rsidR="00C17C30" w:rsidRPr="00BF70ED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02F67DE7" w14:textId="77777777" w:rsidR="00C17C30" w:rsidRPr="00BF70ED" w:rsidRDefault="00C17C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17C30" w:rsidRPr="00BF70ED" w14:paraId="4C8DAEF7" w14:textId="77777777" w:rsidTr="00C17C3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2" w:type="dxa"/>
            <w:vAlign w:val="center"/>
          </w:tcPr>
          <w:p w14:paraId="100CDE6C" w14:textId="77777777" w:rsidR="00C17C30" w:rsidRPr="00BF70ED" w:rsidRDefault="00C17C3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58BD9E83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944" w:type="dxa"/>
            <w:vAlign w:val="center"/>
          </w:tcPr>
          <w:p w14:paraId="7D76FA27" w14:textId="77777777" w:rsidR="00C17C30" w:rsidRPr="00BF70E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70ED">
              <w:rPr>
                <w:rFonts w:ascii="Times New Roman" w:eastAsia="Times New Roman" w:hAnsi="Times New Roman" w:cs="Times New Roman"/>
                <w:sz w:val="18"/>
                <w:szCs w:val="18"/>
              </w:rPr>
              <w:t>Sharing a ready-to-use system [n/e]</w:t>
            </w:r>
          </w:p>
        </w:tc>
        <w:tc>
          <w:tcPr>
            <w:tcW w:w="541" w:type="dxa"/>
          </w:tcPr>
          <w:p w14:paraId="58679FF4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08" w:type="dxa"/>
          </w:tcPr>
          <w:p w14:paraId="1A70422A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70" w:type="dxa"/>
          </w:tcPr>
          <w:p w14:paraId="5FA6F5A9" w14:textId="77777777" w:rsidR="00C17C30" w:rsidRPr="00BF70E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0ED"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75" w:type="dxa"/>
          </w:tcPr>
          <w:p w14:paraId="232B3B46" w14:textId="77777777" w:rsidR="00C17C30" w:rsidRPr="00BF70ED" w:rsidRDefault="00C17C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27E1EF5" w14:textId="77777777" w:rsidR="00C17C30" w:rsidRPr="00C37E63" w:rsidRDefault="00000000">
      <w:pPr>
        <w:spacing w:after="0"/>
        <w:rPr>
          <w:sz w:val="18"/>
          <w:szCs w:val="18"/>
        </w:rPr>
      </w:pPr>
      <w:r w:rsidRPr="00C37E63">
        <w:rPr>
          <w:b/>
          <w:sz w:val="18"/>
          <w:szCs w:val="18"/>
        </w:rPr>
        <w:t>Yes</w:t>
      </w:r>
      <w:r w:rsidRPr="00C37E63">
        <w:rPr>
          <w:sz w:val="18"/>
          <w:szCs w:val="18"/>
        </w:rPr>
        <w:t xml:space="preserve">, details provided; </w:t>
      </w:r>
      <w:r w:rsidRPr="00C37E63">
        <w:rPr>
          <w:b/>
          <w:sz w:val="18"/>
          <w:szCs w:val="18"/>
        </w:rPr>
        <w:t>No</w:t>
      </w:r>
      <w:r w:rsidRPr="00C37E63">
        <w:rPr>
          <w:sz w:val="18"/>
          <w:szCs w:val="18"/>
        </w:rPr>
        <w:t xml:space="preserve">, details not provided; </w:t>
      </w:r>
      <w:r w:rsidRPr="00C37E63">
        <w:rPr>
          <w:b/>
          <w:sz w:val="18"/>
          <w:szCs w:val="18"/>
        </w:rPr>
        <w:t>n/e</w:t>
      </w:r>
      <w:r w:rsidRPr="00C37E63">
        <w:rPr>
          <w:sz w:val="18"/>
          <w:szCs w:val="18"/>
        </w:rPr>
        <w:t xml:space="preserve">, not essential; </w:t>
      </w:r>
      <w:r w:rsidRPr="00C37E63">
        <w:rPr>
          <w:b/>
          <w:sz w:val="18"/>
          <w:szCs w:val="18"/>
        </w:rPr>
        <w:t>n/a</w:t>
      </w:r>
      <w:r w:rsidRPr="00C37E63">
        <w:rPr>
          <w:sz w:val="18"/>
          <w:szCs w:val="18"/>
        </w:rPr>
        <w:t>, not applicable</w:t>
      </w:r>
    </w:p>
    <w:p w14:paraId="6B76860D" w14:textId="77777777" w:rsidR="00C17C30" w:rsidRPr="00C37E63" w:rsidRDefault="00C17C30">
      <w:pPr>
        <w:spacing w:after="0"/>
        <w:rPr>
          <w:sz w:val="18"/>
          <w:szCs w:val="18"/>
        </w:rPr>
      </w:pPr>
    </w:p>
    <w:p w14:paraId="55143A69" w14:textId="6C9A59BC" w:rsidR="00C17C30" w:rsidRPr="00C37E63" w:rsidRDefault="00000000" w:rsidP="00147678">
      <w:pPr>
        <w:spacing w:after="0"/>
        <w:rPr>
          <w:sz w:val="18"/>
          <w:szCs w:val="18"/>
        </w:rPr>
      </w:pPr>
      <w:r w:rsidRPr="00C37E63">
        <w:rPr>
          <w:sz w:val="18"/>
          <w:szCs w:val="18"/>
        </w:rPr>
        <w:t>Note: Use the checklist in conjunction with the main text for clarification of all items. Fill the “Page” column with the related page number where the information is provided.</w:t>
      </w:r>
    </w:p>
    <w:p w14:paraId="0411A2E4" w14:textId="77777777" w:rsidR="00C17C30" w:rsidRPr="00BF70ED" w:rsidRDefault="00C17C30">
      <w:pPr>
        <w:spacing w:line="360" w:lineRule="auto"/>
        <w:rPr>
          <w:sz w:val="24"/>
          <w:szCs w:val="24"/>
        </w:rPr>
      </w:pPr>
    </w:p>
    <w:p w14:paraId="33A2C904" w14:textId="77777777" w:rsidR="00C17C30" w:rsidRPr="00BF70ED" w:rsidRDefault="00C17C30">
      <w:pPr>
        <w:spacing w:after="0"/>
        <w:rPr>
          <w:b/>
          <w:sz w:val="24"/>
          <w:szCs w:val="24"/>
        </w:rPr>
      </w:pPr>
    </w:p>
    <w:p w14:paraId="07065D2C" w14:textId="77777777" w:rsidR="00C17C30" w:rsidRPr="00BF70ED" w:rsidRDefault="00C17C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b/>
          <w:sz w:val="24"/>
          <w:szCs w:val="24"/>
        </w:rPr>
      </w:pPr>
    </w:p>
    <w:sectPr w:rsidR="00C17C30" w:rsidRPr="00BF70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ADFAB" w14:textId="77777777" w:rsidR="00C31F35" w:rsidRDefault="00C31F35">
      <w:pPr>
        <w:spacing w:after="0"/>
      </w:pPr>
      <w:r>
        <w:separator/>
      </w:r>
    </w:p>
  </w:endnote>
  <w:endnote w:type="continuationSeparator" w:id="0">
    <w:p w14:paraId="44DE4612" w14:textId="77777777" w:rsidR="00C31F35" w:rsidRDefault="00C31F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4C758" w14:textId="1CEFFCCE" w:rsidR="00C17C30" w:rsidRDefault="007260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left"/>
      <w:rPr>
        <w:color w:val="000000"/>
        <w:sz w:val="24"/>
        <w:szCs w:val="24"/>
      </w:rPr>
    </w:pPr>
    <w:r w:rsidRPr="007260E6">
      <w:rPr>
        <w:color w:val="000000"/>
        <w:sz w:val="24"/>
        <w:szCs w:val="24"/>
      </w:rPr>
      <w:t>Insights Imaging (2023) Kocak B, Baessler B, Bakas S et 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2ABFD" w14:textId="77777777" w:rsidR="00C31F35" w:rsidRDefault="00C31F35">
      <w:pPr>
        <w:spacing w:after="0"/>
      </w:pPr>
      <w:r>
        <w:separator/>
      </w:r>
    </w:p>
  </w:footnote>
  <w:footnote w:type="continuationSeparator" w:id="0">
    <w:p w14:paraId="4192F8FB" w14:textId="77777777" w:rsidR="00C31F35" w:rsidRDefault="00C31F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0043B" w14:textId="77777777" w:rsidR="00C17C30" w:rsidRDefault="00C17C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left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67723"/>
    <w:multiLevelType w:val="multilevel"/>
    <w:tmpl w:val="ADC00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2645E5"/>
    <w:multiLevelType w:val="multilevel"/>
    <w:tmpl w:val="4B348C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58829650">
    <w:abstractNumId w:val="1"/>
  </w:num>
  <w:num w:numId="2" w16cid:durableId="1467045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3M7MwMTe0MDc2MjNQ0lEKTi0uzszPAymwrAUAUPWX4SwAAAA="/>
  </w:docVars>
  <w:rsids>
    <w:rsidRoot w:val="00C17C30"/>
    <w:rsid w:val="000C21F3"/>
    <w:rsid w:val="00103FD7"/>
    <w:rsid w:val="00147678"/>
    <w:rsid w:val="00154938"/>
    <w:rsid w:val="001B33D9"/>
    <w:rsid w:val="00523267"/>
    <w:rsid w:val="006B510B"/>
    <w:rsid w:val="0070493E"/>
    <w:rsid w:val="007260E6"/>
    <w:rsid w:val="00781204"/>
    <w:rsid w:val="0079518B"/>
    <w:rsid w:val="007A4E68"/>
    <w:rsid w:val="0097478D"/>
    <w:rsid w:val="00BF70ED"/>
    <w:rsid w:val="00C17C30"/>
    <w:rsid w:val="00C31F35"/>
    <w:rsid w:val="00C37E63"/>
    <w:rsid w:val="00D67719"/>
    <w:rsid w:val="00E230DD"/>
    <w:rsid w:val="00E54C28"/>
    <w:rsid w:val="00FF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863C0D"/>
  <w15:docId w15:val="{416752C8-DFB0-4D00-A26C-B0FB26AB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tr-TR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b/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b/>
      <w:i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/>
      <w:jc w:val="left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unhideWhenUsed/>
    <w:rsid w:val="007260E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260E6"/>
  </w:style>
  <w:style w:type="paragraph" w:styleId="Footer">
    <w:name w:val="footer"/>
    <w:basedOn w:val="Normal"/>
    <w:link w:val="FooterChar"/>
    <w:uiPriority w:val="99"/>
    <w:unhideWhenUsed/>
    <w:rsid w:val="007260E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26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burak</cp:lastModifiedBy>
  <cp:revision>17</cp:revision>
  <dcterms:created xsi:type="dcterms:W3CDTF">2023-03-20T06:20:00Z</dcterms:created>
  <dcterms:modified xsi:type="dcterms:W3CDTF">2023-04-13T11:41:00Z</dcterms:modified>
</cp:coreProperties>
</file>