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86AF2" w14:textId="77777777" w:rsidR="006A3939" w:rsidRPr="00A71FD3" w:rsidRDefault="006A3939" w:rsidP="006A3939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A71FD3">
        <w:rPr>
          <w:rFonts w:ascii="Arial" w:hAnsi="Arial" w:cs="Arial"/>
          <w:b/>
          <w:bCs/>
          <w:sz w:val="22"/>
          <w:szCs w:val="22"/>
        </w:rPr>
        <w:t>Solitary lung adenocarcinoma: follow-up CT, pathological-molecular characteristics, and surgical prognosis for different morphological classifications</w:t>
      </w:r>
    </w:p>
    <w:p w14:paraId="0E1B87DB" w14:textId="77777777" w:rsidR="006A3939" w:rsidRPr="00A71FD3" w:rsidRDefault="006A3939" w:rsidP="006A3939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CB9AFDD" w14:textId="77777777" w:rsidR="006A3939" w:rsidRPr="00A71FD3" w:rsidRDefault="006A3939" w:rsidP="006A3939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71FD3">
        <w:rPr>
          <w:rFonts w:ascii="Arial" w:hAnsi="Arial" w:cs="Arial"/>
          <w:b/>
          <w:bCs/>
          <w:sz w:val="22"/>
          <w:szCs w:val="22"/>
        </w:rPr>
        <w:t>ELECTRONIC SUPPLEMENTARY MATERIAL</w:t>
      </w:r>
    </w:p>
    <w:p w14:paraId="55676384" w14:textId="77777777" w:rsidR="006A3939" w:rsidRPr="00A71FD3" w:rsidRDefault="006A3939" w:rsidP="006A3939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123C4CA4" w14:textId="4A8B19BE" w:rsidR="000435C2" w:rsidRPr="00A71FD3" w:rsidRDefault="00177EB8" w:rsidP="006A3939">
      <w:pPr>
        <w:spacing w:line="480" w:lineRule="auto"/>
        <w:rPr>
          <w:rFonts w:ascii="Arial" w:hAnsi="Arial" w:cs="Arial"/>
          <w:sz w:val="22"/>
          <w:szCs w:val="22"/>
        </w:rPr>
      </w:pPr>
      <w:r w:rsidRPr="00A71FD3">
        <w:rPr>
          <w:rFonts w:ascii="Arial" w:hAnsi="Arial" w:cs="Arial"/>
          <w:sz w:val="22"/>
          <w:szCs w:val="22"/>
        </w:rPr>
        <w:t xml:space="preserve">The specific definition of CT features analyzed and measured by </w:t>
      </w:r>
      <w:r w:rsidRPr="00A71FD3">
        <w:rPr>
          <w:rFonts w:ascii="Arial" w:hAnsi="Arial" w:cs="Arial"/>
          <w:sz w:val="22"/>
          <w:szCs w:val="22"/>
        </w:rPr>
        <w:t>radiologists were as follows:</w:t>
      </w:r>
    </w:p>
    <w:p w14:paraId="2E54F676" w14:textId="77777777" w:rsidR="000435C2" w:rsidRPr="00A71FD3" w:rsidRDefault="00177EB8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A71FD3">
        <w:rPr>
          <w:rFonts w:ascii="Arial" w:hAnsi="Arial" w:cs="Arial"/>
          <w:sz w:val="22"/>
          <w:szCs w:val="22"/>
        </w:rPr>
        <w:t xml:space="preserve">(1) location (left upper and lower lobes or right upper, middle and lower lobes); (2) size (longest diameter of tumor </w:t>
      </w:r>
      <w:bookmarkStart w:id="1" w:name="_Hlk132879313"/>
      <w:r w:rsidRPr="00A71FD3">
        <w:rPr>
          <w:rFonts w:ascii="Arial" w:hAnsi="Arial" w:cs="Arial"/>
          <w:sz w:val="22"/>
          <w:szCs w:val="22"/>
        </w:rPr>
        <w:t>in the lung window setting</w:t>
      </w:r>
      <w:bookmarkEnd w:id="1"/>
      <w:r w:rsidRPr="00A71FD3">
        <w:rPr>
          <w:rFonts w:ascii="Arial" w:hAnsi="Arial" w:cs="Arial"/>
          <w:sz w:val="22"/>
          <w:szCs w:val="22"/>
        </w:rPr>
        <w:t xml:space="preserve">); (3) shape (regular [round or oval] or irregular [having an uneven contour that </w:t>
      </w:r>
      <w:r w:rsidRPr="00A71FD3">
        <w:rPr>
          <w:rFonts w:ascii="Arial" w:hAnsi="Arial" w:cs="Arial"/>
          <w:sz w:val="22"/>
          <w:szCs w:val="22"/>
        </w:rPr>
        <w:t>cannot be classified as round or oval]); (4) boundary (well-defined or ill-defined); (5) lobulation (irregular margins with arc-shaped swelling); (6) s</w:t>
      </w:r>
      <w:hyperlink r:id="rId7" w:history="1">
        <w:r w:rsidRPr="00A71FD3">
          <w:rPr>
            <w:rFonts w:ascii="Arial" w:hAnsi="Arial" w:cs="Arial"/>
            <w:sz w:val="22"/>
            <w:szCs w:val="22"/>
          </w:rPr>
          <w:t>piculatio</w:t>
        </w:r>
      </w:hyperlink>
      <w:r w:rsidRPr="00A71FD3">
        <w:rPr>
          <w:rFonts w:ascii="Arial" w:hAnsi="Arial" w:cs="Arial"/>
          <w:sz w:val="22"/>
          <w:szCs w:val="22"/>
        </w:rPr>
        <w:t>n (small burrs protruding around the lesion); (7) CT value of tumor</w:t>
      </w:r>
      <w:r w:rsidRPr="00A71FD3">
        <w:rPr>
          <w:rFonts w:ascii="Arial" w:hAnsi="Arial" w:cs="Arial"/>
          <w:sz w:val="22"/>
          <w:szCs w:val="22"/>
        </w:rPr>
        <w:t xml:space="preserve"> (largest section of the tumor for each patient was selected from axial CT images in the lung window setting [window width: 1600HU; window level: −600HU]; for tumor with homogeneous density, a circular region of interest [ROI] was drawn to include more tha</w:t>
      </w:r>
      <w:r w:rsidRPr="00A71FD3">
        <w:rPr>
          <w:rFonts w:ascii="Arial" w:hAnsi="Arial" w:cs="Arial"/>
          <w:sz w:val="22"/>
          <w:szCs w:val="22"/>
        </w:rPr>
        <w:t xml:space="preserve">n half of the entire tumor, while for tumors with heterogeneous density, two circular ROIs as large as possible were placed on ground-glass opacity [GGO] and solid regions of the lesion, cautiously avoiding air space and vessels within the tumor); (8) air </w:t>
      </w:r>
      <w:r w:rsidRPr="00A71FD3">
        <w:rPr>
          <w:rFonts w:ascii="Arial" w:hAnsi="Arial" w:cs="Arial"/>
          <w:sz w:val="22"/>
          <w:szCs w:val="22"/>
        </w:rPr>
        <w:t xml:space="preserve">bronchogram (branched or tubular air structure within </w:t>
      </w:r>
      <w:r w:rsidRPr="00A71FD3">
        <w:rPr>
          <w:rFonts w:ascii="Arial" w:hAnsi="Arial" w:cs="Arial"/>
          <w:sz w:val="22"/>
          <w:szCs w:val="22"/>
        </w:rPr>
        <w:lastRenderedPageBreak/>
        <w:t>tumors); (9) air space (round or oval air attenuation within the tumor); (10) pleural retraction (linear structures connected between the tumor and pleura); (11) pleural attachment (tumor attached to th</w:t>
      </w:r>
      <w:r w:rsidRPr="00A71FD3">
        <w:rPr>
          <w:rFonts w:ascii="Arial" w:hAnsi="Arial" w:cs="Arial"/>
          <w:sz w:val="22"/>
          <w:szCs w:val="22"/>
        </w:rPr>
        <w:t>e pleura with the margin obscured by the pleura); (12) vessel convergence sign (whether one or more vascular structures were pulled toward or through the tumors); (13) lymphadenopathy (hilar or mediastinal lymph nodes with short-axis diameter of &gt;1 cm); (1</w:t>
      </w:r>
      <w:r w:rsidRPr="00A71FD3">
        <w:rPr>
          <w:rFonts w:ascii="Arial" w:hAnsi="Arial" w:cs="Arial"/>
          <w:sz w:val="22"/>
          <w:szCs w:val="22"/>
        </w:rPr>
        <w:t>4) pleural effusion (fluid accumulation in the pleural cavity); (15) cyst wall thickness (measured from the thickest part of the cyst wall); (16) septation within the cyst (linear separation within the cystic space); (17) GGO component (GGO mixed with cons</w:t>
      </w:r>
      <w:r w:rsidRPr="00A71FD3">
        <w:rPr>
          <w:rFonts w:ascii="Arial" w:hAnsi="Arial" w:cs="Arial"/>
          <w:sz w:val="22"/>
          <w:szCs w:val="22"/>
        </w:rPr>
        <w:t>olidation or well-defined GGO around consolidation).</w:t>
      </w:r>
    </w:p>
    <w:p w14:paraId="0C7FE044" w14:textId="77777777" w:rsidR="000435C2" w:rsidRPr="00A71FD3" w:rsidRDefault="000435C2">
      <w:pPr>
        <w:jc w:val="center"/>
        <w:rPr>
          <w:rFonts w:ascii="Arial" w:hAnsi="Arial" w:cs="Arial"/>
          <w:sz w:val="22"/>
          <w:szCs w:val="22"/>
        </w:rPr>
      </w:pPr>
    </w:p>
    <w:p w14:paraId="7B8B308D" w14:textId="77777777" w:rsidR="006A3939" w:rsidRPr="00A71FD3" w:rsidRDefault="006A3939">
      <w:pPr>
        <w:widowControl/>
        <w:jc w:val="left"/>
        <w:rPr>
          <w:rFonts w:ascii="Arial" w:hAnsi="Arial" w:cs="Arial"/>
          <w:b/>
          <w:bCs/>
          <w:sz w:val="22"/>
          <w:szCs w:val="22"/>
        </w:rPr>
      </w:pPr>
      <w:r w:rsidRPr="00A71FD3">
        <w:rPr>
          <w:rFonts w:ascii="Arial" w:hAnsi="Arial" w:cs="Arial"/>
          <w:b/>
          <w:bCs/>
          <w:sz w:val="22"/>
          <w:szCs w:val="22"/>
        </w:rPr>
        <w:br w:type="page"/>
      </w:r>
    </w:p>
    <w:p w14:paraId="20CB4A8D" w14:textId="10CF995C" w:rsidR="000435C2" w:rsidRPr="00A71FD3" w:rsidRDefault="00177EB8">
      <w:pPr>
        <w:rPr>
          <w:rFonts w:ascii="Arial" w:hAnsi="Arial" w:cs="Arial"/>
          <w:b/>
          <w:bCs/>
          <w:sz w:val="22"/>
          <w:szCs w:val="22"/>
        </w:rPr>
      </w:pPr>
      <w:r w:rsidRPr="00A71FD3"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Table 1. </w:t>
      </w:r>
      <w:r w:rsidR="00A71FD3" w:rsidRPr="00A71FD3">
        <w:rPr>
          <w:rFonts w:ascii="Arial" w:hAnsi="Arial" w:cs="Arial"/>
          <w:b/>
          <w:bCs/>
          <w:sz w:val="22"/>
          <w:szCs w:val="22"/>
        </w:rPr>
        <w:br/>
      </w:r>
      <w:r w:rsidR="00A71FD3" w:rsidRPr="00A71FD3">
        <w:rPr>
          <w:rFonts w:ascii="Arial" w:hAnsi="Arial" w:cs="Arial"/>
          <w:szCs w:val="21"/>
        </w:rPr>
        <w:t>ICC values for CT features of type I-IV tumors between two observers</w:t>
      </w:r>
    </w:p>
    <w:tbl>
      <w:tblPr>
        <w:tblStyle w:val="TableGrid"/>
        <w:tblpPr w:leftFromText="180" w:rightFromText="180" w:vertAnchor="page" w:horzAnchor="margin" w:tblpY="3325"/>
        <w:tblOverlap w:val="never"/>
        <w:tblW w:w="14223" w:type="dxa"/>
        <w:tblLayout w:type="fixed"/>
        <w:tblLook w:val="04A0" w:firstRow="1" w:lastRow="0" w:firstColumn="1" w:lastColumn="0" w:noHBand="0" w:noVBand="1"/>
      </w:tblPr>
      <w:tblGrid>
        <w:gridCol w:w="2768"/>
        <w:gridCol w:w="1415"/>
        <w:gridCol w:w="2430"/>
        <w:gridCol w:w="975"/>
        <w:gridCol w:w="2412"/>
        <w:gridCol w:w="812"/>
        <w:gridCol w:w="2436"/>
        <w:gridCol w:w="975"/>
      </w:tblGrid>
      <w:tr w:rsidR="00A71FD3" w:rsidRPr="00A71FD3" w14:paraId="72313DF6" w14:textId="77777777" w:rsidTr="00A71FD3">
        <w:trPr>
          <w:trHeight w:val="23"/>
        </w:trPr>
        <w:tc>
          <w:tcPr>
            <w:tcW w:w="2768" w:type="dxa"/>
          </w:tcPr>
          <w:p w14:paraId="7633B3FB" w14:textId="77777777" w:rsidR="00A71FD3" w:rsidRPr="00A71FD3" w:rsidRDefault="00A71FD3" w:rsidP="00A71FD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br/>
              <w:t>Type I</w:t>
            </w:r>
          </w:p>
        </w:tc>
        <w:tc>
          <w:tcPr>
            <w:tcW w:w="1415" w:type="dxa"/>
          </w:tcPr>
          <w:p w14:paraId="388CAAC1" w14:textId="77777777" w:rsidR="00A71FD3" w:rsidRPr="00A71FD3" w:rsidRDefault="00A71FD3" w:rsidP="00A71FD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ICC values</w:t>
            </w:r>
          </w:p>
        </w:tc>
        <w:tc>
          <w:tcPr>
            <w:tcW w:w="2430" w:type="dxa"/>
          </w:tcPr>
          <w:p w14:paraId="077F90A6" w14:textId="77777777" w:rsidR="00A71FD3" w:rsidRPr="00A71FD3" w:rsidRDefault="00A71FD3" w:rsidP="00A71FD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Type II</w:t>
            </w:r>
          </w:p>
        </w:tc>
        <w:tc>
          <w:tcPr>
            <w:tcW w:w="975" w:type="dxa"/>
          </w:tcPr>
          <w:p w14:paraId="43DCDE50" w14:textId="77777777" w:rsidR="00A71FD3" w:rsidRPr="00A71FD3" w:rsidRDefault="00A71FD3" w:rsidP="00A71FD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ICC</w:t>
            </w:r>
          </w:p>
          <w:p w14:paraId="0B496AC6" w14:textId="77777777" w:rsidR="00A71FD3" w:rsidRPr="00A71FD3" w:rsidRDefault="00A71FD3" w:rsidP="00A71FD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values</w:t>
            </w:r>
          </w:p>
        </w:tc>
        <w:tc>
          <w:tcPr>
            <w:tcW w:w="2412" w:type="dxa"/>
          </w:tcPr>
          <w:p w14:paraId="1A91DAE4" w14:textId="77777777" w:rsidR="00A71FD3" w:rsidRPr="00A71FD3" w:rsidRDefault="00A71FD3" w:rsidP="00A71FD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Type III</w:t>
            </w:r>
          </w:p>
        </w:tc>
        <w:tc>
          <w:tcPr>
            <w:tcW w:w="812" w:type="dxa"/>
          </w:tcPr>
          <w:p w14:paraId="68870FB4" w14:textId="77777777" w:rsidR="00A71FD3" w:rsidRPr="00A71FD3" w:rsidRDefault="00A71FD3" w:rsidP="00A71FD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ICC</w:t>
            </w:r>
          </w:p>
          <w:p w14:paraId="2072530B" w14:textId="77777777" w:rsidR="00A71FD3" w:rsidRPr="00A71FD3" w:rsidRDefault="00A71FD3" w:rsidP="00A71FD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values</w:t>
            </w:r>
          </w:p>
        </w:tc>
        <w:tc>
          <w:tcPr>
            <w:tcW w:w="2436" w:type="dxa"/>
          </w:tcPr>
          <w:p w14:paraId="5CE8A0FD" w14:textId="77777777" w:rsidR="00A71FD3" w:rsidRPr="00A71FD3" w:rsidRDefault="00A71FD3" w:rsidP="00A71FD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Type IV</w:t>
            </w:r>
          </w:p>
        </w:tc>
        <w:tc>
          <w:tcPr>
            <w:tcW w:w="975" w:type="dxa"/>
          </w:tcPr>
          <w:p w14:paraId="6374FB80" w14:textId="77777777" w:rsidR="00A71FD3" w:rsidRPr="00A71FD3" w:rsidRDefault="00A71FD3" w:rsidP="00A71FD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ICC</w:t>
            </w:r>
          </w:p>
          <w:p w14:paraId="19E1456E" w14:textId="77777777" w:rsidR="00A71FD3" w:rsidRPr="00A71FD3" w:rsidRDefault="00A71FD3" w:rsidP="00A71FD3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values</w:t>
            </w:r>
          </w:p>
        </w:tc>
      </w:tr>
      <w:tr w:rsidR="00A71FD3" w:rsidRPr="00A71FD3" w14:paraId="7663A697" w14:textId="77777777" w:rsidTr="00A71FD3">
        <w:trPr>
          <w:trHeight w:val="4156"/>
        </w:trPr>
        <w:tc>
          <w:tcPr>
            <w:tcW w:w="2768" w:type="dxa"/>
          </w:tcPr>
          <w:p w14:paraId="6622FEA0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Location</w:t>
            </w:r>
          </w:p>
          <w:p w14:paraId="678F2E7E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Size</w:t>
            </w:r>
          </w:p>
          <w:p w14:paraId="7AF786F7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Shape</w:t>
            </w:r>
          </w:p>
          <w:p w14:paraId="0501A0DA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Lobulation</w:t>
            </w:r>
          </w:p>
          <w:p w14:paraId="2A848D0F" w14:textId="77777777" w:rsidR="00A71FD3" w:rsidRPr="00A71FD3" w:rsidRDefault="00177EB8" w:rsidP="00A71FD3">
            <w:pPr>
              <w:rPr>
                <w:rFonts w:ascii="Arial" w:hAnsi="Arial" w:cs="Arial"/>
                <w:sz w:val="22"/>
                <w:szCs w:val="22"/>
              </w:rPr>
            </w:pPr>
            <w:hyperlink r:id="rId8" w:history="1">
              <w:r w:rsidR="00A71FD3" w:rsidRPr="00A71FD3">
                <w:rPr>
                  <w:rFonts w:ascii="Arial" w:hAnsi="Arial" w:cs="Arial"/>
                  <w:sz w:val="22"/>
                  <w:szCs w:val="22"/>
                </w:rPr>
                <w:t>Spiculation</w:t>
              </w:r>
            </w:hyperlink>
          </w:p>
          <w:p w14:paraId="3A244554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Air bronchogram sign</w:t>
            </w:r>
          </w:p>
          <w:p w14:paraId="1C8468EE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Air space</w:t>
            </w:r>
          </w:p>
          <w:p w14:paraId="1EBA3BE5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Pleural retraction</w:t>
            </w:r>
          </w:p>
          <w:p w14:paraId="699873F7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Pleural attachment</w:t>
            </w:r>
          </w:p>
          <w:p w14:paraId="18A5B847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Vessel convergence sign</w:t>
            </w:r>
          </w:p>
          <w:p w14:paraId="289B44B3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Lymphadenopathy</w:t>
            </w:r>
          </w:p>
          <w:p w14:paraId="67A756C0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Pleural effusion</w:t>
            </w:r>
          </w:p>
        </w:tc>
        <w:tc>
          <w:tcPr>
            <w:tcW w:w="1415" w:type="dxa"/>
          </w:tcPr>
          <w:p w14:paraId="19B7E7C8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  <w:p w14:paraId="3F43A9F0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0.954</w:t>
            </w:r>
          </w:p>
          <w:p w14:paraId="21DB4491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0.962</w:t>
            </w:r>
          </w:p>
          <w:p w14:paraId="73E2231F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0.936</w:t>
            </w:r>
          </w:p>
          <w:p w14:paraId="456A6229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0.930</w:t>
            </w:r>
          </w:p>
          <w:p w14:paraId="1D448927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0.978</w:t>
            </w:r>
          </w:p>
          <w:p w14:paraId="694E50DE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0.969</w:t>
            </w:r>
          </w:p>
          <w:p w14:paraId="7C813B39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0.930</w:t>
            </w:r>
          </w:p>
          <w:p w14:paraId="04C9ED1A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0.978</w:t>
            </w:r>
          </w:p>
          <w:p w14:paraId="5199A76E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0.898</w:t>
            </w:r>
          </w:p>
          <w:p w14:paraId="0EB90E84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0.920</w:t>
            </w:r>
          </w:p>
          <w:p w14:paraId="6C6E927A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</w:tc>
        <w:tc>
          <w:tcPr>
            <w:tcW w:w="2430" w:type="dxa"/>
          </w:tcPr>
          <w:p w14:paraId="68F638D2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Location</w:t>
            </w:r>
          </w:p>
          <w:p w14:paraId="48EEBCB6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 xml:space="preserve">Size </w:t>
            </w:r>
          </w:p>
          <w:p w14:paraId="09CA6597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Shape</w:t>
            </w:r>
          </w:p>
          <w:p w14:paraId="34A812AB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CT value of tumor</w:t>
            </w:r>
          </w:p>
          <w:p w14:paraId="2EE10888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Lobulation</w:t>
            </w:r>
          </w:p>
          <w:p w14:paraId="0A111E27" w14:textId="77777777" w:rsidR="00A71FD3" w:rsidRPr="00A71FD3" w:rsidRDefault="00177EB8" w:rsidP="00A71FD3">
            <w:pPr>
              <w:rPr>
                <w:rFonts w:ascii="Arial" w:hAnsi="Arial" w:cs="Arial"/>
                <w:sz w:val="22"/>
                <w:szCs w:val="22"/>
              </w:rPr>
            </w:pPr>
            <w:hyperlink r:id="rId9" w:history="1">
              <w:r w:rsidR="00A71FD3" w:rsidRPr="00A71FD3">
                <w:rPr>
                  <w:rFonts w:ascii="Arial" w:hAnsi="Arial" w:cs="Arial"/>
                  <w:sz w:val="22"/>
                  <w:szCs w:val="22"/>
                </w:rPr>
                <w:t>Spiculation</w:t>
              </w:r>
            </w:hyperlink>
          </w:p>
          <w:p w14:paraId="4DBE825A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Air bronchogram sign</w:t>
            </w:r>
          </w:p>
          <w:p w14:paraId="209B9BC7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Air space</w:t>
            </w:r>
          </w:p>
          <w:p w14:paraId="0CB3D60C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Pleural retraction</w:t>
            </w:r>
          </w:p>
          <w:p w14:paraId="6A27390A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Pleural attachment</w:t>
            </w:r>
          </w:p>
          <w:p w14:paraId="7DC414B0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Vessel convergence sign</w:t>
            </w:r>
          </w:p>
          <w:p w14:paraId="665A9EE5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Lymphadenopathy</w:t>
            </w:r>
          </w:p>
          <w:p w14:paraId="3D8E93E1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Pleural effusion</w:t>
            </w:r>
          </w:p>
        </w:tc>
        <w:tc>
          <w:tcPr>
            <w:tcW w:w="975" w:type="dxa"/>
          </w:tcPr>
          <w:p w14:paraId="21CBECAA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  <w:p w14:paraId="27430C01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0.958</w:t>
            </w:r>
          </w:p>
          <w:p w14:paraId="52303876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0.956</w:t>
            </w:r>
          </w:p>
          <w:p w14:paraId="1EF2E641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0.936</w:t>
            </w:r>
          </w:p>
          <w:p w14:paraId="677807DB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0.945</w:t>
            </w:r>
          </w:p>
          <w:p w14:paraId="02D237E6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0.945</w:t>
            </w:r>
          </w:p>
          <w:p w14:paraId="55B73624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0.965</w:t>
            </w:r>
          </w:p>
          <w:p w14:paraId="70A4D6C6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0.977</w:t>
            </w:r>
          </w:p>
          <w:p w14:paraId="7ED056A6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0.939</w:t>
            </w:r>
          </w:p>
          <w:p w14:paraId="19990DBA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0.986</w:t>
            </w:r>
          </w:p>
          <w:p w14:paraId="1FB04FF2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0.899</w:t>
            </w:r>
          </w:p>
          <w:p w14:paraId="49F7B34E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0.945</w:t>
            </w:r>
          </w:p>
          <w:p w14:paraId="3EA6A09C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</w:tc>
        <w:tc>
          <w:tcPr>
            <w:tcW w:w="2412" w:type="dxa"/>
          </w:tcPr>
          <w:p w14:paraId="196C6262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Location</w:t>
            </w:r>
          </w:p>
          <w:p w14:paraId="6E06F7AE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Size</w:t>
            </w:r>
          </w:p>
          <w:p w14:paraId="1C58C340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Shape</w:t>
            </w:r>
          </w:p>
          <w:p w14:paraId="14473D9A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Cyst walls thickness</w:t>
            </w:r>
          </w:p>
          <w:p w14:paraId="0C12FE23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 xml:space="preserve">Septation within the cyst </w:t>
            </w:r>
          </w:p>
          <w:p w14:paraId="4FAC393D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GGO component</w:t>
            </w:r>
          </w:p>
          <w:p w14:paraId="1D1CBFAA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Pleural retraction</w:t>
            </w:r>
          </w:p>
          <w:p w14:paraId="72F1A2D0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Pleural attachment</w:t>
            </w:r>
          </w:p>
          <w:p w14:paraId="3AFFFF66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Vessel convergence sign</w:t>
            </w:r>
          </w:p>
          <w:p w14:paraId="09F5AD05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Lymphadenopathy</w:t>
            </w:r>
          </w:p>
          <w:p w14:paraId="30FB5ECD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Pleural effusion</w:t>
            </w:r>
          </w:p>
        </w:tc>
        <w:tc>
          <w:tcPr>
            <w:tcW w:w="812" w:type="dxa"/>
          </w:tcPr>
          <w:p w14:paraId="3670AAFA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  <w:p w14:paraId="1B5BFDC2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0.901</w:t>
            </w:r>
          </w:p>
          <w:p w14:paraId="3322B326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  <w:p w14:paraId="553F9112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  <w:p w14:paraId="02AD3855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  <w:p w14:paraId="4A56D1B8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  <w:p w14:paraId="7FB86C90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  <w:p w14:paraId="6129D6A8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  <w:p w14:paraId="1D1CDF19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0.828</w:t>
            </w:r>
          </w:p>
          <w:p w14:paraId="77A7836B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  <w:p w14:paraId="706988B1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</w:tc>
        <w:tc>
          <w:tcPr>
            <w:tcW w:w="2436" w:type="dxa"/>
          </w:tcPr>
          <w:p w14:paraId="1BADF300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Location</w:t>
            </w:r>
          </w:p>
          <w:p w14:paraId="7B5014D9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Size</w:t>
            </w:r>
          </w:p>
          <w:p w14:paraId="4A3CBE78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Shape</w:t>
            </w:r>
          </w:p>
          <w:p w14:paraId="1763E254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CT value of tumor</w:t>
            </w:r>
          </w:p>
          <w:p w14:paraId="6DEE7718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Air bronchogram sign</w:t>
            </w:r>
          </w:p>
          <w:p w14:paraId="705BD7F7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 xml:space="preserve">Air space </w:t>
            </w:r>
          </w:p>
          <w:p w14:paraId="0E790F80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GGO component</w:t>
            </w:r>
          </w:p>
          <w:p w14:paraId="55546336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Pleural retraction</w:t>
            </w:r>
          </w:p>
          <w:p w14:paraId="216EF3EC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Pleural attachment</w:t>
            </w:r>
          </w:p>
          <w:p w14:paraId="38906E64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Vessel convergence sign</w:t>
            </w:r>
          </w:p>
          <w:p w14:paraId="17E7BB03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Lymphadenopathy</w:t>
            </w:r>
          </w:p>
          <w:p w14:paraId="2FFE1CE9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Pleural effusion</w:t>
            </w:r>
          </w:p>
        </w:tc>
        <w:tc>
          <w:tcPr>
            <w:tcW w:w="975" w:type="dxa"/>
          </w:tcPr>
          <w:p w14:paraId="42A7E0AD" w14:textId="77777777" w:rsidR="00A71FD3" w:rsidRPr="00A71FD3" w:rsidRDefault="00A71FD3" w:rsidP="00A71FD3">
            <w:pPr>
              <w:rPr>
                <w:rFonts w:ascii="Arial" w:hAnsi="Arial" w:cs="Arial"/>
                <w:sz w:val="22"/>
                <w:szCs w:val="22"/>
              </w:rPr>
            </w:pPr>
            <w:r w:rsidRPr="00A71FD3">
              <w:rPr>
                <w:rFonts w:ascii="Arial" w:hAnsi="Arial" w:cs="Arial"/>
                <w:sz w:val="22"/>
                <w:szCs w:val="22"/>
              </w:rPr>
              <w:t>1.000</w:t>
            </w:r>
          </w:p>
          <w:p w14:paraId="3D631202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0.941</w:t>
            </w:r>
          </w:p>
          <w:p w14:paraId="1CB6A34E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1.000</w:t>
            </w:r>
          </w:p>
          <w:p w14:paraId="25A3B33D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0.939</w:t>
            </w:r>
          </w:p>
          <w:p w14:paraId="14200514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1.000</w:t>
            </w:r>
          </w:p>
          <w:p w14:paraId="2B6F828B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1.000</w:t>
            </w:r>
          </w:p>
          <w:p w14:paraId="6FEFE3C3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1.000</w:t>
            </w:r>
          </w:p>
          <w:p w14:paraId="6101A4CD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1.000</w:t>
            </w:r>
          </w:p>
          <w:p w14:paraId="171C3B25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1.000</w:t>
            </w:r>
          </w:p>
          <w:p w14:paraId="3115B8C8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0.904</w:t>
            </w:r>
          </w:p>
          <w:p w14:paraId="295EAF4B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1.000</w:t>
            </w:r>
          </w:p>
          <w:p w14:paraId="30779388" w14:textId="77777777" w:rsidR="00A71FD3" w:rsidRPr="00A71FD3" w:rsidRDefault="00A71FD3" w:rsidP="00A71FD3">
            <w:pPr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</w:pPr>
            <w:r w:rsidRPr="00A71FD3">
              <w:rPr>
                <w:rFonts w:ascii="Arial" w:eastAsia="SimSun" w:hAnsi="Arial" w:cs="Arial"/>
                <w:kern w:val="0"/>
                <w:sz w:val="22"/>
                <w:szCs w:val="22"/>
                <w:lang w:bidi="ar"/>
              </w:rPr>
              <w:t>1.000</w:t>
            </w:r>
          </w:p>
        </w:tc>
      </w:tr>
    </w:tbl>
    <w:p w14:paraId="4B8039C5" w14:textId="67FAD50E" w:rsidR="00A71FD3" w:rsidRPr="00A71FD3" w:rsidRDefault="00A71FD3">
      <w:pPr>
        <w:rPr>
          <w:rFonts w:ascii="Arial" w:hAnsi="Arial" w:cs="Arial"/>
          <w:sz w:val="22"/>
          <w:szCs w:val="22"/>
        </w:rPr>
      </w:pPr>
    </w:p>
    <w:p w14:paraId="3CC426CC" w14:textId="77777777" w:rsidR="00A71FD3" w:rsidRPr="00A71FD3" w:rsidRDefault="00A71FD3">
      <w:pPr>
        <w:rPr>
          <w:rFonts w:ascii="Arial" w:hAnsi="Arial" w:cs="Arial"/>
          <w:sz w:val="22"/>
          <w:szCs w:val="22"/>
        </w:rPr>
      </w:pPr>
    </w:p>
    <w:p w14:paraId="4C9B28EE" w14:textId="77777777" w:rsidR="00A71FD3" w:rsidRPr="00A71FD3" w:rsidRDefault="00A71FD3">
      <w:pPr>
        <w:rPr>
          <w:rFonts w:ascii="Arial" w:hAnsi="Arial" w:cs="Arial"/>
          <w:sz w:val="22"/>
          <w:szCs w:val="22"/>
        </w:rPr>
      </w:pPr>
    </w:p>
    <w:p w14:paraId="3E70BF5E" w14:textId="19A1D606" w:rsidR="000435C2" w:rsidRPr="00A71FD3" w:rsidRDefault="00177EB8">
      <w:pPr>
        <w:jc w:val="left"/>
        <w:rPr>
          <w:rFonts w:ascii="Arial" w:hAnsi="Arial" w:cs="Arial"/>
          <w:sz w:val="22"/>
          <w:szCs w:val="22"/>
        </w:rPr>
      </w:pPr>
      <w:r w:rsidRPr="00A71FD3">
        <w:rPr>
          <w:rFonts w:ascii="Arial" w:hAnsi="Arial" w:cs="Arial"/>
          <w:i/>
          <w:iCs/>
          <w:sz w:val="22"/>
          <w:szCs w:val="22"/>
        </w:rPr>
        <w:t>ICC</w:t>
      </w:r>
      <w:r w:rsidRPr="00A71FD3">
        <w:rPr>
          <w:rFonts w:ascii="Arial" w:hAnsi="Arial" w:cs="Arial"/>
          <w:sz w:val="22"/>
          <w:szCs w:val="22"/>
        </w:rPr>
        <w:t xml:space="preserve"> intraclass correlation coefficient,</w:t>
      </w:r>
      <w:r w:rsidRPr="00A71FD3">
        <w:rPr>
          <w:rFonts w:ascii="Arial" w:hAnsi="Arial" w:cs="Arial"/>
          <w:i/>
          <w:iCs/>
          <w:sz w:val="22"/>
          <w:szCs w:val="22"/>
        </w:rPr>
        <w:t xml:space="preserve"> CT </w:t>
      </w:r>
      <w:r w:rsidRPr="00A71FD3">
        <w:rPr>
          <w:rFonts w:ascii="Arial" w:hAnsi="Arial" w:cs="Arial"/>
          <w:sz w:val="22"/>
          <w:szCs w:val="22"/>
        </w:rPr>
        <w:t xml:space="preserve">computed tomography, </w:t>
      </w:r>
      <w:r w:rsidRPr="00A71FD3">
        <w:rPr>
          <w:rFonts w:ascii="Arial" w:hAnsi="Arial" w:cs="Arial"/>
          <w:i/>
          <w:iCs/>
          <w:sz w:val="22"/>
          <w:szCs w:val="22"/>
        </w:rPr>
        <w:t>GGO</w:t>
      </w:r>
      <w:r w:rsidRPr="00A71FD3">
        <w:rPr>
          <w:rFonts w:ascii="Arial" w:hAnsi="Arial" w:cs="Arial"/>
          <w:sz w:val="22"/>
          <w:szCs w:val="22"/>
        </w:rPr>
        <w:t xml:space="preserve"> ground-glass opacity</w:t>
      </w:r>
    </w:p>
    <w:p w14:paraId="066A4056" w14:textId="77777777" w:rsidR="000435C2" w:rsidRPr="00A71FD3" w:rsidRDefault="000435C2">
      <w:pPr>
        <w:jc w:val="left"/>
        <w:rPr>
          <w:rFonts w:ascii="Arial" w:hAnsi="Arial" w:cs="Arial"/>
          <w:sz w:val="22"/>
          <w:szCs w:val="22"/>
        </w:rPr>
      </w:pPr>
    </w:p>
    <w:p w14:paraId="3532C5C9" w14:textId="77777777" w:rsidR="000435C2" w:rsidRPr="00A71FD3" w:rsidRDefault="00177EB8">
      <w:pPr>
        <w:rPr>
          <w:rFonts w:ascii="Arial" w:hAnsi="Arial" w:cs="Arial"/>
          <w:sz w:val="22"/>
          <w:szCs w:val="22"/>
        </w:rPr>
      </w:pPr>
      <w:r w:rsidRPr="00A71FD3">
        <w:rPr>
          <w:rFonts w:ascii="Arial" w:hAnsi="Arial" w:cs="Arial"/>
          <w:sz w:val="22"/>
          <w:szCs w:val="22"/>
        </w:rPr>
        <w:t xml:space="preserve"> </w:t>
      </w:r>
    </w:p>
    <w:sectPr w:rsidR="000435C2" w:rsidRPr="00A71FD3" w:rsidSect="006A3939">
      <w:footerReference w:type="default" r:id="rId10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7D6D59" w14:textId="77777777" w:rsidR="00177EB8" w:rsidRDefault="00177EB8" w:rsidP="00A71FD3">
      <w:r>
        <w:separator/>
      </w:r>
    </w:p>
  </w:endnote>
  <w:endnote w:type="continuationSeparator" w:id="0">
    <w:p w14:paraId="1C242E49" w14:textId="77777777" w:rsidR="00177EB8" w:rsidRDefault="00177EB8" w:rsidP="00A7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F684C" w14:textId="796E2986" w:rsidR="00A71FD3" w:rsidRPr="00A71FD3" w:rsidRDefault="00A71FD3">
    <w:pPr>
      <w:pStyle w:val="Footer"/>
      <w:rPr>
        <w:rFonts w:ascii="Arial" w:hAnsi="Arial" w:cs="Arial"/>
      </w:rPr>
    </w:pPr>
    <w:r w:rsidRPr="00A71FD3">
      <w:rPr>
        <w:rFonts w:ascii="Arial" w:hAnsi="Arial" w:cs="Arial"/>
      </w:rPr>
      <w:t xml:space="preserve">Insights Imaging (2023) Liao HF, Huang XT, Li X, </w:t>
    </w:r>
    <w:proofErr w:type="spellStart"/>
    <w:r w:rsidRPr="00A71FD3">
      <w:rPr>
        <w:rFonts w:ascii="Arial" w:hAnsi="Arial" w:cs="Arial"/>
      </w:rPr>
      <w:t>Lv</w:t>
    </w:r>
    <w:proofErr w:type="spellEnd"/>
    <w:r w:rsidRPr="00A71FD3">
      <w:rPr>
        <w:rFonts w:ascii="Arial" w:hAnsi="Arial" w:cs="Arial"/>
      </w:rPr>
      <w:t xml:space="preserve"> FJ, Luo TY, Li Q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67E697" w14:textId="77777777" w:rsidR="00177EB8" w:rsidRDefault="00177EB8" w:rsidP="00A71FD3">
      <w:r>
        <w:separator/>
      </w:r>
    </w:p>
  </w:footnote>
  <w:footnote w:type="continuationSeparator" w:id="0">
    <w:p w14:paraId="54FE6C8B" w14:textId="77777777" w:rsidR="00177EB8" w:rsidRDefault="00177EB8" w:rsidP="00A71F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hM2NlMzQyMTFkZWZlMzUwNWFiYTk2YTBmOTkzZmEifQ=="/>
    <w:docVar w:name="Total_Editing_Time" w:val="3"/>
  </w:docVars>
  <w:rsids>
    <w:rsidRoot w:val="121E418E"/>
    <w:rsid w:val="000435C2"/>
    <w:rsid w:val="0005004A"/>
    <w:rsid w:val="00177EB8"/>
    <w:rsid w:val="00437EAB"/>
    <w:rsid w:val="00594AF8"/>
    <w:rsid w:val="006631F2"/>
    <w:rsid w:val="006A3939"/>
    <w:rsid w:val="007B7A97"/>
    <w:rsid w:val="007D3847"/>
    <w:rsid w:val="00813355"/>
    <w:rsid w:val="008D25FD"/>
    <w:rsid w:val="00A71FD3"/>
    <w:rsid w:val="00B6612E"/>
    <w:rsid w:val="00BA368A"/>
    <w:rsid w:val="00BC368A"/>
    <w:rsid w:val="00E855CB"/>
    <w:rsid w:val="00F06F40"/>
    <w:rsid w:val="0C917B0E"/>
    <w:rsid w:val="121E418E"/>
    <w:rsid w:val="1BD96F52"/>
    <w:rsid w:val="30292045"/>
    <w:rsid w:val="32B5528A"/>
    <w:rsid w:val="445F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638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PH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kern w:val="2"/>
      <w:sz w:val="18"/>
      <w:szCs w:val="18"/>
    </w:rPr>
  </w:style>
  <w:style w:type="paragraph" w:styleId="BalloonText">
    <w:name w:val="Balloon Text"/>
    <w:basedOn w:val="Normal"/>
    <w:link w:val="BalloonTextChar"/>
    <w:rsid w:val="00BC3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68A"/>
    <w:rPr>
      <w:rFonts w:ascii="Tahoma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PH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kern w:val="2"/>
      <w:sz w:val="18"/>
      <w:szCs w:val="18"/>
    </w:rPr>
  </w:style>
  <w:style w:type="paragraph" w:styleId="BalloonText">
    <w:name w:val="Balloon Text"/>
    <w:basedOn w:val="Normal"/>
    <w:link w:val="BalloonTextChar"/>
    <w:rsid w:val="00BC3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68A"/>
    <w:rPr>
      <w:rFonts w:ascii="Tahoma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;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498</Words>
  <Characters>2927</Characters>
  <Application>Microsoft Office Word</Application>
  <DocSecurity>0</DocSecurity>
  <Lines>154</Lines>
  <Paragraphs>131</Paragraphs>
  <ScaleCrop>false</ScaleCrop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LIAO</dc:creator>
  <cp:lastModifiedBy>E744616</cp:lastModifiedBy>
  <cp:revision>4</cp:revision>
  <dcterms:created xsi:type="dcterms:W3CDTF">2023-11-06T09:50:00Z</dcterms:created>
  <dcterms:modified xsi:type="dcterms:W3CDTF">2023-11-12T23:22:00Z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6E6706E15C8443B4AE05D1F0ECCF26E1_11</vt:lpwstr>
  </property>
</Properties>
</file>