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EFA9A" w14:textId="47A6C17B" w:rsidR="00520FD6" w:rsidRDefault="00000000" w:rsidP="00634463">
      <w:pPr>
        <w:pStyle w:val="Heading1"/>
        <w:jc w:val="center"/>
        <w:rPr>
          <w:rtl/>
        </w:rPr>
      </w:pPr>
      <w:r>
        <w:t>CARE Checklist – Completed for Case Report</w:t>
      </w:r>
    </w:p>
    <w:p w14:paraId="4819C670" w14:textId="77777777" w:rsidR="00634463" w:rsidRPr="00634463" w:rsidRDefault="00634463" w:rsidP="00634463"/>
    <w:tbl>
      <w:tblPr>
        <w:tblStyle w:val="GridTable4-Accent2"/>
        <w:tblW w:w="864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20FD6" w:rsidRPr="00634463" w14:paraId="38C57F52" w14:textId="77777777" w:rsidTr="006344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EC0CA6C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Topic</w:t>
            </w:r>
          </w:p>
        </w:tc>
        <w:tc>
          <w:tcPr>
            <w:tcW w:w="2880" w:type="dxa"/>
            <w:vAlign w:val="center"/>
          </w:tcPr>
          <w:p w14:paraId="45228154" w14:textId="77777777" w:rsidR="00520FD6" w:rsidRPr="00634463" w:rsidRDefault="00000000" w:rsidP="00634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Checklist item description</w:t>
            </w:r>
          </w:p>
        </w:tc>
        <w:tc>
          <w:tcPr>
            <w:tcW w:w="2880" w:type="dxa"/>
            <w:vAlign w:val="center"/>
          </w:tcPr>
          <w:p w14:paraId="57C8432A" w14:textId="77777777" w:rsidR="00520FD6" w:rsidRPr="00634463" w:rsidRDefault="00000000" w:rsidP="0063446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Reported in the manuscript</w:t>
            </w:r>
          </w:p>
        </w:tc>
      </w:tr>
      <w:tr w:rsidR="00520FD6" w:rsidRPr="00634463" w14:paraId="7320DAF9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0BB23732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Title</w:t>
            </w:r>
          </w:p>
        </w:tc>
        <w:tc>
          <w:tcPr>
            <w:tcW w:w="2880" w:type="dxa"/>
            <w:vAlign w:val="center"/>
          </w:tcPr>
          <w:p w14:paraId="4EFC3ACD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Diagnosis or intervention of primary focus followed by the words 'case report'</w:t>
            </w:r>
          </w:p>
        </w:tc>
        <w:tc>
          <w:tcPr>
            <w:tcW w:w="2880" w:type="dxa"/>
            <w:vAlign w:val="center"/>
          </w:tcPr>
          <w:p w14:paraId="3D68A8CF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Title page</w:t>
            </w:r>
          </w:p>
        </w:tc>
      </w:tr>
      <w:tr w:rsidR="00520FD6" w:rsidRPr="00634463" w14:paraId="7484EB57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4E7D7120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Keywords</w:t>
            </w:r>
          </w:p>
        </w:tc>
        <w:tc>
          <w:tcPr>
            <w:tcW w:w="2880" w:type="dxa"/>
            <w:vAlign w:val="center"/>
          </w:tcPr>
          <w:p w14:paraId="3D69BD67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2–5 key words including 'case report'</w:t>
            </w:r>
          </w:p>
        </w:tc>
        <w:tc>
          <w:tcPr>
            <w:tcW w:w="2880" w:type="dxa"/>
            <w:vAlign w:val="center"/>
          </w:tcPr>
          <w:p w14:paraId="1C93FE06" w14:textId="53C54A80" w:rsidR="00520FD6" w:rsidRPr="00634463" w:rsidRDefault="00000000" w:rsidP="00634463">
            <w:pPr>
              <w:spacing w:after="160" w:line="27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Metadata / Keywords (</w:t>
            </w:r>
            <w:r w:rsidR="007B1D67" w:rsidRPr="007B1D67">
              <w:rPr>
                <w:rFonts w:asciiTheme="majorBidi" w:hAnsiTheme="majorBidi" w:cstheme="majorBidi"/>
              </w:rPr>
              <w:t>Congenital diaphragmatic hernia (CDH), Prenatal diagnosis, mosaicism, Isochromosome, Case report</w:t>
            </w:r>
            <w:r w:rsidRPr="00634463">
              <w:rPr>
                <w:rFonts w:asciiTheme="majorBidi" w:hAnsiTheme="majorBidi" w:cstheme="majorBidi"/>
              </w:rPr>
              <w:t>)</w:t>
            </w:r>
          </w:p>
        </w:tc>
      </w:tr>
      <w:tr w:rsidR="00520FD6" w:rsidRPr="00634463" w14:paraId="265B9033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A456D88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  <w:tc>
          <w:tcPr>
            <w:tcW w:w="2880" w:type="dxa"/>
            <w:vAlign w:val="center"/>
          </w:tcPr>
          <w:p w14:paraId="4487B6E0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Introduction (uniqueness)</w:t>
            </w:r>
          </w:p>
        </w:tc>
        <w:tc>
          <w:tcPr>
            <w:tcW w:w="2880" w:type="dxa"/>
            <w:vAlign w:val="center"/>
          </w:tcPr>
          <w:p w14:paraId="257F7942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 – first sentences</w:t>
            </w:r>
          </w:p>
        </w:tc>
      </w:tr>
      <w:tr w:rsidR="00520FD6" w:rsidRPr="00634463" w14:paraId="3A7EB5DA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1B7C959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  <w:tc>
          <w:tcPr>
            <w:tcW w:w="2880" w:type="dxa"/>
            <w:vAlign w:val="center"/>
          </w:tcPr>
          <w:p w14:paraId="22B4267D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Main symptoms/clinical findings</w:t>
            </w:r>
          </w:p>
        </w:tc>
        <w:tc>
          <w:tcPr>
            <w:tcW w:w="2880" w:type="dxa"/>
            <w:vAlign w:val="center"/>
          </w:tcPr>
          <w:p w14:paraId="74354400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</w:tr>
      <w:tr w:rsidR="00520FD6" w:rsidRPr="00634463" w14:paraId="71E52B78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A133DC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  <w:tc>
          <w:tcPr>
            <w:tcW w:w="2880" w:type="dxa"/>
            <w:vAlign w:val="center"/>
          </w:tcPr>
          <w:p w14:paraId="3F36672B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Main diagnoses, interventions, outcomes</w:t>
            </w:r>
          </w:p>
        </w:tc>
        <w:tc>
          <w:tcPr>
            <w:tcW w:w="2880" w:type="dxa"/>
            <w:vAlign w:val="center"/>
          </w:tcPr>
          <w:p w14:paraId="2520AEF8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</w:tr>
      <w:tr w:rsidR="00520FD6" w:rsidRPr="00634463" w14:paraId="632EAF5D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FC19074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</w:t>
            </w:r>
          </w:p>
        </w:tc>
        <w:tc>
          <w:tcPr>
            <w:tcW w:w="2880" w:type="dxa"/>
            <w:vAlign w:val="center"/>
          </w:tcPr>
          <w:p w14:paraId="3FCFA7B4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Conclusion / take-away lesson</w:t>
            </w:r>
          </w:p>
        </w:tc>
        <w:tc>
          <w:tcPr>
            <w:tcW w:w="2880" w:type="dxa"/>
            <w:vAlign w:val="center"/>
          </w:tcPr>
          <w:p w14:paraId="1C617E15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Abstract – conclusion</w:t>
            </w:r>
          </w:p>
        </w:tc>
      </w:tr>
      <w:tr w:rsidR="00520FD6" w:rsidRPr="00634463" w14:paraId="729E9FCF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110A646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Introduction</w:t>
            </w:r>
          </w:p>
        </w:tc>
        <w:tc>
          <w:tcPr>
            <w:tcW w:w="2880" w:type="dxa"/>
            <w:vAlign w:val="center"/>
          </w:tcPr>
          <w:p w14:paraId="56BB2A59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Why this case is unique</w:t>
            </w:r>
          </w:p>
        </w:tc>
        <w:tc>
          <w:tcPr>
            <w:tcW w:w="2880" w:type="dxa"/>
            <w:vAlign w:val="center"/>
          </w:tcPr>
          <w:p w14:paraId="65546B20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Introduction</w:t>
            </w:r>
          </w:p>
        </w:tc>
      </w:tr>
      <w:tr w:rsidR="00520FD6" w:rsidRPr="00634463" w14:paraId="4F03D06C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4A65CBB3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 Information</w:t>
            </w:r>
          </w:p>
        </w:tc>
        <w:tc>
          <w:tcPr>
            <w:tcW w:w="2880" w:type="dxa"/>
            <w:vAlign w:val="center"/>
          </w:tcPr>
          <w:p w14:paraId="3E44637A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De-identified patient specific information</w:t>
            </w:r>
          </w:p>
        </w:tc>
        <w:tc>
          <w:tcPr>
            <w:tcW w:w="2880" w:type="dxa"/>
            <w:vAlign w:val="center"/>
          </w:tcPr>
          <w:p w14:paraId="60A903CE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patient description</w:t>
            </w:r>
          </w:p>
        </w:tc>
      </w:tr>
      <w:tr w:rsidR="00520FD6" w:rsidRPr="00634463" w14:paraId="7167DFA0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605FB039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 Information</w:t>
            </w:r>
          </w:p>
        </w:tc>
        <w:tc>
          <w:tcPr>
            <w:tcW w:w="2880" w:type="dxa"/>
            <w:vAlign w:val="center"/>
          </w:tcPr>
          <w:p w14:paraId="51F8779D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Primary concerns and symptoms</w:t>
            </w:r>
          </w:p>
        </w:tc>
        <w:tc>
          <w:tcPr>
            <w:tcW w:w="2880" w:type="dxa"/>
            <w:vAlign w:val="center"/>
          </w:tcPr>
          <w:p w14:paraId="44119402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ultrasound findings at 16 weeks</w:t>
            </w:r>
          </w:p>
        </w:tc>
      </w:tr>
      <w:tr w:rsidR="00520FD6" w:rsidRPr="00634463" w14:paraId="70705233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38FAE13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 Information</w:t>
            </w:r>
          </w:p>
        </w:tc>
        <w:tc>
          <w:tcPr>
            <w:tcW w:w="2880" w:type="dxa"/>
            <w:vAlign w:val="center"/>
          </w:tcPr>
          <w:p w14:paraId="0B9F61B0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Medical, family, and psycho-social history</w:t>
            </w:r>
          </w:p>
        </w:tc>
        <w:tc>
          <w:tcPr>
            <w:tcW w:w="2880" w:type="dxa"/>
            <w:vAlign w:val="center"/>
          </w:tcPr>
          <w:p w14:paraId="7C735AD3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family history and maternal history</w:t>
            </w:r>
          </w:p>
        </w:tc>
      </w:tr>
      <w:tr w:rsidR="00520FD6" w:rsidRPr="00634463" w14:paraId="16504D3B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00E70F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 Information</w:t>
            </w:r>
          </w:p>
        </w:tc>
        <w:tc>
          <w:tcPr>
            <w:tcW w:w="2880" w:type="dxa"/>
            <w:vAlign w:val="center"/>
          </w:tcPr>
          <w:p w14:paraId="651109CC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Relevant past interventions and outcomes</w:t>
            </w:r>
          </w:p>
        </w:tc>
        <w:tc>
          <w:tcPr>
            <w:tcW w:w="2880" w:type="dxa"/>
            <w:vAlign w:val="center"/>
          </w:tcPr>
          <w:p w14:paraId="59B1D54A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first pregnancy outcome</w:t>
            </w:r>
          </w:p>
        </w:tc>
      </w:tr>
      <w:tr w:rsidR="00520FD6" w:rsidRPr="00634463" w14:paraId="06B5FB99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1AF7FA4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Clinical Findings</w:t>
            </w:r>
          </w:p>
        </w:tc>
        <w:tc>
          <w:tcPr>
            <w:tcW w:w="2880" w:type="dxa"/>
            <w:vAlign w:val="center"/>
          </w:tcPr>
          <w:p w14:paraId="64C07AB0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Significant physical examination and clinical findings</w:t>
            </w:r>
          </w:p>
        </w:tc>
        <w:tc>
          <w:tcPr>
            <w:tcW w:w="2880" w:type="dxa"/>
            <w:vAlign w:val="center"/>
          </w:tcPr>
          <w:p w14:paraId="472F900C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ultrasound, karyotype</w:t>
            </w:r>
          </w:p>
        </w:tc>
      </w:tr>
      <w:tr w:rsidR="00520FD6" w:rsidRPr="00634463" w14:paraId="560D65E7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0E81CAE4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Timeline</w:t>
            </w:r>
          </w:p>
        </w:tc>
        <w:tc>
          <w:tcPr>
            <w:tcW w:w="2880" w:type="dxa"/>
            <w:vAlign w:val="center"/>
          </w:tcPr>
          <w:p w14:paraId="24514A0C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Historical and current info organized as a timeline</w:t>
            </w:r>
          </w:p>
        </w:tc>
        <w:tc>
          <w:tcPr>
            <w:tcW w:w="2880" w:type="dxa"/>
            <w:vAlign w:val="center"/>
          </w:tcPr>
          <w:p w14:paraId="5D927132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narrative of pregnancy course</w:t>
            </w:r>
          </w:p>
        </w:tc>
      </w:tr>
      <w:tr w:rsidR="00520FD6" w:rsidRPr="00634463" w14:paraId="4D1143F1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5B0B277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Diagnostic Assessment</w:t>
            </w:r>
          </w:p>
        </w:tc>
        <w:tc>
          <w:tcPr>
            <w:tcW w:w="2880" w:type="dxa"/>
            <w:vAlign w:val="center"/>
          </w:tcPr>
          <w:p w14:paraId="55F68E59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Diagnostic testing (PE, labs, imaging)</w:t>
            </w:r>
          </w:p>
        </w:tc>
        <w:tc>
          <w:tcPr>
            <w:tcW w:w="2880" w:type="dxa"/>
            <w:vAlign w:val="center"/>
          </w:tcPr>
          <w:p w14:paraId="6EBFBF0D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screening, ultrasound, amniocentesis</w:t>
            </w:r>
          </w:p>
        </w:tc>
      </w:tr>
      <w:tr w:rsidR="00520FD6" w:rsidRPr="00634463" w14:paraId="3DB037E8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A6855E2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Diagnostic Assessment</w:t>
            </w:r>
          </w:p>
        </w:tc>
        <w:tc>
          <w:tcPr>
            <w:tcW w:w="2880" w:type="dxa"/>
            <w:vAlign w:val="center"/>
          </w:tcPr>
          <w:p w14:paraId="7FB39710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Diagnostic challenges (access, financial, cultural)</w:t>
            </w:r>
          </w:p>
        </w:tc>
        <w:tc>
          <w:tcPr>
            <w:tcW w:w="2880" w:type="dxa"/>
            <w:vAlign w:val="center"/>
          </w:tcPr>
          <w:p w14:paraId="27B74A75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 – limitations</w:t>
            </w:r>
          </w:p>
        </w:tc>
      </w:tr>
      <w:tr w:rsidR="00520FD6" w:rsidRPr="00634463" w14:paraId="136FDB4B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2C5D8B1C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Diagnostic Assessment</w:t>
            </w:r>
          </w:p>
        </w:tc>
        <w:tc>
          <w:tcPr>
            <w:tcW w:w="2880" w:type="dxa"/>
            <w:vAlign w:val="center"/>
          </w:tcPr>
          <w:p w14:paraId="1BAE841F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Diagnosis (including differentials)</w:t>
            </w:r>
          </w:p>
        </w:tc>
        <w:tc>
          <w:tcPr>
            <w:tcW w:w="2880" w:type="dxa"/>
            <w:vAlign w:val="center"/>
          </w:tcPr>
          <w:p w14:paraId="110F4FAA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prenatal diagnosis CDH, mosaicism</w:t>
            </w:r>
          </w:p>
        </w:tc>
      </w:tr>
      <w:tr w:rsidR="00520FD6" w:rsidRPr="00634463" w14:paraId="11EAFD55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453C7801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lastRenderedPageBreak/>
              <w:t>Diagnostic Assessment</w:t>
            </w:r>
          </w:p>
        </w:tc>
        <w:tc>
          <w:tcPr>
            <w:tcW w:w="2880" w:type="dxa"/>
            <w:vAlign w:val="center"/>
          </w:tcPr>
          <w:p w14:paraId="3BD49B33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Prognosis</w:t>
            </w:r>
          </w:p>
        </w:tc>
        <w:tc>
          <w:tcPr>
            <w:tcW w:w="2880" w:type="dxa"/>
            <w:vAlign w:val="center"/>
          </w:tcPr>
          <w:p w14:paraId="6652CF63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 – mosaicism prognosis variability</w:t>
            </w:r>
          </w:p>
        </w:tc>
      </w:tr>
      <w:tr w:rsidR="00520FD6" w:rsidRPr="00634463" w14:paraId="7D850B5F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F055CB9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Therapeutic Intervention</w:t>
            </w:r>
          </w:p>
        </w:tc>
        <w:tc>
          <w:tcPr>
            <w:tcW w:w="2880" w:type="dxa"/>
            <w:vAlign w:val="center"/>
          </w:tcPr>
          <w:p w14:paraId="0BC323EA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Types of intervention</w:t>
            </w:r>
          </w:p>
        </w:tc>
        <w:tc>
          <w:tcPr>
            <w:tcW w:w="2880" w:type="dxa"/>
            <w:vAlign w:val="center"/>
          </w:tcPr>
          <w:p w14:paraId="5845817A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</w:t>
            </w:r>
          </w:p>
        </w:tc>
      </w:tr>
      <w:tr w:rsidR="00520FD6" w:rsidRPr="00634463" w14:paraId="14E48928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412247C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Therapeutic Intervention</w:t>
            </w:r>
          </w:p>
        </w:tc>
        <w:tc>
          <w:tcPr>
            <w:tcW w:w="2880" w:type="dxa"/>
            <w:vAlign w:val="center"/>
          </w:tcPr>
          <w:p w14:paraId="770E9551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Administration of intervention</w:t>
            </w:r>
          </w:p>
        </w:tc>
        <w:tc>
          <w:tcPr>
            <w:tcW w:w="2880" w:type="dxa"/>
            <w:vAlign w:val="center"/>
          </w:tcPr>
          <w:p w14:paraId="05833067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</w:t>
            </w:r>
          </w:p>
        </w:tc>
      </w:tr>
      <w:tr w:rsidR="00520FD6" w:rsidRPr="00634463" w14:paraId="0F7D00B0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1E6E7DAE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Therapeutic Intervention</w:t>
            </w:r>
          </w:p>
        </w:tc>
        <w:tc>
          <w:tcPr>
            <w:tcW w:w="2880" w:type="dxa"/>
            <w:vAlign w:val="center"/>
          </w:tcPr>
          <w:p w14:paraId="0FD82DE4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Changes in intervention</w:t>
            </w:r>
          </w:p>
        </w:tc>
        <w:tc>
          <w:tcPr>
            <w:tcW w:w="2880" w:type="dxa"/>
            <w:vAlign w:val="center"/>
          </w:tcPr>
          <w:p w14:paraId="736547B6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</w:t>
            </w:r>
          </w:p>
        </w:tc>
      </w:tr>
      <w:tr w:rsidR="00520FD6" w:rsidRPr="00634463" w14:paraId="5E78FCED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4990253F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Follow-up &amp; Outcomes</w:t>
            </w:r>
          </w:p>
        </w:tc>
        <w:tc>
          <w:tcPr>
            <w:tcW w:w="2880" w:type="dxa"/>
            <w:vAlign w:val="center"/>
          </w:tcPr>
          <w:p w14:paraId="39F1BC67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Clinician/patient assessed outcomes</w:t>
            </w:r>
          </w:p>
        </w:tc>
        <w:tc>
          <w:tcPr>
            <w:tcW w:w="2880" w:type="dxa"/>
            <w:vAlign w:val="center"/>
          </w:tcPr>
          <w:p w14:paraId="09D57F15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outcome stillbirth at 38 weeks</w:t>
            </w:r>
          </w:p>
        </w:tc>
      </w:tr>
      <w:tr w:rsidR="00520FD6" w:rsidRPr="00634463" w14:paraId="50523ECD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628C080E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Follow-up &amp; Outcomes</w:t>
            </w:r>
          </w:p>
        </w:tc>
        <w:tc>
          <w:tcPr>
            <w:tcW w:w="2880" w:type="dxa"/>
            <w:vAlign w:val="center"/>
          </w:tcPr>
          <w:p w14:paraId="311DF9DF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Important follow-up diagnostic results</w:t>
            </w:r>
          </w:p>
        </w:tc>
        <w:tc>
          <w:tcPr>
            <w:tcW w:w="2880" w:type="dxa"/>
            <w:vAlign w:val="center"/>
          </w:tcPr>
          <w:p w14:paraId="6607B25B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Case Report – 28th week ultrasound, polyhydramnios</w:t>
            </w:r>
          </w:p>
        </w:tc>
      </w:tr>
      <w:tr w:rsidR="00520FD6" w:rsidRPr="00634463" w14:paraId="6338F941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E400DF8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Follow-up &amp; Outcomes</w:t>
            </w:r>
          </w:p>
        </w:tc>
        <w:tc>
          <w:tcPr>
            <w:tcW w:w="2880" w:type="dxa"/>
            <w:vAlign w:val="center"/>
          </w:tcPr>
          <w:p w14:paraId="7A64D894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Intervention adherence/tolerability</w:t>
            </w:r>
          </w:p>
        </w:tc>
        <w:tc>
          <w:tcPr>
            <w:tcW w:w="2880" w:type="dxa"/>
            <w:vAlign w:val="center"/>
          </w:tcPr>
          <w:p w14:paraId="09D59EC7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</w:t>
            </w:r>
          </w:p>
        </w:tc>
      </w:tr>
      <w:tr w:rsidR="00520FD6" w:rsidRPr="00634463" w14:paraId="04E07BF4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1BBF1EF6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Follow-up &amp; Outcomes</w:t>
            </w:r>
          </w:p>
        </w:tc>
        <w:tc>
          <w:tcPr>
            <w:tcW w:w="2880" w:type="dxa"/>
            <w:vAlign w:val="center"/>
          </w:tcPr>
          <w:p w14:paraId="0E138FDF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Adverse/unanticipated events</w:t>
            </w:r>
          </w:p>
        </w:tc>
        <w:tc>
          <w:tcPr>
            <w:tcW w:w="2880" w:type="dxa"/>
            <w:vAlign w:val="center"/>
          </w:tcPr>
          <w:p w14:paraId="1F8322F3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</w:t>
            </w:r>
          </w:p>
        </w:tc>
      </w:tr>
      <w:tr w:rsidR="00520FD6" w:rsidRPr="00634463" w14:paraId="4F93D6ED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32FFF18B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2880" w:type="dxa"/>
            <w:vAlign w:val="center"/>
          </w:tcPr>
          <w:p w14:paraId="1FE23A4A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Scientific discussion of strengths and limitations</w:t>
            </w:r>
          </w:p>
        </w:tc>
        <w:tc>
          <w:tcPr>
            <w:tcW w:w="2880" w:type="dxa"/>
            <w:vAlign w:val="center"/>
          </w:tcPr>
          <w:p w14:paraId="44E2E5BA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 – financial, cultural challenges</w:t>
            </w:r>
          </w:p>
        </w:tc>
      </w:tr>
      <w:tr w:rsidR="00520FD6" w:rsidRPr="00634463" w14:paraId="39AF116E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5A93170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2880" w:type="dxa"/>
            <w:vAlign w:val="center"/>
          </w:tcPr>
          <w:p w14:paraId="76DA92BD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Relevant medical literature with references</w:t>
            </w:r>
          </w:p>
        </w:tc>
        <w:tc>
          <w:tcPr>
            <w:tcW w:w="2880" w:type="dxa"/>
            <w:vAlign w:val="center"/>
          </w:tcPr>
          <w:p w14:paraId="3A3C6302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 – literature cited [7–25]</w:t>
            </w:r>
          </w:p>
        </w:tc>
      </w:tr>
      <w:tr w:rsidR="00520FD6" w:rsidRPr="00634463" w14:paraId="0E087F4E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0C3C6A4D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2880" w:type="dxa"/>
            <w:vAlign w:val="center"/>
          </w:tcPr>
          <w:p w14:paraId="04C6CE70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Scientific rationale for conclusions</w:t>
            </w:r>
          </w:p>
        </w:tc>
        <w:tc>
          <w:tcPr>
            <w:tcW w:w="2880" w:type="dxa"/>
            <w:vAlign w:val="center"/>
          </w:tcPr>
          <w:p w14:paraId="59EA5695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 – genetic + environmental factors</w:t>
            </w:r>
          </w:p>
        </w:tc>
      </w:tr>
      <w:tr w:rsidR="00520FD6" w:rsidRPr="00634463" w14:paraId="61C1293D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7087965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Discussion</w:t>
            </w:r>
          </w:p>
        </w:tc>
        <w:tc>
          <w:tcPr>
            <w:tcW w:w="2880" w:type="dxa"/>
            <w:vAlign w:val="center"/>
          </w:tcPr>
          <w:p w14:paraId="1B262263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Primary take-away lessons</w:t>
            </w:r>
          </w:p>
        </w:tc>
        <w:tc>
          <w:tcPr>
            <w:tcW w:w="2880" w:type="dxa"/>
            <w:vAlign w:val="center"/>
          </w:tcPr>
          <w:p w14:paraId="2101EBD6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Conclusion section</w:t>
            </w:r>
          </w:p>
        </w:tc>
      </w:tr>
      <w:tr w:rsidR="00520FD6" w:rsidRPr="00634463" w14:paraId="43ADC624" w14:textId="77777777" w:rsidTr="006344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4A57E15A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 Perspective</w:t>
            </w:r>
          </w:p>
        </w:tc>
        <w:tc>
          <w:tcPr>
            <w:tcW w:w="2880" w:type="dxa"/>
            <w:vAlign w:val="center"/>
          </w:tcPr>
          <w:p w14:paraId="286D0B85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Patient’s perspective on treatment</w:t>
            </w:r>
          </w:p>
        </w:tc>
        <w:tc>
          <w:tcPr>
            <w:tcW w:w="2880" w:type="dxa"/>
            <w:vAlign w:val="center"/>
          </w:tcPr>
          <w:p w14:paraId="7A5FAE47" w14:textId="77777777" w:rsidR="00520FD6" w:rsidRPr="00634463" w:rsidRDefault="00000000" w:rsidP="006344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Not applicable (stillbirth)</w:t>
            </w:r>
          </w:p>
        </w:tc>
      </w:tr>
      <w:tr w:rsidR="00520FD6" w:rsidRPr="00634463" w14:paraId="2578503F" w14:textId="77777777" w:rsidTr="00634463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80" w:type="dxa"/>
            <w:vAlign w:val="center"/>
          </w:tcPr>
          <w:p w14:paraId="7C971FBA" w14:textId="77777777" w:rsidR="00520FD6" w:rsidRPr="00634463" w:rsidRDefault="00000000" w:rsidP="00634463">
            <w:pPr>
              <w:jc w:val="center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Informed Consent</w:t>
            </w:r>
          </w:p>
        </w:tc>
        <w:tc>
          <w:tcPr>
            <w:tcW w:w="2880" w:type="dxa"/>
            <w:vAlign w:val="center"/>
          </w:tcPr>
          <w:p w14:paraId="4CA91BCE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Did the patient give informed consent?</w:t>
            </w:r>
          </w:p>
        </w:tc>
        <w:tc>
          <w:tcPr>
            <w:tcW w:w="2880" w:type="dxa"/>
            <w:vAlign w:val="center"/>
          </w:tcPr>
          <w:p w14:paraId="0E9C83C8" w14:textId="77777777" w:rsidR="00520FD6" w:rsidRPr="00634463" w:rsidRDefault="00000000" w:rsidP="0063446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</w:rPr>
            </w:pPr>
            <w:r w:rsidRPr="00634463">
              <w:rPr>
                <w:rFonts w:asciiTheme="majorBidi" w:hAnsiTheme="majorBidi" w:cstheme="majorBidi"/>
              </w:rPr>
              <w:t>Yes – Declarations section</w:t>
            </w:r>
          </w:p>
        </w:tc>
      </w:tr>
    </w:tbl>
    <w:p w14:paraId="13AB4A65" w14:textId="77777777" w:rsidR="0008624C" w:rsidRDefault="0008624C"/>
    <w:sectPr w:rsidR="0008624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3366297">
    <w:abstractNumId w:val="8"/>
  </w:num>
  <w:num w:numId="2" w16cid:durableId="1334339557">
    <w:abstractNumId w:val="6"/>
  </w:num>
  <w:num w:numId="3" w16cid:durableId="1978947027">
    <w:abstractNumId w:val="5"/>
  </w:num>
  <w:num w:numId="4" w16cid:durableId="196745722">
    <w:abstractNumId w:val="4"/>
  </w:num>
  <w:num w:numId="5" w16cid:durableId="848719946">
    <w:abstractNumId w:val="7"/>
  </w:num>
  <w:num w:numId="6" w16cid:durableId="1921744769">
    <w:abstractNumId w:val="3"/>
  </w:num>
  <w:num w:numId="7" w16cid:durableId="212666562">
    <w:abstractNumId w:val="2"/>
  </w:num>
  <w:num w:numId="8" w16cid:durableId="436144290">
    <w:abstractNumId w:val="1"/>
  </w:num>
  <w:num w:numId="9" w16cid:durableId="524054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624C"/>
    <w:rsid w:val="0015074B"/>
    <w:rsid w:val="0029639D"/>
    <w:rsid w:val="00326F90"/>
    <w:rsid w:val="00520FD6"/>
    <w:rsid w:val="00634463"/>
    <w:rsid w:val="006775AC"/>
    <w:rsid w:val="007B1D6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2D01C"/>
  <w14:defaultImageDpi w14:val="300"/>
  <w15:docId w15:val="{236A5EBA-465C-4243-922D-FF0CA933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dTable1Light-Accent2">
    <w:name w:val="Grid Table 1 Light Accent 2"/>
    <w:basedOn w:val="TableNormal"/>
    <w:uiPriority w:val="46"/>
    <w:rsid w:val="00634463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63446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</cp:lastModifiedBy>
  <cp:revision>3</cp:revision>
  <dcterms:created xsi:type="dcterms:W3CDTF">2025-09-03T19:06:00Z</dcterms:created>
  <dcterms:modified xsi:type="dcterms:W3CDTF">2025-09-03T19:11:00Z</dcterms:modified>
  <cp:category/>
</cp:coreProperties>
</file>