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E6319">
      <w:r>
        <w:drawing>
          <wp:inline distT="0" distB="0" distL="114300" distR="114300">
            <wp:extent cx="2301875" cy="3192145"/>
            <wp:effectExtent l="0" t="0" r="3175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FFC62">
      <w:pPr>
        <w:pStyle w:val="2"/>
        <w:keepNext w:val="0"/>
        <w:keepLines w:val="0"/>
        <w:widowControl/>
        <w:suppressLineNumbers w:val="0"/>
      </w:pPr>
      <w:r>
        <w:t>The distal abdominal aorta showed luminal stenosis, with aneurysmal dilation of the distal lumen and the right common iliac artery.</w:t>
      </w:r>
    </w:p>
    <w:p w14:paraId="54369ACC">
      <w:pPr>
        <w:keepNext w:val="0"/>
        <w:keepLines w:val="0"/>
        <w:widowControl/>
        <w:suppressLineNumbers w:val="0"/>
        <w:jc w:val="left"/>
      </w:pPr>
    </w:p>
    <w:p w14:paraId="7F2BA319">
      <w:r>
        <w:drawing>
          <wp:inline distT="0" distB="0" distL="114300" distR="114300">
            <wp:extent cx="2245995" cy="3785235"/>
            <wp:effectExtent l="0" t="0" r="1905" b="571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378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0A9CE">
      <w:pPr>
        <w:pStyle w:val="2"/>
        <w:keepNext w:val="0"/>
        <w:keepLines w:val="0"/>
        <w:widowControl/>
        <w:suppressLineNumbers w:val="0"/>
      </w:pPr>
      <w:r>
        <w:t>Super-selectively catheterize the inferior mesenteric artery and insert a single-curve catheter.</w:t>
      </w:r>
    </w:p>
    <w:p w14:paraId="00422F9D">
      <w:pPr>
        <w:pStyle w:val="2"/>
        <w:keepNext w:val="0"/>
        <w:keepLines w:val="0"/>
        <w:widowControl/>
        <w:suppressLineNumbers w:val="0"/>
      </w:pPr>
    </w:p>
    <w:p w14:paraId="41B9D505">
      <w:pPr>
        <w:pStyle w:val="2"/>
        <w:keepNext w:val="0"/>
        <w:keepLines w:val="0"/>
        <w:widowControl/>
        <w:suppressLineNumbers w:val="0"/>
      </w:pPr>
    </w:p>
    <w:p w14:paraId="2DF032EF">
      <w:pPr>
        <w:keepNext w:val="0"/>
        <w:keepLines w:val="0"/>
        <w:widowControl/>
        <w:suppressLineNumbers w:val="0"/>
        <w:jc w:val="left"/>
      </w:pPr>
    </w:p>
    <w:p w14:paraId="0DE5B492">
      <w:pPr>
        <w:keepNext w:val="0"/>
        <w:keepLines w:val="0"/>
        <w:widowControl/>
        <w:suppressLineNumbers w:val="0"/>
        <w:jc w:val="left"/>
      </w:pPr>
    </w:p>
    <w:p w14:paraId="41842ADC">
      <w:r>
        <w:drawing>
          <wp:inline distT="0" distB="0" distL="114300" distR="114300">
            <wp:extent cx="2432685" cy="3419475"/>
            <wp:effectExtent l="0" t="0" r="5715" b="952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90140" cy="3418205"/>
            <wp:effectExtent l="0" t="0" r="10160" b="1079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CC484">
      <w:pPr>
        <w:pStyle w:val="2"/>
        <w:keepNext w:val="0"/>
        <w:keepLines w:val="0"/>
        <w:widowControl/>
        <w:suppressLineNumbers w:val="0"/>
      </w:pPr>
    </w:p>
    <w:p w14:paraId="7A4CB7EB">
      <w:pPr>
        <w:pStyle w:val="2"/>
        <w:keepNext w:val="0"/>
        <w:keepLines w:val="0"/>
        <w:widowControl/>
        <w:suppressLineNumbers w:val="0"/>
      </w:pPr>
      <w:r>
        <w:t>An 8 mm × 80 mm balloon (Mustang, Boston Scientific) was used to pre-dilate the stenotic segment of the abdominal aorta.</w:t>
      </w:r>
    </w:p>
    <w:p w14:paraId="46CBC068">
      <w:r>
        <w:drawing>
          <wp:inline distT="0" distB="0" distL="114300" distR="114300">
            <wp:extent cx="2263775" cy="3285490"/>
            <wp:effectExtent l="0" t="0" r="3175" b="1016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09495" cy="3288665"/>
            <wp:effectExtent l="0" t="0" r="1460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328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57A1C">
      <w:pPr>
        <w:pStyle w:val="2"/>
        <w:keepNext w:val="0"/>
        <w:keepLines w:val="0"/>
        <w:widowControl/>
        <w:suppressLineNumbers w:val="0"/>
      </w:pPr>
      <w:r>
        <w:br w:type="textWrapping"/>
      </w:r>
      <w:r>
        <w:t>"One 6 mm × 20 cm coil (Interlock, Boston Scientific) was used to embolize the inferior mesenteric artery."</w:t>
      </w:r>
    </w:p>
    <w:p w14:paraId="165FCA2E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2536190" cy="3712210"/>
            <wp:effectExtent l="0" t="0" r="16510" b="25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371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C2EFD">
      <w:pPr>
        <w:pStyle w:val="2"/>
        <w:keepNext w:val="0"/>
        <w:keepLines w:val="0"/>
        <w:widowControl/>
        <w:suppressLineNumbers w:val="0"/>
      </w:pPr>
      <w:r>
        <w:t>A main stent (G-iliac™: LifeTech IB-1412-060-13) was deployed via the right femoral artery approach.</w:t>
      </w:r>
    </w:p>
    <w:p w14:paraId="11B8F435">
      <w:pPr>
        <w:keepNext w:val="0"/>
        <w:keepLines w:val="0"/>
        <w:widowControl/>
        <w:suppressLineNumbers w:val="0"/>
        <w:jc w:val="left"/>
      </w:pPr>
    </w:p>
    <w:p w14:paraId="1F50EB3B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2472055" cy="3469005"/>
            <wp:effectExtent l="0" t="0" r="4445" b="171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205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16398">
      <w:pPr>
        <w:pStyle w:val="2"/>
        <w:keepNext w:val="0"/>
        <w:keepLines w:val="0"/>
        <w:widowControl/>
        <w:suppressLineNumbers w:val="0"/>
      </w:pPr>
      <w:r>
        <w:t>After the main stent was deployed, a single-curve catheter was pre-positioned (or pre-placed).</w:t>
      </w:r>
    </w:p>
    <w:p w14:paraId="1274F55E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2574290" cy="3492500"/>
            <wp:effectExtent l="0" t="0" r="16510" b="1270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3606B">
      <w:pPr>
        <w:pStyle w:val="2"/>
        <w:keepNext w:val="0"/>
        <w:keepLines w:val="0"/>
        <w:widowControl/>
        <w:suppressLineNumbers w:val="0"/>
      </w:pPr>
      <w:r>
        <w:t>A branch stent (SilverFlow™: LifeTech PS-C-10060-XL) was introduced from the left side.</w:t>
      </w:r>
    </w:p>
    <w:p w14:paraId="00B52C06">
      <w:pPr>
        <w:keepNext w:val="0"/>
        <w:keepLines w:val="0"/>
        <w:widowControl/>
        <w:suppressLineNumbers w:val="0"/>
        <w:jc w:val="left"/>
      </w:pPr>
    </w:p>
    <w:p w14:paraId="0F4895E7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2011045" cy="3405505"/>
            <wp:effectExtent l="0" t="0" r="8255" b="444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67255" cy="3395980"/>
            <wp:effectExtent l="0" t="0" r="4445" b="1397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99A2A">
      <w:pPr>
        <w:pStyle w:val="2"/>
        <w:keepNext w:val="0"/>
        <w:keepLines w:val="0"/>
        <w:widowControl/>
        <w:suppressLineNumbers w:val="0"/>
      </w:pPr>
      <w:r>
        <w:t>A 10 mm × 80 mm balloon (Mustang) was used to dilate the proximal and distal portions of the stent overlap zone to increase the luminal diameter.</w:t>
      </w:r>
    </w:p>
    <w:p w14:paraId="747C2F87">
      <w:pPr>
        <w:keepNext w:val="0"/>
        <w:keepLines w:val="0"/>
        <w:widowControl/>
        <w:suppressLineNumbers w:val="0"/>
        <w:jc w:val="left"/>
      </w:pPr>
    </w:p>
    <w:p w14:paraId="3E8B0150"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2290445" cy="3250565"/>
            <wp:effectExtent l="0" t="0" r="14605" b="698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79650" cy="3255010"/>
            <wp:effectExtent l="0" t="0" r="6350" b="254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87538">
      <w:pPr>
        <w:rPr>
          <w:rFonts w:hint="eastAsia"/>
        </w:rPr>
      </w:pPr>
      <w:r>
        <w:rPr>
          <w:rFonts w:hint="eastAsia"/>
        </w:rPr>
        <w:t xml:space="preserve">Insert a 15mm </w:t>
      </w:r>
      <w:r>
        <w:t>×</w:t>
      </w:r>
      <w:r>
        <w:rPr>
          <w:rFonts w:hint="eastAsia"/>
        </w:rPr>
        <w:t xml:space="preserve"> 40cm coil into the aneurysm sac</w:t>
      </w:r>
      <w:bookmarkStart w:id="0" w:name="_GoBack"/>
      <w:bookmarkEnd w:id="0"/>
      <w:r>
        <w:rPr>
          <w:rFonts w:hint="eastAsia"/>
        </w:rPr>
        <w:t xml:space="preserve"> to prevent long-term type II leakage</w:t>
      </w:r>
    </w:p>
    <w:p w14:paraId="78E8A4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000DE"/>
    <w:rsid w:val="180F664E"/>
    <w:rsid w:val="36BB532C"/>
    <w:rsid w:val="452770E1"/>
    <w:rsid w:val="454669E0"/>
    <w:rsid w:val="6B154643"/>
    <w:rsid w:val="74C4779E"/>
    <w:rsid w:val="7D47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2025-11-28T13:23:05Z</dcterms:created>
  <dc:creator>Administrator</dc:creator>
  <cp:lastModifiedBy>沙呀啦那</cp:lastModifiedBy>
  <dcterms:modified xsi:type="dcterms:W3CDTF">2025-11-28T13:36:24Z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eyJoZGlkIjoiOTE0ZTk1ZTk1MjI0NjZjZGE3NmRlNDZmZWVlMWY2ZmUiLCJ1c2VySWQiOiI0MTY4NDgwNDYifQ==</vt:lpwstr>
  </property>
  <property fmtid="{D5CDD505-2E9C-101B-9397-08002B2CF9AE}" pid="4" name="ICV">
    <vt:lpwstr>29F89AC05D8E4835AF9F2FD90435D42E_12</vt:lpwstr>
  </property>
</Properties>
</file>