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34694" w14:textId="77777777" w:rsidR="00C11801" w:rsidRDefault="00000000">
      <w:pPr>
        <w:pStyle w:val="aa"/>
      </w:pPr>
      <w:r>
        <w:t>Supplementary Material</w:t>
      </w:r>
    </w:p>
    <w:p w14:paraId="1FE7729C" w14:textId="77777777" w:rsidR="00C11801" w:rsidRDefault="00000000">
      <w:r>
        <w:t>This supplement provides additional methodological detail supporting the dream-content coding and the exploratory dictionary-based counts reported in the main manuscript. Clinical case details and representative dream narratives (including the index dream) are provided in the main manuscript (Table 5).</w:t>
      </w:r>
    </w:p>
    <w:p w14:paraId="0D249228" w14:textId="77777777" w:rsidR="00C11801" w:rsidRDefault="00000000">
      <w:pPr>
        <w:pStyle w:val="1"/>
      </w:pPr>
      <w:r>
        <w:t>S1. Supplementary Methods</w:t>
      </w:r>
    </w:p>
    <w:p w14:paraId="4F07C6F2" w14:textId="77777777" w:rsidR="00C11801" w:rsidRDefault="00000000">
      <w:r>
        <w:t>S1.1 Operational definitions (codebook v1.2; fixed before analysis).</w:t>
      </w:r>
    </w:p>
    <w:p w14:paraId="78681784" w14:textId="77777777" w:rsidR="00C11801" w:rsidRDefault="00000000">
      <w:pPr>
        <w:pStyle w:val="a0"/>
      </w:pPr>
      <w:r>
        <w:t>Obstruction: explicit external barriers (closed/unavailable/blocked; failure to reach/enter/complete due to external constraints).</w:t>
      </w:r>
    </w:p>
    <w:p w14:paraId="4C5B087B" w14:textId="77777777" w:rsidR="00C11801" w:rsidRDefault="00000000">
      <w:pPr>
        <w:pStyle w:val="a0"/>
      </w:pPr>
      <w:r>
        <w:t>Fear: explicit fear terms (e.g., “scared/frightened”, “fear”, “being chased/attacked/strangled”, “about to die”), not generalised worry/anxiety.</w:t>
      </w:r>
    </w:p>
    <w:p w14:paraId="5B613551" w14:textId="77777777" w:rsidR="00C11801" w:rsidRDefault="00000000">
      <w:pPr>
        <w:pStyle w:val="a0"/>
      </w:pPr>
      <w:r>
        <w:t>Anger: explicit anger/irritation terms (e.g., “angry”, “irritated”, “argue”, “yell”, “complain”).</w:t>
      </w:r>
    </w:p>
    <w:p w14:paraId="3B474E13" w14:textId="77777777" w:rsidR="00C11801" w:rsidRDefault="00000000">
      <w:pPr>
        <w:pStyle w:val="a0"/>
      </w:pPr>
      <w:r>
        <w:t>Motif 10 (descriptive): counted only if all three textual elements are present: (a) public setting, (b) reciprocal interaction (dialog/transaction), and (c) concrete execution/role completion (e.g., submission/receipt/repair/purchase/appointment completion). Scene words alone (e.g., “at a shop”) are insufficient.</w:t>
      </w:r>
    </w:p>
    <w:p w14:paraId="398B0D17" w14:textId="77777777" w:rsidR="00C11801" w:rsidRDefault="00000000">
      <w:r>
        <w:t>S1.2 Double-label procedure (n=50; target pre=10, peri=10, post=30; realised pre=9, peri=11, post=30).</w:t>
      </w:r>
    </w:p>
    <w:p/>
    <w:p/>
    <w:p/>
    <w:p>
      <w:r>
        <w:t xml:space="preserve">From the deduplicated 362-dream corpus, each record was assigned a de-identified study ID and classified by period (pre-ketamine 2009-2013, ketamine year 2014, or post-ketamine 2015-2025). Before motif coding, a period-stratified random selection without replacement was performed from study-ID lists only, targeting 10/10/30 records. ChatGPT assisted only with administrative random selection and re-ordering of de-identified study IDs; no dream narrative text was provided to ChatGPT. Selection was based on ID and period stratum only, not on content, motif labels, affective tone, or clinical outcome.</w:t>
      </w:r>
    </w:p>
    <w:p>
      <w:r>
        <w:t xml:space="preserve">After date-based period assignment and reclassification, the realised double-coded subset was 9/11/30. Selected texts were stripped of dates and period labels, pooled, re-ordered, and independently coded by the treating clinician and external psychiatrist; period labels were masked, and raters were also blind to each other's labels. No adjudication was performed. Inter-rater reliability was computed on independent pre-adjudication ratings using Cohen's kappa and raw agreement.</w:t>
      </w:r>
    </w:p>
    <w:p w14:paraId="528BAF37" w14:textId="77777777" w:rsidR="00C11801" w:rsidRDefault="00000000">
      <w:r>
        <w:t>S1.3 Full-set exploratory counts (n=362).</w:t>
      </w:r>
    </w:p>
    <w:p w14:paraId="53CDBD8D" w14:textId="77777777" w:rsidR="00C11801" w:rsidRDefault="00000000">
      <w:r>
        <w:t>A v1.2 dictionary was applied as automated pattern rules to all deduplicated dream texts; counts are exploratory and used to document directional concordance only.</w:t>
      </w:r>
    </w:p>
    <w:p w14:paraId="16EDABA2" w14:textId="77777777" w:rsidR="00C11801" w:rsidRDefault="00000000">
      <w:r>
        <w:br w:type="page"/>
      </w:r>
    </w:p>
    <w:p w14:paraId="36DE1E6C" w14:textId="77777777" w:rsidR="00C11801" w:rsidRDefault="00000000">
      <w:r>
        <w:lastRenderedPageBreak/>
        <w:t>Supplementary Table S1 summarises period-wise aggregate counts for the full de-identified corpus (n=362); descriptive only (no hypothesis testing).</w:t>
      </w:r>
    </w:p>
    <w:p w14:paraId="0241F466" w14:textId="77777777" w:rsidR="00C11801" w:rsidRDefault="00000000">
      <w:r>
        <w:t>Supplementary Table S1. Full-set exploratory dictionary-based counts by period (n=362).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1438"/>
        <w:gridCol w:w="1438"/>
        <w:gridCol w:w="1440"/>
        <w:gridCol w:w="1438"/>
        <w:gridCol w:w="1438"/>
        <w:gridCol w:w="1438"/>
      </w:tblGrid>
      <w:tr w:rsidR="00C11801" w14:paraId="3ADAE2C9" w14:textId="77777777">
        <w:trPr>
          <w:cantSplit/>
        </w:trPr>
        <w:tc>
          <w:tcPr>
            <w:tcW w:w="1440" w:type="dxa"/>
          </w:tcPr>
          <w:p w14:paraId="37499465" w14:textId="77777777" w:rsidR="00C11801" w:rsidRDefault="00000000">
            <w:r>
              <w:t>Period</w:t>
            </w:r>
          </w:p>
        </w:tc>
        <w:tc>
          <w:tcPr>
            <w:tcW w:w="1440" w:type="dxa"/>
          </w:tcPr>
          <w:p w14:paraId="1CCEA809" w14:textId="77777777" w:rsidR="00C11801" w:rsidRDefault="00000000">
            <w:r>
              <w:t>Dream records (n)</w:t>
            </w:r>
          </w:p>
        </w:tc>
        <w:tc>
          <w:tcPr>
            <w:tcW w:w="1440" w:type="dxa"/>
          </w:tcPr>
          <w:p w14:paraId="3F11145F" w14:textId="77777777" w:rsidR="00C11801" w:rsidRDefault="00000000">
            <w:r>
              <w:t>Obstruction n (%)</w:t>
            </w:r>
          </w:p>
        </w:tc>
        <w:tc>
          <w:tcPr>
            <w:tcW w:w="1440" w:type="dxa"/>
          </w:tcPr>
          <w:p w14:paraId="0D4755B5" w14:textId="77777777" w:rsidR="00C11801" w:rsidRDefault="00000000">
            <w:r>
              <w:t>Fear n (%)</w:t>
            </w:r>
          </w:p>
        </w:tc>
        <w:tc>
          <w:tcPr>
            <w:tcW w:w="1440" w:type="dxa"/>
          </w:tcPr>
          <w:p w14:paraId="04AFC864" w14:textId="77777777" w:rsidR="00C11801" w:rsidRDefault="00000000">
            <w:r>
              <w:t>Anger n (%)</w:t>
            </w:r>
          </w:p>
        </w:tc>
        <w:tc>
          <w:tcPr>
            <w:tcW w:w="1440" w:type="dxa"/>
          </w:tcPr>
          <w:p w14:paraId="66A74A51" w14:textId="77777777" w:rsidR="00C11801" w:rsidRDefault="00000000">
            <w:r>
              <w:t>Motif 10 n (%)</w:t>
            </w:r>
          </w:p>
        </w:tc>
      </w:tr>
      <w:tr w:rsidR="00C11801" w14:paraId="06AB3960" w14:textId="77777777">
        <w:trPr>
          <w:cantSplit/>
        </w:trPr>
        <w:tc>
          <w:tcPr>
            <w:tcW w:w="1440" w:type="dxa"/>
          </w:tcPr>
          <w:p w14:paraId="7A3B1F4B" w14:textId="77777777" w:rsidR="00C11801" w:rsidRDefault="00000000">
            <w:r>
              <w:t>Pre-ketamine</w:t>
            </w:r>
          </w:p>
        </w:tc>
        <w:tc>
          <w:tcPr>
            <w:tcW w:w="1440" w:type="dxa"/>
          </w:tcPr>
          <w:p w14:paraId="492C7E20" w14:textId="77777777" w:rsidR="00C11801" w:rsidRDefault="00000000">
            <w:r>
              <w:t>112</w:t>
            </w:r>
          </w:p>
        </w:tc>
        <w:tc>
          <w:tcPr>
            <w:tcW w:w="1440" w:type="dxa"/>
          </w:tcPr>
          <w:p w14:paraId="4AEF7175" w14:textId="77777777" w:rsidR="00C11801" w:rsidRDefault="00000000">
            <w:r>
              <w:t>30 (26.8%)</w:t>
            </w:r>
          </w:p>
        </w:tc>
        <w:tc>
          <w:tcPr>
            <w:tcW w:w="1440" w:type="dxa"/>
          </w:tcPr>
          <w:p w14:paraId="5EE07B8E" w14:textId="77777777" w:rsidR="00C11801" w:rsidRDefault="00000000">
            <w:r>
              <w:t>15 (13.4%)</w:t>
            </w:r>
          </w:p>
        </w:tc>
        <w:tc>
          <w:tcPr>
            <w:tcW w:w="1440" w:type="dxa"/>
          </w:tcPr>
          <w:p w14:paraId="64F0DF8F" w14:textId="77777777" w:rsidR="00C11801" w:rsidRDefault="00000000">
            <w:r>
              <w:t>11 (9.8%)</w:t>
            </w:r>
          </w:p>
        </w:tc>
        <w:tc>
          <w:tcPr>
            <w:tcW w:w="1440" w:type="dxa"/>
          </w:tcPr>
          <w:p w14:paraId="07BD5D26" w14:textId="77777777" w:rsidR="00C11801" w:rsidRDefault="00000000">
            <w:r>
              <w:t>3 (2.7%)</w:t>
            </w:r>
          </w:p>
        </w:tc>
      </w:tr>
      <w:tr w:rsidR="00C11801" w14:paraId="50F6E12C" w14:textId="77777777">
        <w:trPr>
          <w:cantSplit/>
        </w:trPr>
        <w:tc>
          <w:tcPr>
            <w:tcW w:w="1440" w:type="dxa"/>
          </w:tcPr>
          <w:p w14:paraId="71C4BEAF" w14:textId="77777777" w:rsidR="00C11801" w:rsidRDefault="00000000">
            <w:r>
              <w:t>Ketamine year</w:t>
            </w:r>
          </w:p>
        </w:tc>
        <w:tc>
          <w:tcPr>
            <w:tcW w:w="1440" w:type="dxa"/>
          </w:tcPr>
          <w:p w14:paraId="23D4433A" w14:textId="77777777" w:rsidR="00C11801" w:rsidRDefault="00000000">
            <w:r>
              <w:t>20</w:t>
            </w:r>
          </w:p>
        </w:tc>
        <w:tc>
          <w:tcPr>
            <w:tcW w:w="1440" w:type="dxa"/>
          </w:tcPr>
          <w:p w14:paraId="2123C118" w14:textId="77777777" w:rsidR="00C11801" w:rsidRDefault="00000000">
            <w:r>
              <w:t>4 (20.0%)</w:t>
            </w:r>
          </w:p>
        </w:tc>
        <w:tc>
          <w:tcPr>
            <w:tcW w:w="1440" w:type="dxa"/>
          </w:tcPr>
          <w:p w14:paraId="73B371F5" w14:textId="77777777" w:rsidR="00C11801" w:rsidRDefault="00000000">
            <w:r>
              <w:t>2 (10.0%)</w:t>
            </w:r>
          </w:p>
        </w:tc>
        <w:tc>
          <w:tcPr>
            <w:tcW w:w="1440" w:type="dxa"/>
          </w:tcPr>
          <w:p w14:paraId="4627C5B4" w14:textId="77777777" w:rsidR="00C11801" w:rsidRDefault="00000000">
            <w:r>
              <w:t>2 (10.0%)</w:t>
            </w:r>
          </w:p>
        </w:tc>
        <w:tc>
          <w:tcPr>
            <w:tcW w:w="1440" w:type="dxa"/>
          </w:tcPr>
          <w:p w14:paraId="7ED87469" w14:textId="77777777" w:rsidR="00C11801" w:rsidRDefault="00000000">
            <w:r>
              <w:t>1 (5.0%)</w:t>
            </w:r>
          </w:p>
        </w:tc>
      </w:tr>
      <w:tr w:rsidR="00C11801" w14:paraId="4AC4DA0A" w14:textId="77777777">
        <w:trPr>
          <w:cantSplit/>
        </w:trPr>
        <w:tc>
          <w:tcPr>
            <w:tcW w:w="1440" w:type="dxa"/>
          </w:tcPr>
          <w:p w14:paraId="2A2926BC" w14:textId="77777777" w:rsidR="00C11801" w:rsidRDefault="00000000">
            <w:r>
              <w:t>Post-ketamine</w:t>
            </w:r>
          </w:p>
        </w:tc>
        <w:tc>
          <w:tcPr>
            <w:tcW w:w="1440" w:type="dxa"/>
          </w:tcPr>
          <w:p w14:paraId="07BFB44C" w14:textId="77777777" w:rsidR="00C11801" w:rsidRDefault="00000000">
            <w:r>
              <w:t>230</w:t>
            </w:r>
          </w:p>
        </w:tc>
        <w:tc>
          <w:tcPr>
            <w:tcW w:w="1440" w:type="dxa"/>
          </w:tcPr>
          <w:p w14:paraId="60746B59" w14:textId="77777777" w:rsidR="00C11801" w:rsidRDefault="00000000">
            <w:r>
              <w:t>39 (17.0%)</w:t>
            </w:r>
          </w:p>
        </w:tc>
        <w:tc>
          <w:tcPr>
            <w:tcW w:w="1440" w:type="dxa"/>
          </w:tcPr>
          <w:p w14:paraId="6D4727D2" w14:textId="77777777" w:rsidR="00C11801" w:rsidRDefault="00000000">
            <w:r>
              <w:t>8 (3.5%)</w:t>
            </w:r>
          </w:p>
        </w:tc>
        <w:tc>
          <w:tcPr>
            <w:tcW w:w="1440" w:type="dxa"/>
          </w:tcPr>
          <w:p w14:paraId="5DCF921B" w14:textId="77777777" w:rsidR="00C11801" w:rsidRDefault="00000000">
            <w:r>
              <w:t>17 (7.4%)</w:t>
            </w:r>
          </w:p>
        </w:tc>
        <w:tc>
          <w:tcPr>
            <w:tcW w:w="1440" w:type="dxa"/>
          </w:tcPr>
          <w:p w14:paraId="7F250885" w14:textId="77777777" w:rsidR="00C11801" w:rsidRDefault="00000000">
            <w:r>
              <w:t>7 (3.0%)</w:t>
            </w:r>
          </w:p>
        </w:tc>
      </w:tr>
      <w:tr w:rsidR="00C11801" w14:paraId="1514BFC0" w14:textId="77777777">
        <w:trPr>
          <w:cantSplit/>
        </w:trPr>
        <w:tc>
          <w:tcPr>
            <w:tcW w:w="1440" w:type="dxa"/>
          </w:tcPr>
          <w:p w14:paraId="7CED980E" w14:textId="77777777" w:rsidR="00C11801" w:rsidRDefault="00000000">
            <w:r>
              <w:t>Total</w:t>
            </w:r>
          </w:p>
        </w:tc>
        <w:tc>
          <w:tcPr>
            <w:tcW w:w="1440" w:type="dxa"/>
          </w:tcPr>
          <w:p w14:paraId="41EF5CE7" w14:textId="77777777" w:rsidR="00C11801" w:rsidRDefault="00000000">
            <w:r>
              <w:t>362</w:t>
            </w:r>
          </w:p>
        </w:tc>
        <w:tc>
          <w:tcPr>
            <w:tcW w:w="1440" w:type="dxa"/>
          </w:tcPr>
          <w:p w14:paraId="16CBE1A9" w14:textId="77777777" w:rsidR="00C11801" w:rsidRDefault="00000000">
            <w:r>
              <w:t>73 (20.2%)</w:t>
            </w:r>
          </w:p>
        </w:tc>
        <w:tc>
          <w:tcPr>
            <w:tcW w:w="1440" w:type="dxa"/>
          </w:tcPr>
          <w:p w14:paraId="269CDEC5" w14:textId="77777777" w:rsidR="00C11801" w:rsidRDefault="00000000">
            <w:r>
              <w:t>25 (6.9%)</w:t>
            </w:r>
          </w:p>
        </w:tc>
        <w:tc>
          <w:tcPr>
            <w:tcW w:w="1440" w:type="dxa"/>
          </w:tcPr>
          <w:p w14:paraId="6B1B0541" w14:textId="77777777" w:rsidR="00C11801" w:rsidRDefault="00000000">
            <w:r>
              <w:t>30 (8.3%)</w:t>
            </w:r>
          </w:p>
        </w:tc>
        <w:tc>
          <w:tcPr>
            <w:tcW w:w="1440" w:type="dxa"/>
          </w:tcPr>
          <w:p w14:paraId="06A578B7" w14:textId="77777777" w:rsidR="00C11801" w:rsidRDefault="00000000">
            <w:r>
              <w:t>11 (3.0%)</w:t>
            </w:r>
          </w:p>
        </w:tc>
      </w:tr>
    </w:tbl>
    <w:p w14:paraId="580CF63A" w14:textId="77777777" w:rsidR="00C11801" w:rsidRDefault="00000000">
      <w:r>
        <w:t>Notes: Counts are exploratory and based on pre-specified dictionary string-matching rules applied to Japanese dream narratives. Categories are not mutually exclusive; percentages are within period. No hypothesis testing was performed.</w:t>
      </w:r>
    </w:p>
    <w:p w14:paraId="044EE1DF" w14:textId="77777777" w:rsidR="00C11801" w:rsidRDefault="00000000">
      <w:r>
        <w:t xml:space="preserve">Dictionary rule summary (examples of key phrases): Obstruction (e.g., </w:t>
      </w:r>
      <w:r>
        <w:t>たどり着</w:t>
      </w:r>
      <w:r>
        <w:t xml:space="preserve">-, </w:t>
      </w:r>
      <w:r>
        <w:t>行けな</w:t>
      </w:r>
      <w:r>
        <w:t xml:space="preserve">-, </w:t>
      </w:r>
      <w:r>
        <w:t>入れな</w:t>
      </w:r>
      <w:r>
        <w:t xml:space="preserve">-, </w:t>
      </w:r>
      <w:r>
        <w:t>閉店</w:t>
      </w:r>
      <w:r>
        <w:t>/</w:t>
      </w:r>
      <w:r>
        <w:t>閉ま</w:t>
      </w:r>
      <w:r>
        <w:t xml:space="preserve">-, </w:t>
      </w:r>
      <w:r>
        <w:t>れな</w:t>
      </w:r>
      <w:r>
        <w:t xml:space="preserve">-, </w:t>
      </w:r>
      <w:r>
        <w:t>間に合わ</w:t>
      </w:r>
      <w:r>
        <w:t xml:space="preserve">-, </w:t>
      </w:r>
      <w:r>
        <w:t>見つから</w:t>
      </w:r>
      <w:r>
        <w:t xml:space="preserve">-, </w:t>
      </w:r>
      <w:r>
        <w:t>探して</w:t>
      </w:r>
      <w:r>
        <w:t xml:space="preserve">, </w:t>
      </w:r>
      <w:r>
        <w:t>鍵</w:t>
      </w:r>
      <w:r>
        <w:t xml:space="preserve">, </w:t>
      </w:r>
      <w:r>
        <w:t>邪魔</w:t>
      </w:r>
      <w:r>
        <w:t>/</w:t>
      </w:r>
      <w:r>
        <w:t>妨</w:t>
      </w:r>
      <w:r>
        <w:t>/</w:t>
      </w:r>
      <w:r>
        <w:t>止めら</w:t>
      </w:r>
      <w:r>
        <w:t xml:space="preserve">-, </w:t>
      </w:r>
      <w:r>
        <w:t>通れな</w:t>
      </w:r>
      <w:r>
        <w:t xml:space="preserve">-, </w:t>
      </w:r>
      <w:r>
        <w:t>できな</w:t>
      </w:r>
      <w:r>
        <w:t xml:space="preserve">-). Fear (e.g., </w:t>
      </w:r>
      <w:r>
        <w:t>怖</w:t>
      </w:r>
      <w:r>
        <w:t xml:space="preserve">-, </w:t>
      </w:r>
      <w:r>
        <w:t>恐</w:t>
      </w:r>
      <w:r>
        <w:t xml:space="preserve">-, </w:t>
      </w:r>
      <w:r>
        <w:t>追われ</w:t>
      </w:r>
      <w:r>
        <w:t xml:space="preserve">-, </w:t>
      </w:r>
      <w:r>
        <w:t>襲われ</w:t>
      </w:r>
      <w:r>
        <w:t xml:space="preserve">-, </w:t>
      </w:r>
      <w:r>
        <w:t>殺</w:t>
      </w:r>
      <w:r>
        <w:t xml:space="preserve">-, </w:t>
      </w:r>
      <w:r>
        <w:t>首を絞め</w:t>
      </w:r>
      <w:r>
        <w:t xml:space="preserve">-, </w:t>
      </w:r>
      <w:r>
        <w:t>死</w:t>
      </w:r>
      <w:r>
        <w:t xml:space="preserve">-, </w:t>
      </w:r>
      <w:r>
        <w:t>溺</w:t>
      </w:r>
      <w:r>
        <w:t xml:space="preserve">-). Anger (e.g., </w:t>
      </w:r>
      <w:r>
        <w:t>怒</w:t>
      </w:r>
      <w:r>
        <w:t xml:space="preserve">-, </w:t>
      </w:r>
      <w:r>
        <w:t>腹立</w:t>
      </w:r>
      <w:r>
        <w:t xml:space="preserve">-, </w:t>
      </w:r>
      <w:r>
        <w:t>イライラ</w:t>
      </w:r>
      <w:r>
        <w:t xml:space="preserve">, </w:t>
      </w:r>
      <w:r>
        <w:t>文句</w:t>
      </w:r>
      <w:r>
        <w:t xml:space="preserve">, </w:t>
      </w:r>
      <w:r>
        <w:t>喧嘩</w:t>
      </w:r>
      <w:r>
        <w:t>/</w:t>
      </w:r>
      <w:r>
        <w:t>けんか</w:t>
      </w:r>
      <w:r>
        <w:t xml:space="preserve">, </w:t>
      </w:r>
      <w:r>
        <w:t>怒鳴</w:t>
      </w:r>
      <w:r>
        <w:t xml:space="preserve">-). Motif 10 required &gt;=1 term from each set: public setting (e.g., </w:t>
      </w:r>
      <w:r>
        <w:t>銀行</w:t>
      </w:r>
      <w:r>
        <w:t xml:space="preserve">, </w:t>
      </w:r>
      <w:r>
        <w:t>店</w:t>
      </w:r>
      <w:r>
        <w:t xml:space="preserve">, </w:t>
      </w:r>
      <w:r>
        <w:t>スーパー</w:t>
      </w:r>
      <w:r>
        <w:t xml:space="preserve">, </w:t>
      </w:r>
      <w:r>
        <w:t>役所</w:t>
      </w:r>
      <w:r>
        <w:t xml:space="preserve">, </w:t>
      </w:r>
      <w:r>
        <w:t>窓口</w:t>
      </w:r>
      <w:r>
        <w:t xml:space="preserve">, </w:t>
      </w:r>
      <w:r>
        <w:t>会社</w:t>
      </w:r>
      <w:r>
        <w:t xml:space="preserve">), reciprocal interaction (e.g., </w:t>
      </w:r>
      <w:r>
        <w:t>店員</w:t>
      </w:r>
      <w:r>
        <w:t xml:space="preserve">, </w:t>
      </w:r>
      <w:r>
        <w:t>窓口</w:t>
      </w:r>
      <w:r>
        <w:t xml:space="preserve">, </w:t>
      </w:r>
      <w:r>
        <w:t>会話</w:t>
      </w:r>
      <w:r>
        <w:t xml:space="preserve">, </w:t>
      </w:r>
      <w:r>
        <w:t>相談</w:t>
      </w:r>
      <w:r>
        <w:t xml:space="preserve">, </w:t>
      </w:r>
      <w:r>
        <w:t>質問</w:t>
      </w:r>
      <w:r>
        <w:t xml:space="preserve">, </w:t>
      </w:r>
      <w:r>
        <w:t>返事</w:t>
      </w:r>
      <w:r>
        <w:t xml:space="preserve">, </w:t>
      </w:r>
      <w:r>
        <w:t>取引</w:t>
      </w:r>
      <w:r>
        <w:t xml:space="preserve">), and role completion (e.g., </w:t>
      </w:r>
      <w:r>
        <w:t>手続</w:t>
      </w:r>
      <w:r>
        <w:t xml:space="preserve">, </w:t>
      </w:r>
      <w:r>
        <w:t>支払</w:t>
      </w:r>
      <w:r>
        <w:t xml:space="preserve">, </w:t>
      </w:r>
      <w:r>
        <w:t>受け取</w:t>
      </w:r>
      <w:r>
        <w:t xml:space="preserve">, </w:t>
      </w:r>
      <w:r>
        <w:t>購入</w:t>
      </w:r>
      <w:r>
        <w:t xml:space="preserve">, </w:t>
      </w:r>
      <w:r>
        <w:t>完了</w:t>
      </w:r>
      <w:r>
        <w:t xml:space="preserve">, </w:t>
      </w:r>
      <w:r>
        <w:t>申請</w:t>
      </w:r>
      <w:r>
        <w:t xml:space="preserve">, </w:t>
      </w:r>
      <w:r>
        <w:t>振込</w:t>
      </w:r>
      <w:r>
        <w:t>).</w:t>
      </w:r>
    </w:p>
    <w:p>
      <w:r>
        <w:t>Full-corpus dictionary counts for Motif 10 were sparse and are not intended to confirm a robust corpus-wide increase.</w:t>
      </w:r>
    </w:p>
    <w:p w14:paraId="613BD079" w14:textId="77777777" w:rsidR="00C11801" w:rsidRDefault="00000000">
      <w:r>
        <w:t>S1.4 De-identification for quotes and displays.</w:t>
      </w:r>
    </w:p>
    <w:p w14:paraId="4EB98F18" w14:textId="77777777" w:rsidR="00C11801" w:rsidRDefault="00000000">
      <w:r>
        <w:t>Religious/group names were generalised (e.g., “[religious organisation]”), specific place names replaced by generic placeholders (e.g., “[station]”).</w:t>
      </w:r>
    </w:p>
    <w:p w14:paraId="3FB35D17" w14:textId="77777777" w:rsidR="00C11801" w:rsidRDefault="00000000">
      <w:r>
        <w:t>To reduce re-identification risk, day-level calendar dates were removed and remaining dates were coarsened in displays (month- or year-level used only where necessary).</w:t>
      </w:r>
    </w:p>
    <w:p w14:paraId="5F071F3C" w14:textId="77777777" w:rsidR="00C11801" w:rsidRDefault="00000000">
      <w:pPr>
        <w:pStyle w:val="1"/>
      </w:pPr>
      <w:r>
        <w:t>S2. Reliability</w:t>
      </w:r>
    </w:p>
    <w:p/>
    <w:p/>
    <w:p>
      <w:r>
        <w:t xml:space="preserve">Inter-rater reliability was computed on the 50 independent pre-adjudication ratings. Supplementary Table S2 reports raw agreement and Cohen's kappa for the primary motifs and Motif 10; low-prevalence kappa values should be interpreted cautiously.</w:t>
      </w:r>
    </w:p>
    <w:p>
      <w:r>
        <w:t xml:space="preserve">Supplementary Table S2. Inter-rater agreement for primary motifs and Motif 10 (n=50).</w:t>
      </w:r>
    </w:p>
    <w:tbl>
      <w:tblPr>
        <w:tblStyle w:val="afe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vAlign w:val="center"/>
          </w:tcPr>
          <w:p>
            <w:r/>
            <w:r>
              <w:rPr>
                <w:b/>
              </w:rPr>
              <w:t>Motif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/>
              </w:rPr>
              <w:t>Treating clinician positive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/>
              </w:rPr>
              <w:t>External psychiatrist positive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/>
              </w:rPr>
              <w:t>Raw agreement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/>
              </w:rPr>
              <w:t>Cohen's kappa</w:t>
            </w:r>
          </w:p>
        </w:tc>
      </w:tr>
      <w:tr>
        <w:tc>
          <w:tcPr>
            <w:tcW w:type="dxa" w:w="1728"/>
            <w:vAlign w:val="center"/>
          </w:tcPr>
          <w:p>
            <w:r/>
            <w:r>
              <w:rPr>
                <w:b w:val="0"/>
              </w:rPr>
              <w:t>Obstruction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</w:rPr>
              <w:t>14/50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</w:rPr>
              <w:t>17/50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</w:rPr>
              <w:t>43/50 (86.0%)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</w:rPr>
              <w:t>0.674</w:t>
            </w:r>
          </w:p>
        </w:tc>
      </w:tr>
      <w:tr>
        <w:tc>
          <w:tcPr>
            <w:tcW w:type="dxa" w:w="1728"/>
            <w:vAlign w:val="center"/>
          </w:tcPr>
          <w:p>
            <w:r/>
            <w:r>
              <w:rPr>
                <w:b w:val="0"/>
              </w:rPr>
              <w:t>Fear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</w:rPr>
              <w:t>2/50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</w:rPr>
              <w:t>0/50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</w:rPr>
              <w:t>48/50 (96.0%)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</w:rPr>
              <w:t>0.000</w:t>
            </w:r>
          </w:p>
        </w:tc>
      </w:tr>
      <w:tr>
        <w:tc>
          <w:tcPr>
            <w:tcW w:type="dxa" w:w="1728"/>
            <w:vAlign w:val="center"/>
          </w:tcPr>
          <w:p>
            <w:r/>
            <w:r>
              <w:rPr>
                <w:b w:val="0"/>
              </w:rPr>
              <w:t>Anger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</w:rPr>
              <w:t>2/50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</w:rPr>
              <w:t>2/50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</w:rPr>
              <w:t>50/50 (100.0%)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</w:rPr>
              <w:t>1.000</w:t>
            </w:r>
          </w:p>
        </w:tc>
      </w:tr>
      <w:tr>
        <w:tc>
          <w:tcPr>
            <w:tcW w:type="dxa" w:w="1728"/>
            <w:vAlign w:val="center"/>
          </w:tcPr>
          <w:p>
            <w:r/>
            <w:r>
              <w:rPr>
                <w:b w:val="0"/>
              </w:rPr>
              <w:t>Motif 10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</w:rPr>
              <w:t>17/50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</w:rPr>
              <w:t>18/50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</w:rPr>
              <w:t>47/50 (94.0%)</w:t>
            </w:r>
          </w:p>
        </w:tc>
        <w:tc>
          <w:tcPr>
            <w:tcW w:type="dxa" w:w="1728"/>
            <w:vAlign w:val="center"/>
          </w:tcPr>
          <w:p>
            <w:r/>
            <w:r>
              <w:rPr>
                <w:b w:val="0"/>
              </w:rPr>
              <w:t>0.868</w:t>
            </w:r>
          </w:p>
        </w:tc>
      </w:tr>
    </w:tbl>
    <w:p>
      <w:r>
        <w:t xml:space="preserve">Obstruction, fear, and anger are primary motifs; Motif 10 is the descriptive social-interaction/role-completion motif. Fear and anger were low-prevalence motifs. No adjudication was performed.</w:t>
      </w:r>
    </w:p>
    <w:p w14:paraId="4407B0BF" w14:textId="77777777" w:rsidR="00C11801" w:rsidRDefault="00000000">
      <w:pPr>
        <w:pStyle w:val="1"/>
      </w:pPr>
      <w:r>
        <w:t>S3. Supplementary Results</w:t>
      </w:r>
    </w:p>
    <w:p/>
    <w:p>
      <w:r>
        <w:t xml:space="preserve">S3.1 Motif 10 proportions by period (Figure 1A-B in the main manuscript).</w:t>
      </w:r>
    </w:p>
    <w:p/>
    <w:p>
      <w:r>
        <w:t xml:space="preserve">A single two-panel bar plot displays period-wise proportions for each rater separately; descriptive only (no hypothesis testing).</w:t>
      </w:r>
    </w:p>
    <w:p/>
    <w:p/>
    <w:p>
      <w:r>
        <w:t xml:space="preserve">Figure 1A shows the period-wise proportion of Motif 10 for the treating clinician (n=50; realised pre=9, peri=11, post=30).</w:t>
      </w:r>
    </w:p>
    <w:p>
      <w:r>
        <w:t xml:space="preserve">Figure 1B shows the period-wise proportion of Motif 10 for the external psychiatrist (n=50; realised pre=9, peri=11, post=30).</w:t>
      </w:r>
    </w:p>
    <w:p w14:paraId="586391ED" w14:textId="77777777" w:rsidR="00C11801" w:rsidRDefault="00000000">
      <w:r>
        <w:t>S3.2 DES/GCPS/PDAS (Tables 3-4 in the main manuscript).</w:t>
      </w:r>
    </w:p>
    <w:p w14:paraId="7EE22588" w14:textId="77777777" w:rsidR="00C11801" w:rsidRDefault="00000000">
      <w:r>
        <w:t>Descriptive clinical measures were used for context: DES (0-100; past→current), GCPS (2009→2025), and PDAS total scores across visits (n=26; summary). No inferential statistics were applied.</w:t>
      </w:r>
    </w:p>
    <w:p w14:paraId="44C6DCF3" w14:textId="77777777" w:rsidR="00C11801" w:rsidRDefault="00000000">
      <w:pPr>
        <w:pStyle w:val="1"/>
      </w:pPr>
      <w:r>
        <w:t>S4. Data &amp; materials</w:t>
      </w:r>
    </w:p>
    <w:p w14:paraId="1C172A93" w14:textId="77777777" w:rsidR="00C11801" w:rsidRDefault="00000000">
      <w:r>
        <w:t>The de-identified aggregate data supporting the findings of this case report (codebook, motif definitions, period-wise counts, and derived summary statistics) are included in the main manuscript and its supplementary files.</w:t>
      </w:r>
    </w:p>
    <w:p w14:paraId="3FC90A24" w14:textId="77777777" w:rsidR="00C11801" w:rsidRDefault="00000000">
      <w:r>
        <w:t>The full de-identified dream narratives are not publicly available because they constitute a longitudinal personal record and carry a residual risk of re-identification. They may be made available to the Editor-in-Chief and peer reviewers during editorial assessment upon request, but will not be shared publicly or with external researchers without appropriate additional safeguards and, where required, patient consent and/or ethics approval.</w:t>
      </w:r>
    </w:p>
    <w:sectPr w:rsidR="00C1180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4686860">
    <w:abstractNumId w:val="8"/>
  </w:num>
  <w:num w:numId="2" w16cid:durableId="1300766881">
    <w:abstractNumId w:val="6"/>
  </w:num>
  <w:num w:numId="3" w16cid:durableId="1384019006">
    <w:abstractNumId w:val="5"/>
  </w:num>
  <w:num w:numId="4" w16cid:durableId="1686899403">
    <w:abstractNumId w:val="4"/>
  </w:num>
  <w:num w:numId="5" w16cid:durableId="1761441087">
    <w:abstractNumId w:val="7"/>
  </w:num>
  <w:num w:numId="6" w16cid:durableId="775098360">
    <w:abstractNumId w:val="3"/>
  </w:num>
  <w:num w:numId="7" w16cid:durableId="1619333664">
    <w:abstractNumId w:val="2"/>
  </w:num>
  <w:num w:numId="8" w16cid:durableId="477653177">
    <w:abstractNumId w:val="1"/>
  </w:num>
  <w:num w:numId="9" w16cid:durableId="544830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227"/>
    <w:rsid w:val="0015074B"/>
    <w:rsid w:val="0029639D"/>
    <w:rsid w:val="00326F90"/>
    <w:rsid w:val="00AA1D8D"/>
    <w:rsid w:val="00B47730"/>
    <w:rsid w:val="00C11801"/>
    <w:rsid w:val="00CB0664"/>
    <w:rsid w:val="00EB4A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FE31B3"/>
  <w14:defaultImageDpi w14:val="300"/>
  <w15:docId w15:val="{EE8DF972-2DAF-469D-8DAB-383902DF2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 Torii</dc:creator>
  <cp:keywords/>
  <dc:description/>
  <cp:lastModifiedBy>Kei Torii</cp:lastModifiedBy>
  <cp:revision>2</cp:revision>
  <dcterms:created xsi:type="dcterms:W3CDTF">2026-01-17T15:51:00Z</dcterms:created>
  <dcterms:modified xsi:type="dcterms:W3CDTF">2026-01-17T15:51:00Z</dcterms:modified>
  <cp:category/>
</cp:coreProperties>
</file>