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AD" w:rsidRPr="00600AD3" w:rsidRDefault="00486563" w:rsidP="00952435">
      <w:pPr>
        <w:spacing w:line="240" w:lineRule="auto"/>
        <w:ind w:firstLineChars="0" w:firstLine="0"/>
        <w:jc w:val="center"/>
        <w:rPr>
          <w:b/>
          <w:sz w:val="36"/>
          <w:szCs w:val="36"/>
        </w:rPr>
      </w:pPr>
      <w:r>
        <w:rPr>
          <w:b/>
          <w:bCs/>
          <w:noProof/>
          <w:sz w:val="36"/>
          <w:szCs w:val="36"/>
          <w:lang w:val="en-US"/>
        </w:rPr>
        <w:t>Additional file 1</w:t>
      </w:r>
    </w:p>
    <w:p w:rsidR="0076297F" w:rsidRDefault="0076297F" w:rsidP="00952435">
      <w:pPr>
        <w:spacing w:line="240" w:lineRule="auto"/>
        <w:rPr>
          <w:kern w:val="0"/>
        </w:rPr>
      </w:pPr>
    </w:p>
    <w:p w:rsidR="000F3DFC" w:rsidRPr="000F3DFC" w:rsidRDefault="00C25871" w:rsidP="000F3DFC">
      <w:pPr>
        <w:pStyle w:val="ListParagraph"/>
        <w:numPr>
          <w:ilvl w:val="0"/>
          <w:numId w:val="1"/>
        </w:numPr>
        <w:spacing w:line="240" w:lineRule="auto"/>
        <w:ind w:leftChars="0" w:firstLineChars="0"/>
        <w:rPr>
          <w:rFonts w:eastAsia="Arial Unicode MS"/>
          <w:b/>
          <w:kern w:val="0"/>
        </w:rPr>
      </w:pPr>
      <w:r w:rsidRPr="00C25871">
        <w:rPr>
          <w:rFonts w:eastAsia="Arial Unicode MS"/>
          <w:b/>
          <w:kern w:val="0"/>
        </w:rPr>
        <w:t>Supplementary</w:t>
      </w:r>
      <w:r w:rsidRPr="00C25871">
        <w:rPr>
          <w:rFonts w:eastAsia="Arial Unicode MS" w:hint="eastAsia"/>
          <w:b/>
          <w:kern w:val="0"/>
        </w:rPr>
        <w:t xml:space="preserve"> </w:t>
      </w:r>
      <w:r>
        <w:rPr>
          <w:rFonts w:eastAsia="Arial Unicode MS" w:hint="eastAsia"/>
          <w:b/>
          <w:kern w:val="0"/>
        </w:rPr>
        <w:t>m</w:t>
      </w:r>
      <w:r w:rsidR="000F3DFC" w:rsidRPr="000F3DFC">
        <w:rPr>
          <w:rFonts w:eastAsia="Arial Unicode MS" w:hint="eastAsia"/>
          <w:b/>
          <w:kern w:val="0"/>
        </w:rPr>
        <w:t>aterials and methods</w:t>
      </w:r>
    </w:p>
    <w:p w:rsidR="000F3DFC" w:rsidRPr="00945785" w:rsidRDefault="000F3DFC" w:rsidP="000F3DFC">
      <w:pPr>
        <w:tabs>
          <w:tab w:val="left" w:pos="1331"/>
        </w:tabs>
        <w:spacing w:line="240" w:lineRule="auto"/>
        <w:ind w:firstLineChars="0" w:firstLine="0"/>
        <w:rPr>
          <w:i/>
        </w:rPr>
      </w:pPr>
      <w:r>
        <w:rPr>
          <w:rFonts w:hint="eastAsia"/>
        </w:rPr>
        <w:t>1</w:t>
      </w:r>
      <w:r w:rsidRPr="00945785">
        <w:rPr>
          <w:rFonts w:hint="eastAsia"/>
        </w:rPr>
        <w:t xml:space="preserve">.1. </w:t>
      </w:r>
      <w:r w:rsidRPr="00945785">
        <w:rPr>
          <w:i/>
        </w:rPr>
        <w:t xml:space="preserve">Flow field simulation and </w:t>
      </w:r>
      <w:r w:rsidRPr="00945785">
        <w:rPr>
          <w:bCs/>
          <w:i/>
          <w:kern w:val="0"/>
          <w:lang w:val="en-US"/>
        </w:rPr>
        <w:t>observation</w:t>
      </w:r>
    </w:p>
    <w:p w:rsidR="000F3DFC" w:rsidRDefault="000F3DFC" w:rsidP="000F3DFC">
      <w:pPr>
        <w:tabs>
          <w:tab w:val="left" w:pos="1331"/>
        </w:tabs>
        <w:spacing w:line="240" w:lineRule="auto"/>
      </w:pPr>
      <w:r w:rsidRPr="00945785">
        <w:t xml:space="preserve">For flow field simulation, a computational fluid dynamics </w:t>
      </w:r>
      <w:r w:rsidRPr="00945785">
        <w:rPr>
          <w:rFonts w:hint="eastAsia"/>
        </w:rPr>
        <w:t xml:space="preserve">software </w:t>
      </w:r>
      <w:r w:rsidRPr="00945785">
        <w:t>package, CFD-ACE+ (CFD Research, Huntsville, AL</w:t>
      </w:r>
      <w:r w:rsidRPr="00945785">
        <w:rPr>
          <w:rFonts w:hint="eastAsia"/>
        </w:rPr>
        <w:t>,</w:t>
      </w:r>
      <w:r w:rsidRPr="00945785">
        <w:t xml:space="preserve"> USA) </w:t>
      </w:r>
      <w:r w:rsidRPr="00945785">
        <w:rPr>
          <w:rFonts w:hint="eastAsia"/>
        </w:rPr>
        <w:t xml:space="preserve">was used </w:t>
      </w:r>
      <w:r w:rsidRPr="00945785">
        <w:t>to model the flow field inside the cell culture chamber. Rhodamine 6G (No. 419011000, Acros, Fair Lawn, NJ</w:t>
      </w:r>
      <w:r w:rsidRPr="00945785">
        <w:rPr>
          <w:rFonts w:hint="eastAsia"/>
        </w:rPr>
        <w:t>, USA</w:t>
      </w:r>
      <w:r w:rsidRPr="00945785">
        <w:t>) was used as a tracing dye for the actual flow field observation inside the chamber.</w:t>
      </w:r>
    </w:p>
    <w:p w:rsidR="000F3DFC" w:rsidRDefault="000F3DFC" w:rsidP="000F3DFC">
      <w:pPr>
        <w:tabs>
          <w:tab w:val="left" w:pos="1331"/>
        </w:tabs>
        <w:spacing w:line="240" w:lineRule="auto"/>
      </w:pPr>
    </w:p>
    <w:p w:rsidR="000F3DFC" w:rsidRPr="000F3DFC" w:rsidRDefault="000F3DFC" w:rsidP="000F3DFC">
      <w:pPr>
        <w:pStyle w:val="05BHeading"/>
        <w:rPr>
          <w:b w:val="0"/>
          <w:i/>
          <w:sz w:val="24"/>
          <w:lang w:val="en-US"/>
        </w:rPr>
      </w:pPr>
      <w:r w:rsidRPr="000F3DFC">
        <w:rPr>
          <w:rFonts w:hint="eastAsia"/>
          <w:b w:val="0"/>
          <w:sz w:val="24"/>
          <w:lang w:val="en-US" w:eastAsia="zh-TW"/>
        </w:rPr>
        <w:t xml:space="preserve">1.2. </w:t>
      </w:r>
      <w:r w:rsidRPr="000F3DFC">
        <w:rPr>
          <w:b w:val="0"/>
          <w:i/>
          <w:sz w:val="24"/>
          <w:lang w:val="en-US" w:eastAsia="zh-TW"/>
        </w:rPr>
        <w:t>Processes of p</w:t>
      </w:r>
      <w:r w:rsidRPr="000F3DFC">
        <w:rPr>
          <w:b w:val="0"/>
          <w:i/>
          <w:sz w:val="24"/>
          <w:lang w:val="en-US"/>
        </w:rPr>
        <w:t xml:space="preserve">roliferation and hepatic differentiation of MSCs on </w:t>
      </w:r>
      <w:r w:rsidRPr="000F3DFC">
        <w:rPr>
          <w:b w:val="0"/>
          <w:i/>
          <w:sz w:val="24"/>
          <w:lang w:val="en-US" w:eastAsia="zh-TW"/>
        </w:rPr>
        <w:t xml:space="preserve">culture dish and </w:t>
      </w:r>
      <w:r w:rsidRPr="000F3DFC">
        <w:rPr>
          <w:b w:val="0"/>
          <w:i/>
          <w:sz w:val="24"/>
          <w:lang w:val="en-US"/>
        </w:rPr>
        <w:t>microfluidic device</w:t>
      </w:r>
    </w:p>
    <w:p w:rsidR="000F3DFC" w:rsidRPr="00945785" w:rsidRDefault="000F3DFC" w:rsidP="000F3DFC">
      <w:pPr>
        <w:spacing w:line="240" w:lineRule="auto"/>
        <w:rPr>
          <w:rFonts w:eastAsia="DFKai-SB" w:hAnsi="DFKai-SB"/>
        </w:rPr>
      </w:pPr>
      <w:r w:rsidRPr="00945785">
        <w:rPr>
          <w:rFonts w:eastAsia="DFKai-SB"/>
        </w:rPr>
        <w:t>Experimental processes of the proliferation and hepatic differentiation from MSC on culture dish and microfludic device are shown in F</w:t>
      </w:r>
      <w:r w:rsidR="003A42A7">
        <w:rPr>
          <w:rFonts w:eastAsia="DFKai-SB"/>
        </w:rPr>
        <w:t>igure</w:t>
      </w:r>
      <w:r w:rsidRPr="00945785">
        <w:rPr>
          <w:rFonts w:eastAsia="DFKai-SB"/>
        </w:rPr>
        <w:t xml:space="preserve"> S2. In order to ensure MSCs </w:t>
      </w:r>
      <w:r w:rsidRPr="00945785">
        <w:rPr>
          <w:rFonts w:eastAsia="DFKai-SB" w:hint="eastAsia"/>
        </w:rPr>
        <w:t>attach</w:t>
      </w:r>
      <w:r w:rsidRPr="00945785">
        <w:rPr>
          <w:rFonts w:eastAsia="DFKai-SB"/>
        </w:rPr>
        <w:t xml:space="preserve"> on the substrate</w:t>
      </w:r>
      <w:r w:rsidRPr="00945785">
        <w:rPr>
          <w:rFonts w:eastAsia="DFKai-SB" w:hint="eastAsia"/>
        </w:rPr>
        <w:t xml:space="preserve"> well</w:t>
      </w:r>
      <w:r w:rsidRPr="00945785">
        <w:rPr>
          <w:rFonts w:eastAsia="DFKai-SB"/>
        </w:rPr>
        <w:t xml:space="preserve">, the first step of the proliferation or hepatic differentiation was </w:t>
      </w:r>
      <w:r w:rsidRPr="00945785">
        <w:rPr>
          <w:rFonts w:eastAsia="DFKai-SB" w:hint="eastAsia"/>
        </w:rPr>
        <w:t>to culture</w:t>
      </w:r>
      <w:r w:rsidRPr="00945785">
        <w:rPr>
          <w:rFonts w:eastAsia="DFKai-SB"/>
        </w:rPr>
        <w:t xml:space="preserve"> MSCs on the substrate one day before the experiments. The seeding density of MSCs for the proliferation or differentiation experiments was 3000 cells/cm</w:t>
      </w:r>
      <w:r w:rsidRPr="00945785">
        <w:rPr>
          <w:rFonts w:eastAsia="DFKai-SB"/>
          <w:vertAlign w:val="superscript"/>
        </w:rPr>
        <w:t>2</w:t>
      </w:r>
      <w:r w:rsidRPr="00945785">
        <w:rPr>
          <w:rFonts w:eastAsia="DFKai-SB"/>
        </w:rPr>
        <w:t xml:space="preserve"> and 8000 cells/cm</w:t>
      </w:r>
      <w:r w:rsidRPr="00945785">
        <w:rPr>
          <w:rFonts w:eastAsia="DFKai-SB"/>
          <w:vertAlign w:val="superscript"/>
        </w:rPr>
        <w:t>2</w:t>
      </w:r>
      <w:r w:rsidRPr="00945785">
        <w:rPr>
          <w:rFonts w:eastAsia="DFKai-SB"/>
        </w:rPr>
        <w:t xml:space="preserve"> respectively. Experimental processes of the proliferation are shown in F</w:t>
      </w:r>
      <w:r w:rsidR="003A42A7">
        <w:rPr>
          <w:rFonts w:eastAsia="DFKai-SB"/>
        </w:rPr>
        <w:t>igure</w:t>
      </w:r>
      <w:r w:rsidRPr="00945785">
        <w:rPr>
          <w:rFonts w:eastAsia="DFKai-SB"/>
        </w:rPr>
        <w:t xml:space="preserve"> S2A. </w:t>
      </w:r>
      <w:r w:rsidRPr="00945785">
        <w:t xml:space="preserve">MSCs were cultured for three days in a microfluidic device and a 6-cm culture dish. </w:t>
      </w:r>
      <w:r w:rsidRPr="00945785">
        <w:rPr>
          <w:rFonts w:eastAsia="DFKai-SB"/>
        </w:rPr>
        <w:t>MSC cultured on the substrate and reached 80%-90% confluence at day 3. Then the MSCs were collected for further bioassay. Experimental processes of the hepatic differentiation are shown in F</w:t>
      </w:r>
      <w:r w:rsidR="003A42A7">
        <w:rPr>
          <w:rFonts w:eastAsia="DFKai-SB"/>
        </w:rPr>
        <w:t>igure</w:t>
      </w:r>
      <w:r w:rsidRPr="00945785">
        <w:rPr>
          <w:rFonts w:eastAsia="DFKai-SB"/>
        </w:rPr>
        <w:t xml:space="preserve"> S2B. When MSCs were grown to 90% confluence on the PS, the PS was assembled </w:t>
      </w:r>
      <w:r w:rsidRPr="00945785">
        <w:rPr>
          <w:rFonts w:eastAsia="DFKai-SB" w:hint="eastAsia"/>
        </w:rPr>
        <w:t>into</w:t>
      </w:r>
      <w:r w:rsidRPr="00945785">
        <w:rPr>
          <w:rFonts w:eastAsia="DFKai-SB"/>
        </w:rPr>
        <w:t xml:space="preserve"> the microfluidic system. After 21 days of induction, the MSCs were collected for further bioassay. </w:t>
      </w:r>
      <w:r w:rsidRPr="00945785">
        <w:rPr>
          <w:rFonts w:eastAsia="DFKai-SB" w:hint="eastAsia"/>
        </w:rPr>
        <w:t xml:space="preserve">For cell number counting, </w:t>
      </w:r>
      <w:r w:rsidRPr="00945785">
        <w:rPr>
          <w:rFonts w:eastAsia="DFKai-SB" w:hAnsi="DFKai-SB"/>
        </w:rPr>
        <w:t xml:space="preserve">microfluidic device and substrate were separated </w:t>
      </w:r>
      <w:r w:rsidRPr="00945785">
        <w:rPr>
          <w:rFonts w:eastAsia="DFKai-SB" w:hAnsi="DFKai-SB" w:hint="eastAsia"/>
        </w:rPr>
        <w:t>by releasing</w:t>
      </w:r>
      <w:r w:rsidRPr="00945785">
        <w:rPr>
          <w:rFonts w:eastAsia="DFKai-SB" w:hAnsi="DFKai-SB"/>
        </w:rPr>
        <w:t xml:space="preserve"> sealing pressure </w:t>
      </w:r>
      <w:r w:rsidR="00ED2FA6" w:rsidRPr="00945785">
        <w:rPr>
          <w:rFonts w:eastAsia="DFKai-SB" w:hAnsi="DFKai-SB"/>
        </w:rPr>
        <w:t>first;</w:t>
      </w:r>
      <w:r w:rsidRPr="00945785">
        <w:rPr>
          <w:rFonts w:eastAsia="DFKai-SB" w:hAnsi="DFKai-SB" w:hint="eastAsia"/>
        </w:rPr>
        <w:t xml:space="preserve"> </w:t>
      </w:r>
      <w:r w:rsidRPr="00945785">
        <w:rPr>
          <w:rFonts w:eastAsia="DFKai-SB" w:hAnsi="DFKai-SB"/>
        </w:rPr>
        <w:t xml:space="preserve">cells </w:t>
      </w:r>
      <w:r w:rsidRPr="00945785">
        <w:rPr>
          <w:rFonts w:eastAsia="DFKai-SB" w:hAnsi="DFKai-SB" w:hint="eastAsia"/>
        </w:rPr>
        <w:t>were</w:t>
      </w:r>
      <w:r w:rsidRPr="00945785">
        <w:rPr>
          <w:rFonts w:eastAsia="DFKai-SB" w:hAnsi="DFKai-SB"/>
        </w:rPr>
        <w:t xml:space="preserve"> </w:t>
      </w:r>
      <w:r w:rsidRPr="00945785">
        <w:rPr>
          <w:rFonts w:eastAsia="DFKai-SB" w:hAnsi="DFKai-SB" w:hint="eastAsia"/>
        </w:rPr>
        <w:t xml:space="preserve">then </w:t>
      </w:r>
      <w:r w:rsidRPr="00945785">
        <w:rPr>
          <w:rFonts w:eastAsia="DFKai-SB" w:hAnsi="DFKai-SB"/>
        </w:rPr>
        <w:t>detached using 0.1% trypsin-EDTA</w:t>
      </w:r>
      <w:r w:rsidRPr="00945785">
        <w:rPr>
          <w:rFonts w:eastAsia="DFKai-SB" w:hAnsi="DFKai-SB" w:hint="eastAsia"/>
        </w:rPr>
        <w:t xml:space="preserve"> and c</w:t>
      </w:r>
      <w:r w:rsidRPr="00945785">
        <w:rPr>
          <w:rFonts w:eastAsia="DFKai-SB" w:hAnsi="DFKai-SB"/>
        </w:rPr>
        <w:t>ounted cell number by cell counter</w:t>
      </w:r>
      <w:r w:rsidRPr="00945785">
        <w:rPr>
          <w:rFonts w:eastAsia="DFKai-SB"/>
        </w:rPr>
        <w:t xml:space="preserve"> </w:t>
      </w:r>
    </w:p>
    <w:p w:rsidR="000F3DFC" w:rsidRPr="00945785" w:rsidRDefault="000F3DFC" w:rsidP="000F3DFC">
      <w:pPr>
        <w:tabs>
          <w:tab w:val="left" w:pos="1331"/>
        </w:tabs>
        <w:spacing w:line="240" w:lineRule="auto"/>
      </w:pPr>
    </w:p>
    <w:p w:rsidR="000F3DFC" w:rsidRPr="00945785" w:rsidRDefault="000F3DFC" w:rsidP="000F3DFC">
      <w:pPr>
        <w:pStyle w:val="05BHeading"/>
        <w:spacing w:line="240" w:lineRule="auto"/>
        <w:rPr>
          <w:b w:val="0"/>
          <w:lang w:val="en-US"/>
        </w:rPr>
      </w:pPr>
      <w:r>
        <w:rPr>
          <w:rFonts w:hint="eastAsia"/>
          <w:b w:val="0"/>
          <w:sz w:val="24"/>
          <w:lang w:val="en-US" w:eastAsia="zh-TW"/>
        </w:rPr>
        <w:t>1.</w:t>
      </w:r>
      <w:r w:rsidR="00ED2FA6">
        <w:rPr>
          <w:rFonts w:hint="eastAsia"/>
          <w:b w:val="0"/>
          <w:sz w:val="24"/>
          <w:lang w:val="en-US" w:eastAsia="zh-TW"/>
        </w:rPr>
        <w:t>3</w:t>
      </w:r>
      <w:r>
        <w:rPr>
          <w:rFonts w:hint="eastAsia"/>
          <w:b w:val="0"/>
          <w:sz w:val="24"/>
          <w:lang w:val="en-US" w:eastAsia="zh-TW"/>
        </w:rPr>
        <w:t>.</w:t>
      </w:r>
      <w:r w:rsidRPr="00945785">
        <w:rPr>
          <w:b w:val="0"/>
          <w:sz w:val="24"/>
          <w:lang w:val="en-US"/>
        </w:rPr>
        <w:t xml:space="preserve"> </w:t>
      </w:r>
      <w:r w:rsidRPr="00945785">
        <w:rPr>
          <w:b w:val="0"/>
          <w:i/>
          <w:sz w:val="24"/>
          <w:lang w:val="en-US"/>
        </w:rPr>
        <w:t xml:space="preserve">RNA </w:t>
      </w:r>
      <w:r w:rsidRPr="00945785">
        <w:rPr>
          <w:rFonts w:hint="eastAsia"/>
          <w:b w:val="0"/>
          <w:i/>
          <w:sz w:val="24"/>
          <w:lang w:val="en-US" w:eastAsia="zh-TW"/>
        </w:rPr>
        <w:t>e</w:t>
      </w:r>
      <w:r w:rsidRPr="00945785">
        <w:rPr>
          <w:b w:val="0"/>
          <w:i/>
          <w:sz w:val="24"/>
          <w:lang w:val="en-US"/>
        </w:rPr>
        <w:t xml:space="preserve">xtraction and </w:t>
      </w:r>
      <w:r w:rsidRPr="00945785">
        <w:rPr>
          <w:rFonts w:hint="eastAsia"/>
          <w:b w:val="0"/>
          <w:i/>
          <w:sz w:val="24"/>
          <w:lang w:val="en-US" w:eastAsia="zh-TW"/>
        </w:rPr>
        <w:t>q</w:t>
      </w:r>
      <w:r w:rsidRPr="00945785">
        <w:rPr>
          <w:b w:val="0"/>
          <w:i/>
          <w:sz w:val="24"/>
          <w:lang w:val="en-US"/>
        </w:rPr>
        <w:t>uantitative real time polymerase chain reaction</w:t>
      </w:r>
    </w:p>
    <w:p w:rsidR="000F3DFC" w:rsidRPr="00945785" w:rsidRDefault="000F3DFC" w:rsidP="000F3DFC">
      <w:pPr>
        <w:spacing w:line="240" w:lineRule="auto"/>
      </w:pPr>
      <w:r w:rsidRPr="00945785">
        <w:rPr>
          <w:rFonts w:hint="eastAsia"/>
        </w:rPr>
        <w:t xml:space="preserve">To detect hepatic gene </w:t>
      </w:r>
      <w:r w:rsidRPr="00945785">
        <w:t>expression</w:t>
      </w:r>
      <w:r w:rsidRPr="00945785">
        <w:rPr>
          <w:rFonts w:hint="eastAsia"/>
        </w:rPr>
        <w:t>,</w:t>
      </w:r>
      <w:r w:rsidRPr="00945785">
        <w:t xml:space="preserve"> RNA was isolated using Trizol reagent (Invitrogen, Carlsbad, CA,</w:t>
      </w:r>
      <w:r w:rsidRPr="00945785">
        <w:rPr>
          <w:rFonts w:hint="eastAsia"/>
        </w:rPr>
        <w:t xml:space="preserve"> USA</w:t>
      </w:r>
      <w:r w:rsidRPr="00945785">
        <w:t>) and 2 µg of RNA samples were reversed transcribed using MMLV Reverse Transcriptase 1st-Strand cDNA synthesis Kit (EPICENTRE</w:t>
      </w:r>
      <w:r w:rsidRPr="00945785">
        <w:rPr>
          <w:vertAlign w:val="superscript"/>
        </w:rPr>
        <w:t>®</w:t>
      </w:r>
      <w:r w:rsidRPr="00945785">
        <w:t xml:space="preserve"> Biotechnologies, Madison, WI, USA). 10</w:t>
      </w:r>
      <w:r w:rsidRPr="00945785">
        <w:rPr>
          <w:rFonts w:hint="eastAsia"/>
        </w:rPr>
        <w:t xml:space="preserve"> </w:t>
      </w:r>
      <w:r w:rsidRPr="00945785">
        <w:t>ng of cDNA was loaded per reaction</w:t>
      </w:r>
      <w:r w:rsidRPr="00945785">
        <w:rPr>
          <w:rFonts w:hint="eastAsia"/>
        </w:rPr>
        <w:t xml:space="preserve"> and mixed with</w:t>
      </w:r>
      <w:r w:rsidRPr="00945785">
        <w:t xml:space="preserve"> Fast SYBR® Green Master Mix 2X (Applied Biosystems, Foster City, CA</w:t>
      </w:r>
      <w:r w:rsidRPr="00945785">
        <w:rPr>
          <w:rFonts w:hint="eastAsia"/>
        </w:rPr>
        <w:t>,</w:t>
      </w:r>
      <w:r w:rsidRPr="00945785">
        <w:t xml:space="preserve"> USA). qPCR reaction was performed by Step One plus real-time PCR system (Applied Biosystems, Foster City, CA</w:t>
      </w:r>
      <w:r w:rsidRPr="00945785">
        <w:rPr>
          <w:rFonts w:hint="eastAsia"/>
        </w:rPr>
        <w:t>,</w:t>
      </w:r>
      <w:r w:rsidRPr="00945785">
        <w:t xml:space="preserve"> USA). Glyceraldehyde-3-phosphate dehydrogenase (GAPDH) was used as an endogenous internal control. </w:t>
      </w:r>
      <w:r w:rsidRPr="00945785">
        <w:rPr>
          <w:iCs/>
        </w:rPr>
        <w:t xml:space="preserve">The primers </w:t>
      </w:r>
      <w:r w:rsidRPr="00945785">
        <w:rPr>
          <w:iCs/>
        </w:rPr>
        <w:lastRenderedPageBreak/>
        <w:t xml:space="preserve">used for qPCR </w:t>
      </w:r>
      <w:r w:rsidRPr="00945785">
        <w:rPr>
          <w:rFonts w:hint="eastAsia"/>
          <w:iCs/>
        </w:rPr>
        <w:t>are</w:t>
      </w:r>
      <w:r w:rsidRPr="00945785">
        <w:rPr>
          <w:iCs/>
        </w:rPr>
        <w:t xml:space="preserve"> </w:t>
      </w:r>
      <w:r w:rsidRPr="00945785">
        <w:t xml:space="preserve">listed in Table </w:t>
      </w:r>
      <w:r w:rsidRPr="00945785">
        <w:rPr>
          <w:rFonts w:hint="eastAsia"/>
        </w:rPr>
        <w:t>S</w:t>
      </w:r>
      <w:r w:rsidRPr="00945785">
        <w:t>1.</w:t>
      </w:r>
      <w:r w:rsidRPr="00945785">
        <w:rPr>
          <w:rFonts w:hint="eastAsia"/>
        </w:rPr>
        <w:t xml:space="preserve"> Several</w:t>
      </w:r>
      <w:r w:rsidRPr="00945785">
        <w:rPr>
          <w:lang w:val="en-US"/>
        </w:rPr>
        <w:t xml:space="preserve"> marker genes of hepatocyte, such as alpha-fetoprotein (AFP), glucose 6-phosphatase (G6P), tyrosine aminotransferase (TAT), cytokeratin-18 (CK18)</w:t>
      </w:r>
      <w:r w:rsidRPr="00945785">
        <w:rPr>
          <w:rFonts w:hint="eastAsia"/>
          <w:lang w:val="en-US"/>
        </w:rPr>
        <w:t xml:space="preserve"> and</w:t>
      </w:r>
      <w:r w:rsidRPr="00945785">
        <w:rPr>
          <w:lang w:val="en-US"/>
        </w:rPr>
        <w:t xml:space="preserve"> hepatocyte nuclear factor-4 (HNF4)</w:t>
      </w:r>
      <w:r w:rsidRPr="00945785">
        <w:rPr>
          <w:rFonts w:hint="eastAsia"/>
          <w:lang w:val="en-US"/>
        </w:rPr>
        <w:t>,</w:t>
      </w:r>
      <w:r w:rsidRPr="00945785">
        <w:rPr>
          <w:lang w:val="en-US"/>
        </w:rPr>
        <w:t xml:space="preserve"> </w:t>
      </w:r>
      <w:r w:rsidRPr="00945785">
        <w:rPr>
          <w:rFonts w:hint="eastAsia"/>
          <w:lang w:val="en-US"/>
        </w:rPr>
        <w:t xml:space="preserve">were </w:t>
      </w:r>
      <w:r w:rsidRPr="00945785">
        <w:rPr>
          <w:lang w:val="en-US"/>
        </w:rPr>
        <w:t>examined</w:t>
      </w:r>
      <w:r w:rsidRPr="00945785">
        <w:rPr>
          <w:rFonts w:hint="eastAsia"/>
          <w:lang w:val="en-US"/>
        </w:rPr>
        <w:t>.</w:t>
      </w:r>
    </w:p>
    <w:p w:rsidR="000F3DFC" w:rsidRPr="00945785" w:rsidRDefault="000F3DFC" w:rsidP="000F3DFC">
      <w:pPr>
        <w:tabs>
          <w:tab w:val="left" w:pos="3334"/>
        </w:tabs>
        <w:spacing w:line="240" w:lineRule="auto"/>
      </w:pPr>
    </w:p>
    <w:p w:rsidR="000F3DFC" w:rsidRPr="00945785" w:rsidRDefault="000F3DFC" w:rsidP="000F3DFC">
      <w:pPr>
        <w:pStyle w:val="05BHeading"/>
        <w:spacing w:line="240" w:lineRule="auto"/>
        <w:rPr>
          <w:b w:val="0"/>
          <w:lang w:val="en-US"/>
        </w:rPr>
      </w:pPr>
      <w:r>
        <w:rPr>
          <w:rFonts w:hint="eastAsia"/>
          <w:b w:val="0"/>
          <w:sz w:val="24"/>
          <w:lang w:val="en-US" w:eastAsia="zh-TW"/>
        </w:rPr>
        <w:t>1.</w:t>
      </w:r>
      <w:r w:rsidR="00ED2FA6">
        <w:rPr>
          <w:rFonts w:hint="eastAsia"/>
          <w:b w:val="0"/>
          <w:sz w:val="24"/>
          <w:lang w:val="en-US" w:eastAsia="zh-TW"/>
        </w:rPr>
        <w:t>4</w:t>
      </w:r>
      <w:r>
        <w:rPr>
          <w:rFonts w:hint="eastAsia"/>
          <w:b w:val="0"/>
          <w:sz w:val="24"/>
          <w:lang w:val="en-US" w:eastAsia="zh-TW"/>
        </w:rPr>
        <w:t>.</w:t>
      </w:r>
      <w:r w:rsidRPr="00945785">
        <w:rPr>
          <w:rFonts w:hint="eastAsia"/>
          <w:b w:val="0"/>
          <w:sz w:val="24"/>
          <w:lang w:val="en-US" w:eastAsia="zh-TW"/>
        </w:rPr>
        <w:t xml:space="preserve"> </w:t>
      </w:r>
      <w:r w:rsidRPr="00945785">
        <w:rPr>
          <w:b w:val="0"/>
          <w:i/>
          <w:sz w:val="24"/>
          <w:lang w:val="en-US"/>
        </w:rPr>
        <w:t>Immunofluorescent staining</w:t>
      </w:r>
    </w:p>
    <w:p w:rsidR="000F3DFC" w:rsidRPr="00945785" w:rsidRDefault="000F3DFC" w:rsidP="000F3DFC">
      <w:pPr>
        <w:spacing w:line="240" w:lineRule="auto"/>
      </w:pPr>
      <w:r w:rsidRPr="00945785">
        <w:t>For staining of intracellular proteins, the samples were washed with PBS and fixed with 3.7% paraformaldehyde (Sigma-Aldrich, St. Louis, MO</w:t>
      </w:r>
      <w:r w:rsidRPr="00945785">
        <w:rPr>
          <w:rFonts w:hint="eastAsia"/>
        </w:rPr>
        <w:t>,</w:t>
      </w:r>
      <w:r w:rsidRPr="00945785">
        <w:t xml:space="preserve"> USA) for 20 minutes. After fixation, the cells were washed with PBS and permeabilized with 0.1% Triton X-100</w:t>
      </w:r>
      <w:r w:rsidRPr="00945785">
        <w:rPr>
          <w:rFonts w:hint="eastAsia"/>
        </w:rPr>
        <w:t xml:space="preserve"> </w:t>
      </w:r>
      <w:r w:rsidRPr="00945785">
        <w:t>(Sigma-Aldrich, St. Louis, MO</w:t>
      </w:r>
      <w:r w:rsidRPr="00945785">
        <w:rPr>
          <w:rFonts w:hint="eastAsia"/>
        </w:rPr>
        <w:t>,</w:t>
      </w:r>
      <w:r w:rsidRPr="00945785">
        <w:t xml:space="preserve"> USA) for 20 minutes. After three times of successive washing with PBS, the samples were blocked with 1% bovine serum albumin (BSA, Thermo EC, Milford, MA</w:t>
      </w:r>
      <w:r w:rsidRPr="00945785">
        <w:rPr>
          <w:rFonts w:hint="eastAsia"/>
        </w:rPr>
        <w:t>,</w:t>
      </w:r>
      <w:r w:rsidRPr="00945785">
        <w:t xml:space="preserve"> USA) for 1 hour and incubated with specific primary antibodies overnight at 4</w:t>
      </w:r>
      <w:r w:rsidRPr="00945785">
        <w:rPr>
          <w:rFonts w:hint="eastAsia"/>
        </w:rPr>
        <w:t xml:space="preserve"> </w:t>
      </w:r>
      <w:r w:rsidRPr="00945785">
        <w:rPr>
          <w:rFonts w:eastAsia="DFKai-SB"/>
        </w:rPr>
        <w:t>ºC</w:t>
      </w:r>
      <w:r w:rsidRPr="00945785">
        <w:t>. The primary antibod</w:t>
      </w:r>
      <w:r w:rsidRPr="00945785">
        <w:rPr>
          <w:rFonts w:hint="eastAsia"/>
        </w:rPr>
        <w:t>y</w:t>
      </w:r>
      <w:r w:rsidRPr="00945785">
        <w:t xml:space="preserve"> </w:t>
      </w:r>
      <w:r w:rsidRPr="00945785">
        <w:rPr>
          <w:rFonts w:hint="eastAsia"/>
        </w:rPr>
        <w:t>was</w:t>
      </w:r>
      <w:r w:rsidRPr="00945785">
        <w:t xml:space="preserve"> primary monoclonal albumin (1:200)(ALB</w:t>
      </w:r>
      <w:r w:rsidRPr="00945785">
        <w:rPr>
          <w:rFonts w:hint="eastAsia"/>
        </w:rPr>
        <w:t>, for human/mouse use</w:t>
      </w:r>
      <w:r w:rsidRPr="00945785">
        <w:t>, R&amp;D Systems, Minneapolis, MN</w:t>
      </w:r>
      <w:r w:rsidRPr="00945785">
        <w:rPr>
          <w:rFonts w:hint="eastAsia"/>
        </w:rPr>
        <w:t>,</w:t>
      </w:r>
      <w:r w:rsidRPr="00945785">
        <w:t xml:space="preserve"> USA) diluted in 0.1% BSA. </w:t>
      </w:r>
      <w:r w:rsidRPr="00945785">
        <w:rPr>
          <w:rFonts w:hint="eastAsia"/>
        </w:rPr>
        <w:t>In the following day</w:t>
      </w:r>
      <w:r w:rsidRPr="00945785">
        <w:t>, the samples w</w:t>
      </w:r>
      <w:r w:rsidRPr="00945785">
        <w:rPr>
          <w:rFonts w:hint="eastAsia"/>
        </w:rPr>
        <w:t>ere</w:t>
      </w:r>
      <w:r w:rsidRPr="00945785">
        <w:t xml:space="preserve"> washed three times with PBS and incubated with secondary antibody (1:200) at room temperature for one hour. After washing thrice with PBS, the samples were incubated with 1:1000 diluted 4',6-diamidino-2-phenylindole (DAPI, Sigma-Aldrich, St. Louis, MO</w:t>
      </w:r>
      <w:r w:rsidRPr="00945785">
        <w:rPr>
          <w:rFonts w:hint="eastAsia"/>
        </w:rPr>
        <w:t xml:space="preserve">, </w:t>
      </w:r>
      <w:r w:rsidRPr="00945785">
        <w:t xml:space="preserve">USA) for 10 minutes, to label the nucleus. Finally, after washing PBS thrice, the samples were covered reversely on a cover slide with 50μl mounting media, and sealed with nail polish. The samples were imaged using an </w:t>
      </w:r>
      <w:r w:rsidRPr="00945785">
        <w:rPr>
          <w:rFonts w:hint="eastAsia"/>
        </w:rPr>
        <w:t>optic</w:t>
      </w:r>
      <w:r w:rsidRPr="00945785">
        <w:t xml:space="preserve"> microscope (AX80,</w:t>
      </w:r>
      <w:r w:rsidRPr="00945785">
        <w:rPr>
          <w:rFonts w:hint="eastAsia"/>
        </w:rPr>
        <w:t xml:space="preserve"> </w:t>
      </w:r>
      <w:r w:rsidRPr="00945785">
        <w:t>Olympus, Melville, NY</w:t>
      </w:r>
      <w:r w:rsidRPr="00945785">
        <w:rPr>
          <w:rFonts w:hint="eastAsia"/>
        </w:rPr>
        <w:t>,</w:t>
      </w:r>
      <w:r w:rsidRPr="00945785">
        <w:t xml:space="preserve"> USA).</w:t>
      </w:r>
    </w:p>
    <w:p w:rsidR="000F3DFC" w:rsidRPr="00945785" w:rsidRDefault="000F3DFC" w:rsidP="000F3DFC">
      <w:pPr>
        <w:spacing w:line="240" w:lineRule="auto"/>
      </w:pPr>
    </w:p>
    <w:p w:rsidR="000F3DFC" w:rsidRPr="00945785" w:rsidRDefault="000F3DFC" w:rsidP="000F3DFC">
      <w:pPr>
        <w:pStyle w:val="05BHeading"/>
        <w:spacing w:line="240" w:lineRule="auto"/>
        <w:rPr>
          <w:b w:val="0"/>
          <w:lang w:val="en-US"/>
        </w:rPr>
      </w:pPr>
      <w:r>
        <w:rPr>
          <w:rFonts w:hint="eastAsia"/>
          <w:b w:val="0"/>
          <w:sz w:val="24"/>
          <w:lang w:val="en-US" w:eastAsia="zh-TW"/>
        </w:rPr>
        <w:t>1.</w:t>
      </w:r>
      <w:r w:rsidR="00ED2FA6">
        <w:rPr>
          <w:rFonts w:hint="eastAsia"/>
          <w:b w:val="0"/>
          <w:sz w:val="24"/>
          <w:lang w:val="en-US" w:eastAsia="zh-TW"/>
        </w:rPr>
        <w:t>5</w:t>
      </w:r>
      <w:r>
        <w:rPr>
          <w:rFonts w:hint="eastAsia"/>
          <w:b w:val="0"/>
          <w:sz w:val="24"/>
          <w:lang w:val="en-US" w:eastAsia="zh-TW"/>
        </w:rPr>
        <w:t>.</w:t>
      </w:r>
      <w:r w:rsidRPr="00945785">
        <w:rPr>
          <w:rFonts w:hint="eastAsia"/>
          <w:b w:val="0"/>
          <w:sz w:val="24"/>
          <w:lang w:val="en-US" w:eastAsia="zh-TW"/>
        </w:rPr>
        <w:t xml:space="preserve"> </w:t>
      </w:r>
      <w:r w:rsidRPr="00945785">
        <w:rPr>
          <w:b w:val="0"/>
          <w:i/>
          <w:sz w:val="24"/>
          <w:lang w:val="en-US"/>
        </w:rPr>
        <w:t>Flow cytometry analysis</w:t>
      </w:r>
    </w:p>
    <w:p w:rsidR="000F3DFC" w:rsidRPr="00945785" w:rsidRDefault="000F3DFC" w:rsidP="000F3DFC">
      <w:pPr>
        <w:spacing w:line="240" w:lineRule="auto"/>
      </w:pPr>
      <w:r w:rsidRPr="00945785">
        <w:rPr>
          <w:rFonts w:hint="eastAsia"/>
        </w:rPr>
        <w:t>For flow cytometry analysis, c</w:t>
      </w:r>
      <w:r w:rsidRPr="00945785">
        <w:t xml:space="preserve">ells cultured </w:t>
      </w:r>
      <w:r w:rsidRPr="00945785">
        <w:rPr>
          <w:rFonts w:hint="eastAsia"/>
        </w:rPr>
        <w:t>i</w:t>
      </w:r>
      <w:r w:rsidRPr="00945785">
        <w:t>n microfluidic device and 6-cm culture dish were harvested with 0.25% trypsin-EDTA</w:t>
      </w:r>
      <w:r w:rsidRPr="00945785">
        <w:rPr>
          <w:rFonts w:hint="eastAsia"/>
        </w:rPr>
        <w:t xml:space="preserve">, re-suspended </w:t>
      </w:r>
      <w:r w:rsidRPr="00945785">
        <w:t>with PBS containing 1% serum and aliquoted into fresh 1 ml flow tubes. The cell pellet was centrifuged for 5 minutes at 200×g, and rinsed with PBS containing 1% serum and incubated with PE-conjugated antibodies for 30 minutes in the dark on ice. Next, cells were washed with PBS containing 1% serum and centrifuged for 5 minutes at 200×g. The pellet was re-suspended in 250μl PBS containing 1 % serum and incubated with the following PE-conjugated antibodies: anti-mouse CD29 (1:200, eBioscience, San Diego, CA</w:t>
      </w:r>
      <w:r w:rsidRPr="00945785">
        <w:rPr>
          <w:rFonts w:hint="eastAsia"/>
        </w:rPr>
        <w:t xml:space="preserve">, </w:t>
      </w:r>
      <w:r w:rsidRPr="00945785">
        <w:t>USA),</w:t>
      </w:r>
      <w:r w:rsidRPr="00945785">
        <w:rPr>
          <w:rFonts w:hint="eastAsia"/>
        </w:rPr>
        <w:t xml:space="preserve"> </w:t>
      </w:r>
      <w:r w:rsidRPr="00945785">
        <w:t>anti-mouse CD34 (1:200, BD Biosciences, San Jose, CA</w:t>
      </w:r>
      <w:r w:rsidRPr="00945785">
        <w:rPr>
          <w:rFonts w:hint="eastAsia"/>
        </w:rPr>
        <w:t>,</w:t>
      </w:r>
      <w:r w:rsidRPr="00945785">
        <w:t xml:space="preserve"> USA</w:t>
      </w:r>
      <w:r w:rsidRPr="00945785">
        <w:rPr>
          <w:rFonts w:hint="eastAsia"/>
        </w:rPr>
        <w:t>)</w:t>
      </w:r>
      <w:r w:rsidRPr="00945785">
        <w:t>, anti-mouse CD44 (1:200, BD Biosciences, San Jose, CA</w:t>
      </w:r>
      <w:r w:rsidRPr="00945785">
        <w:rPr>
          <w:rFonts w:hint="eastAsia"/>
        </w:rPr>
        <w:t xml:space="preserve">, </w:t>
      </w:r>
      <w:r w:rsidRPr="00945785">
        <w:t>USA),</w:t>
      </w:r>
      <w:r w:rsidRPr="00945785">
        <w:rPr>
          <w:rFonts w:hint="eastAsia"/>
        </w:rPr>
        <w:t xml:space="preserve"> </w:t>
      </w:r>
      <w:r w:rsidRPr="00945785">
        <w:t>anti-mouse CD73 (1:200,</w:t>
      </w:r>
      <w:r w:rsidRPr="00945785">
        <w:rPr>
          <w:rFonts w:hint="eastAsia"/>
        </w:rPr>
        <w:t xml:space="preserve"> </w:t>
      </w:r>
      <w:r w:rsidRPr="00945785">
        <w:t>eBioscience, San Diego, CA</w:t>
      </w:r>
      <w:r w:rsidRPr="00945785">
        <w:rPr>
          <w:rFonts w:hint="eastAsia"/>
        </w:rPr>
        <w:t>,</w:t>
      </w:r>
      <w:r w:rsidRPr="00945785">
        <w:t xml:space="preserve"> USA), anti-mouse CD105 (1:200, eBioscience, San Diego, CA</w:t>
      </w:r>
      <w:r w:rsidRPr="00945785">
        <w:rPr>
          <w:rFonts w:hint="eastAsia"/>
        </w:rPr>
        <w:t>,</w:t>
      </w:r>
      <w:r w:rsidRPr="00945785">
        <w:t xml:space="preserve"> USA), anti-mouse CD117 (1:200, BD Biosciences, San Jose, CA</w:t>
      </w:r>
      <w:r w:rsidRPr="00945785">
        <w:rPr>
          <w:rFonts w:hint="eastAsia"/>
        </w:rPr>
        <w:t xml:space="preserve">, </w:t>
      </w:r>
      <w:r w:rsidRPr="00945785">
        <w:t>USA), anti-mouse SCA-1 (1:200, BD Biosciences, San Jose, CA</w:t>
      </w:r>
      <w:r w:rsidRPr="00945785">
        <w:rPr>
          <w:rFonts w:hint="eastAsia"/>
        </w:rPr>
        <w:t>,</w:t>
      </w:r>
      <w:r w:rsidRPr="00945785">
        <w:t xml:space="preserve"> USA). The rat </w:t>
      </w:r>
      <w:r w:rsidRPr="00945785">
        <w:lastRenderedPageBreak/>
        <w:t>IgG2a kappa (1:200, BD Biosciences, San Jose, CA</w:t>
      </w:r>
      <w:r w:rsidRPr="00945785">
        <w:rPr>
          <w:rFonts w:hint="eastAsia"/>
        </w:rPr>
        <w:t>, US</w:t>
      </w:r>
      <w:r w:rsidRPr="00945785">
        <w:t>A), rat IgG2b kappa (1:200, BD Biosciences, San Jose, CA</w:t>
      </w:r>
      <w:r w:rsidRPr="00945785">
        <w:rPr>
          <w:rFonts w:hint="eastAsia"/>
        </w:rPr>
        <w:t>,</w:t>
      </w:r>
      <w:r w:rsidRPr="00945785">
        <w:t xml:space="preserve"> USA), and Armenian Hamster IgG, kappa (1:200, BD Biosciences, San Jose, CA</w:t>
      </w:r>
      <w:r w:rsidRPr="00945785">
        <w:rPr>
          <w:rFonts w:hint="eastAsia"/>
        </w:rPr>
        <w:t xml:space="preserve">, </w:t>
      </w:r>
      <w:r w:rsidRPr="00945785">
        <w:t>USA) were used as negative control. Cells were analyzed using a BD FACSC anto™ II Flow Cytometry System and analyzed by BD FACS Diva software (BD Biosciences, San Jose, CA</w:t>
      </w:r>
      <w:r w:rsidRPr="00945785">
        <w:rPr>
          <w:rFonts w:hint="eastAsia"/>
        </w:rPr>
        <w:t>,</w:t>
      </w:r>
      <w:r w:rsidRPr="00945785">
        <w:t xml:space="preserve"> </w:t>
      </w:r>
      <w:r w:rsidRPr="00945785">
        <w:rPr>
          <w:rFonts w:hint="eastAsia"/>
        </w:rPr>
        <w:t>USA</w:t>
      </w:r>
      <w:r w:rsidRPr="00945785">
        <w:t>).</w:t>
      </w:r>
    </w:p>
    <w:p w:rsidR="000F3DFC" w:rsidRPr="00945785" w:rsidRDefault="000F3DFC" w:rsidP="000F3DFC">
      <w:pPr>
        <w:spacing w:line="240" w:lineRule="auto"/>
      </w:pPr>
    </w:p>
    <w:p w:rsidR="000F3DFC" w:rsidRPr="00945785" w:rsidRDefault="000F3DFC" w:rsidP="000F3DFC">
      <w:pPr>
        <w:pStyle w:val="05BHeading"/>
        <w:spacing w:line="240" w:lineRule="auto"/>
        <w:rPr>
          <w:b w:val="0"/>
          <w:lang w:val="en-US"/>
        </w:rPr>
      </w:pPr>
      <w:r>
        <w:rPr>
          <w:rFonts w:hint="eastAsia"/>
          <w:b w:val="0"/>
          <w:sz w:val="24"/>
          <w:lang w:val="en-US" w:eastAsia="zh-TW"/>
        </w:rPr>
        <w:t>1.</w:t>
      </w:r>
      <w:r w:rsidR="00ED2FA6">
        <w:rPr>
          <w:rFonts w:hint="eastAsia"/>
          <w:b w:val="0"/>
          <w:sz w:val="24"/>
          <w:lang w:val="en-US" w:eastAsia="zh-TW"/>
        </w:rPr>
        <w:t>6</w:t>
      </w:r>
      <w:r>
        <w:rPr>
          <w:rFonts w:hint="eastAsia"/>
          <w:b w:val="0"/>
          <w:sz w:val="24"/>
          <w:lang w:val="en-US" w:eastAsia="zh-TW"/>
        </w:rPr>
        <w:t>.</w:t>
      </w:r>
      <w:r w:rsidRPr="00945785">
        <w:rPr>
          <w:rFonts w:hint="eastAsia"/>
          <w:b w:val="0"/>
          <w:sz w:val="24"/>
          <w:lang w:val="en-US" w:eastAsia="zh-TW"/>
        </w:rPr>
        <w:t xml:space="preserve"> </w:t>
      </w:r>
      <w:r w:rsidRPr="00945785">
        <w:rPr>
          <w:b w:val="0"/>
          <w:i/>
          <w:sz w:val="24"/>
          <w:lang w:val="en-US"/>
        </w:rPr>
        <w:t>Uptake of low-density lipoprotein and urea production assay</w:t>
      </w:r>
    </w:p>
    <w:p w:rsidR="000F3DFC" w:rsidRPr="00945785" w:rsidRDefault="000F3DFC" w:rsidP="000F3DFC">
      <w:pPr>
        <w:spacing w:line="240" w:lineRule="auto"/>
        <w:rPr>
          <w:lang w:val="en-US"/>
        </w:rPr>
      </w:pPr>
      <w:r w:rsidRPr="00945785">
        <w:t xml:space="preserve">The conditioned medium from hepatic differentiation of MSCs cultured </w:t>
      </w:r>
      <w:r w:rsidRPr="00945785">
        <w:rPr>
          <w:rFonts w:hint="eastAsia"/>
        </w:rPr>
        <w:t>i</w:t>
      </w:r>
      <w:r w:rsidRPr="00945785">
        <w:t xml:space="preserve">n microfluidic device and 6-cm petri dish were collected at days 0 and 21 and stored at -20 </w:t>
      </w:r>
      <w:r w:rsidRPr="00945785">
        <w:rPr>
          <w:rFonts w:eastAsia="DFKai-SB"/>
        </w:rPr>
        <w:t>ºC</w:t>
      </w:r>
      <w:r w:rsidRPr="00945785">
        <w:t xml:space="preserve"> prior to the LDL and Urea uptake assays. LDL uptake of differentiated MSCs was assayed using </w:t>
      </w:r>
      <w:r w:rsidRPr="00945785">
        <w:rPr>
          <w:rFonts w:hint="eastAsia"/>
        </w:rPr>
        <w:t xml:space="preserve">the </w:t>
      </w:r>
      <w:r w:rsidRPr="00945785">
        <w:t>LDL Uptake Cell-Based Assay Kit (Cayman Chemical, Ann Arbor</w:t>
      </w:r>
      <w:r w:rsidRPr="00945785">
        <w:rPr>
          <w:rFonts w:hint="eastAsia"/>
        </w:rPr>
        <w:t>, Michigan,</w:t>
      </w:r>
      <w:r w:rsidRPr="00945785">
        <w:t xml:space="preserve"> USA) according to manufacturer’s instructions. </w:t>
      </w:r>
      <w:r w:rsidRPr="00945785">
        <w:rPr>
          <w:rFonts w:hint="eastAsia"/>
        </w:rPr>
        <w:t>T</w:t>
      </w:r>
      <w:r w:rsidRPr="00945785">
        <w:t xml:space="preserve">he urea concentrations were determined </w:t>
      </w:r>
      <w:r w:rsidRPr="00945785">
        <w:rPr>
          <w:rFonts w:hint="eastAsia"/>
        </w:rPr>
        <w:t>using the</w:t>
      </w:r>
      <w:r w:rsidRPr="00945785">
        <w:t xml:space="preserve"> urea colorimetric assay kit (BioVision, Mountain View, CA</w:t>
      </w:r>
      <w:r w:rsidRPr="00945785">
        <w:rPr>
          <w:rFonts w:hint="eastAsia"/>
        </w:rPr>
        <w:t>, USA</w:t>
      </w:r>
      <w:r w:rsidRPr="00945785">
        <w:t xml:space="preserve">). Briefly, the urea standard curve was generated by diluting the urea </w:t>
      </w:r>
      <w:r w:rsidRPr="00945785">
        <w:rPr>
          <w:rFonts w:hint="eastAsia"/>
        </w:rPr>
        <w:t>s</w:t>
      </w:r>
      <w:r w:rsidRPr="00945785">
        <w:t xml:space="preserve">tandard (100mM) to generate 0, 1, 2, 3, 4, 5 nmol/well of </w:t>
      </w:r>
      <w:r w:rsidRPr="00945785">
        <w:rPr>
          <w:rFonts w:hint="eastAsia"/>
        </w:rPr>
        <w:t>urea</w:t>
      </w:r>
      <w:r w:rsidRPr="00945785">
        <w:t xml:space="preserve">. Next, 50μl of the conditioned medium from hepatic differentiation of MSCs cultured </w:t>
      </w:r>
      <w:r w:rsidRPr="00945785">
        <w:rPr>
          <w:rFonts w:hint="eastAsia"/>
        </w:rPr>
        <w:t>i</w:t>
      </w:r>
      <w:r w:rsidRPr="00945785">
        <w:t>n microfluidic device and 6-cm culture dish were loaded in a 96-well plate, and mixed with the reaction mixture. The reaction mix per reaction contained 42 μl Assay Buffer, 2 μl Oxi Red Probe, 2 μl Enzyme, 2 μl Developer, and 2 μl Converter Enzyme. After incubating for 60 min at 37</w:t>
      </w:r>
      <w:r w:rsidRPr="00945785">
        <w:rPr>
          <w:rFonts w:hAnsi="PMingLiU" w:hint="eastAsia"/>
        </w:rPr>
        <w:t xml:space="preserve"> </w:t>
      </w:r>
      <w:r w:rsidRPr="00945785">
        <w:rPr>
          <w:rFonts w:eastAsia="DFKai-SB"/>
        </w:rPr>
        <w:t>ºC</w:t>
      </w:r>
      <w:r w:rsidRPr="00945785">
        <w:t xml:space="preserve"> in the dark, the reaction was measured </w:t>
      </w:r>
      <w:r w:rsidRPr="00945785">
        <w:rPr>
          <w:rFonts w:hint="eastAsia"/>
        </w:rPr>
        <w:t>using</w:t>
      </w:r>
      <w:r w:rsidRPr="00945785">
        <w:t xml:space="preserve"> </w:t>
      </w:r>
      <w:r w:rsidRPr="00945785">
        <w:rPr>
          <w:rFonts w:hint="eastAsia"/>
        </w:rPr>
        <w:t xml:space="preserve">the </w:t>
      </w:r>
      <w:r w:rsidRPr="00945785">
        <w:t>Infinite® M1000 PRO (Tecan</w:t>
      </w:r>
      <w:r w:rsidRPr="00945785">
        <w:rPr>
          <w:rFonts w:hint="eastAsia"/>
        </w:rPr>
        <w:t xml:space="preserve">, </w:t>
      </w:r>
      <w:r w:rsidRPr="00945785">
        <w:t>Männedorf</w:t>
      </w:r>
      <w:r w:rsidRPr="00945785">
        <w:rPr>
          <w:rFonts w:hint="eastAsia"/>
        </w:rPr>
        <w:t>, A</w:t>
      </w:r>
      <w:r w:rsidRPr="00945785">
        <w:t xml:space="preserve">ustria) at an O.D. of 570 nm. </w:t>
      </w:r>
      <w:r w:rsidRPr="00945785">
        <w:rPr>
          <w:rFonts w:hint="eastAsia"/>
        </w:rPr>
        <w:t xml:space="preserve">Because </w:t>
      </w:r>
      <w:r w:rsidRPr="00945785">
        <w:t xml:space="preserve">the </w:t>
      </w:r>
      <w:r w:rsidRPr="00945785">
        <w:rPr>
          <w:rFonts w:hint="eastAsia"/>
        </w:rPr>
        <w:t>conditioned</w:t>
      </w:r>
      <w:r w:rsidRPr="00945785">
        <w:t xml:space="preserve"> media </w:t>
      </w:r>
      <w:r w:rsidRPr="00945785">
        <w:rPr>
          <w:rFonts w:hint="eastAsia"/>
        </w:rPr>
        <w:t xml:space="preserve">collected </w:t>
      </w:r>
      <w:r w:rsidRPr="00945785">
        <w:t>for urea assay increased over time in the microfluidic system</w:t>
      </w:r>
      <w:r w:rsidRPr="00945785">
        <w:rPr>
          <w:rFonts w:hint="eastAsia"/>
        </w:rPr>
        <w:t>, we</w:t>
      </w:r>
      <w:r w:rsidRPr="00945785">
        <w:t xml:space="preserve"> </w:t>
      </w:r>
      <w:r w:rsidRPr="00945785">
        <w:rPr>
          <w:rFonts w:hint="eastAsia"/>
        </w:rPr>
        <w:t xml:space="preserve">used pg/cell/hr as the unit </w:t>
      </w:r>
      <w:r w:rsidRPr="00945785">
        <w:t xml:space="preserve">for urea assay </w:t>
      </w:r>
      <w:r w:rsidRPr="00945785">
        <w:rPr>
          <w:rFonts w:hint="eastAsia"/>
        </w:rPr>
        <w:t>instead of pg/cell.</w:t>
      </w:r>
    </w:p>
    <w:p w:rsidR="000F3DFC" w:rsidRPr="00945785" w:rsidRDefault="000F3DFC" w:rsidP="000F3DFC">
      <w:pPr>
        <w:spacing w:line="240" w:lineRule="auto"/>
      </w:pPr>
    </w:p>
    <w:p w:rsidR="000F3DFC" w:rsidRPr="00945785" w:rsidRDefault="000F3DFC" w:rsidP="000F3DFC">
      <w:pPr>
        <w:pStyle w:val="05BHeading"/>
        <w:spacing w:line="240" w:lineRule="auto"/>
        <w:rPr>
          <w:b w:val="0"/>
          <w:lang w:val="en-US"/>
        </w:rPr>
      </w:pPr>
      <w:r>
        <w:rPr>
          <w:rFonts w:hint="eastAsia"/>
          <w:b w:val="0"/>
          <w:sz w:val="24"/>
          <w:lang w:val="en-US" w:eastAsia="zh-TW"/>
        </w:rPr>
        <w:t>1.</w:t>
      </w:r>
      <w:r w:rsidR="00ED2FA6">
        <w:rPr>
          <w:rFonts w:hint="eastAsia"/>
          <w:b w:val="0"/>
          <w:sz w:val="24"/>
          <w:lang w:val="en-US" w:eastAsia="zh-TW"/>
        </w:rPr>
        <w:t>7</w:t>
      </w:r>
      <w:r>
        <w:rPr>
          <w:rFonts w:hint="eastAsia"/>
          <w:b w:val="0"/>
          <w:sz w:val="24"/>
          <w:lang w:val="en-US" w:eastAsia="zh-TW"/>
        </w:rPr>
        <w:t>.</w:t>
      </w:r>
      <w:r w:rsidRPr="00945785">
        <w:rPr>
          <w:rFonts w:hint="eastAsia"/>
          <w:b w:val="0"/>
          <w:sz w:val="24"/>
          <w:lang w:val="en-US" w:eastAsia="zh-TW"/>
        </w:rPr>
        <w:t xml:space="preserve"> </w:t>
      </w:r>
      <w:r w:rsidRPr="00945785">
        <w:rPr>
          <w:b w:val="0"/>
          <w:i/>
          <w:sz w:val="24"/>
          <w:lang w:val="en-US"/>
        </w:rPr>
        <w:t>Statistical analysis</w:t>
      </w:r>
    </w:p>
    <w:p w:rsidR="000F3DFC" w:rsidRPr="00945785" w:rsidRDefault="000F3DFC" w:rsidP="000F3DFC">
      <w:pPr>
        <w:spacing w:line="240" w:lineRule="auto"/>
      </w:pPr>
      <w:r w:rsidRPr="00945785">
        <w:t xml:space="preserve">All experiments were conducted </w:t>
      </w:r>
      <w:r w:rsidRPr="00945785">
        <w:rPr>
          <w:rFonts w:hint="eastAsia"/>
        </w:rPr>
        <w:t>independently</w:t>
      </w:r>
      <w:r w:rsidRPr="00945785">
        <w:t xml:space="preserve"> and represented as the mean ± SD (standard deviation). Statistical analyses were performed by using SPSS 17.0 software (</w:t>
      </w:r>
      <w:r w:rsidRPr="00945785">
        <w:rPr>
          <w:rFonts w:hint="eastAsia"/>
        </w:rPr>
        <w:t>IBM,</w:t>
      </w:r>
      <w:r w:rsidRPr="00945785">
        <w:t xml:space="preserve"> San Rafael, CA,</w:t>
      </w:r>
      <w:r w:rsidRPr="00945785">
        <w:rPr>
          <w:rFonts w:hint="eastAsia"/>
        </w:rPr>
        <w:t xml:space="preserve"> </w:t>
      </w:r>
      <w:r w:rsidRPr="00945785">
        <w:t xml:space="preserve">USA). Student t-test was used to determine </w:t>
      </w:r>
      <w:r w:rsidRPr="00945785">
        <w:rPr>
          <w:rFonts w:hint="eastAsia"/>
        </w:rPr>
        <w:t xml:space="preserve">the </w:t>
      </w:r>
      <w:r w:rsidRPr="00945785">
        <w:t xml:space="preserve">differences between the control group and the test group. For multiple groups, statistical differences were calculated using analysis of variance </w:t>
      </w:r>
      <w:r w:rsidRPr="00945785">
        <w:rPr>
          <w:rFonts w:hint="eastAsia"/>
        </w:rPr>
        <w:t>(</w:t>
      </w:r>
      <w:r w:rsidRPr="00945785">
        <w:t>ANOVA</w:t>
      </w:r>
      <w:r w:rsidRPr="00945785">
        <w:rPr>
          <w:rFonts w:hint="eastAsia"/>
        </w:rPr>
        <w:t>)</w:t>
      </w:r>
      <w:r w:rsidRPr="00945785">
        <w:t xml:space="preserve"> of the turkey’s test. </w:t>
      </w:r>
      <w:r w:rsidRPr="00945785">
        <w:rPr>
          <w:rFonts w:hint="eastAsia"/>
        </w:rPr>
        <w:t xml:space="preserve">A </w:t>
      </w:r>
      <w:r w:rsidRPr="00945785">
        <w:t>P&lt;0.05 was considered statistically significant.</w:t>
      </w:r>
    </w:p>
    <w:p w:rsidR="00C25871" w:rsidRDefault="00C25871">
      <w:pPr>
        <w:widowControl/>
        <w:spacing w:line="240" w:lineRule="auto"/>
        <w:ind w:firstLineChars="0" w:firstLine="0"/>
        <w:jc w:val="left"/>
        <w:rPr>
          <w:rFonts w:eastAsia="Arial Unicode MS"/>
          <w:b/>
          <w:kern w:val="0"/>
        </w:rPr>
      </w:pPr>
      <w:r>
        <w:rPr>
          <w:rFonts w:eastAsia="Arial Unicode MS"/>
          <w:b/>
          <w:kern w:val="0"/>
        </w:rPr>
        <w:br w:type="page"/>
      </w:r>
    </w:p>
    <w:p w:rsidR="000F3DFC" w:rsidRPr="000A48CE" w:rsidRDefault="00C25871" w:rsidP="000F3DFC">
      <w:pPr>
        <w:pStyle w:val="ListParagraph"/>
        <w:numPr>
          <w:ilvl w:val="0"/>
          <w:numId w:val="1"/>
        </w:numPr>
        <w:spacing w:line="240" w:lineRule="auto"/>
        <w:ind w:leftChars="0" w:firstLineChars="0"/>
        <w:rPr>
          <w:rFonts w:eastAsia="Arial Unicode MS"/>
          <w:b/>
          <w:kern w:val="0"/>
        </w:rPr>
      </w:pPr>
      <w:r w:rsidRPr="000A48CE">
        <w:rPr>
          <w:rFonts w:eastAsia="Arial Unicode MS"/>
          <w:b/>
          <w:kern w:val="0"/>
        </w:rPr>
        <w:lastRenderedPageBreak/>
        <w:t>Supplementary</w:t>
      </w:r>
      <w:r w:rsidRPr="000A48CE">
        <w:rPr>
          <w:rFonts w:eastAsia="Arial Unicode MS" w:hint="eastAsia"/>
          <w:b/>
          <w:kern w:val="0"/>
        </w:rPr>
        <w:t xml:space="preserve"> t</w:t>
      </w:r>
      <w:r w:rsidR="000F3DFC" w:rsidRPr="000A48CE">
        <w:rPr>
          <w:rFonts w:eastAsia="Arial Unicode MS" w:hint="eastAsia"/>
          <w:b/>
          <w:kern w:val="0"/>
        </w:rPr>
        <w:t>able</w:t>
      </w:r>
      <w:r w:rsidR="000A48CE">
        <w:rPr>
          <w:rFonts w:eastAsia="Arial Unicode MS"/>
          <w:b/>
          <w:kern w:val="0"/>
        </w:rPr>
        <w:t xml:space="preserve"> and </w:t>
      </w:r>
      <w:r w:rsidR="000F3DFC" w:rsidRPr="000A48CE">
        <w:rPr>
          <w:rFonts w:eastAsia="Arial Unicode MS" w:hint="eastAsia"/>
          <w:b/>
          <w:kern w:val="0"/>
        </w:rPr>
        <w:t>figures</w:t>
      </w:r>
    </w:p>
    <w:p w:rsidR="000F3DFC" w:rsidRPr="00155581" w:rsidRDefault="000F3DFC" w:rsidP="00744DE9">
      <w:pPr>
        <w:ind w:firstLineChars="0" w:firstLine="0"/>
        <w:rPr>
          <w:rFonts w:eastAsia="Arial Unicode MS"/>
        </w:rPr>
      </w:pPr>
      <w:r w:rsidRPr="00155581">
        <w:rPr>
          <w:b/>
        </w:rPr>
        <w:t>Table S1</w:t>
      </w:r>
      <w:r w:rsidRPr="00155581">
        <w:rPr>
          <w:rFonts w:eastAsia="Arial Unicode MS"/>
          <w:b/>
        </w:rPr>
        <w:t>.</w:t>
      </w:r>
      <w:r w:rsidR="00744DE9" w:rsidRPr="00155581">
        <w:rPr>
          <w:rFonts w:eastAsia="Arial Unicode MS"/>
        </w:rPr>
        <w:t xml:space="preserve"> </w:t>
      </w:r>
      <w:r w:rsidRPr="00155581">
        <w:rPr>
          <w:rFonts w:eastAsia="Arial Unicode MS"/>
        </w:rPr>
        <w:t>Sequence of qPCR primers for MSCs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962"/>
        <w:gridCol w:w="6446"/>
      </w:tblGrid>
      <w:tr w:rsidR="000F3DFC" w:rsidRPr="00945785" w:rsidTr="0096077A">
        <w:trPr>
          <w:trHeight w:val="362"/>
        </w:trPr>
        <w:tc>
          <w:tcPr>
            <w:tcW w:w="19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Gene</w:t>
            </w:r>
          </w:p>
        </w:tc>
        <w:tc>
          <w:tcPr>
            <w:tcW w:w="64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Sequence(5’ to 3’)</w:t>
            </w:r>
          </w:p>
        </w:tc>
      </w:tr>
      <w:tr w:rsidR="000F3DFC" w:rsidRPr="00945785" w:rsidTr="0096077A">
        <w:trPr>
          <w:trHeight w:val="1100"/>
        </w:trPr>
        <w:tc>
          <w:tcPr>
            <w:tcW w:w="1962" w:type="dxa"/>
            <w:shd w:val="clear" w:color="auto" w:fill="C0C0C0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GAPDH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Forward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Reverse</w:t>
            </w:r>
          </w:p>
        </w:tc>
        <w:tc>
          <w:tcPr>
            <w:tcW w:w="6446" w:type="dxa"/>
            <w:tcBorders>
              <w:left w:val="nil"/>
              <w:right w:val="nil"/>
            </w:tcBorders>
            <w:shd w:val="clear" w:color="auto" w:fill="C0C0C0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GGGAAGCCCATCACCATCT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CGGCCTCACCCATTTG</w:t>
            </w:r>
          </w:p>
        </w:tc>
      </w:tr>
      <w:tr w:rsidR="000F3DFC" w:rsidRPr="00945785" w:rsidTr="0096077A">
        <w:trPr>
          <w:trHeight w:val="1085"/>
        </w:trPr>
        <w:tc>
          <w:tcPr>
            <w:tcW w:w="1962" w:type="dxa"/>
            <w:shd w:val="clear" w:color="auto" w:fill="auto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AFP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Forward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Reverse</w:t>
            </w:r>
          </w:p>
        </w:tc>
        <w:tc>
          <w:tcPr>
            <w:tcW w:w="6446" w:type="dxa"/>
            <w:shd w:val="clear" w:color="auto" w:fill="auto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CACACCCGCTTCCCTCAT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CAAACTCATTTTCGTGCAATGC</w:t>
            </w:r>
          </w:p>
        </w:tc>
      </w:tr>
      <w:tr w:rsidR="000F3DFC" w:rsidRPr="00945785" w:rsidTr="0096077A">
        <w:trPr>
          <w:trHeight w:val="1085"/>
        </w:trPr>
        <w:tc>
          <w:tcPr>
            <w:tcW w:w="1962" w:type="dxa"/>
            <w:shd w:val="clear" w:color="auto" w:fill="C0C0C0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TAT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Forward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Reverse</w:t>
            </w:r>
          </w:p>
        </w:tc>
        <w:tc>
          <w:tcPr>
            <w:tcW w:w="6446" w:type="dxa"/>
            <w:tcBorders>
              <w:left w:val="nil"/>
              <w:right w:val="nil"/>
            </w:tcBorders>
            <w:shd w:val="clear" w:color="auto" w:fill="C0C0C0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CGAGCCATTGTGGACAACAT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GGTCCCCAATTGACAGAGAT</w:t>
            </w:r>
          </w:p>
        </w:tc>
      </w:tr>
      <w:tr w:rsidR="000F3DFC" w:rsidRPr="00945785" w:rsidTr="0096077A">
        <w:trPr>
          <w:trHeight w:val="1085"/>
        </w:trPr>
        <w:tc>
          <w:tcPr>
            <w:tcW w:w="1962" w:type="dxa"/>
            <w:shd w:val="clear" w:color="auto" w:fill="auto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CK18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Forward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Reverse</w:t>
            </w:r>
          </w:p>
        </w:tc>
        <w:tc>
          <w:tcPr>
            <w:tcW w:w="6446" w:type="dxa"/>
            <w:shd w:val="clear" w:color="auto" w:fill="auto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CCATGGACTCCGCAAGGT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CTTCCTTGAGTGCCTCGATTTCT</w:t>
            </w:r>
          </w:p>
        </w:tc>
      </w:tr>
      <w:tr w:rsidR="000F3DFC" w:rsidRPr="00945785" w:rsidTr="0096077A">
        <w:trPr>
          <w:trHeight w:val="1085"/>
        </w:trPr>
        <w:tc>
          <w:tcPr>
            <w:tcW w:w="1962" w:type="dxa"/>
            <w:shd w:val="clear" w:color="auto" w:fill="C0C0C0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HNF4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Forward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Reverse</w:t>
            </w:r>
          </w:p>
        </w:tc>
        <w:tc>
          <w:tcPr>
            <w:tcW w:w="6446" w:type="dxa"/>
            <w:tcBorders>
              <w:left w:val="nil"/>
              <w:right w:val="nil"/>
            </w:tcBorders>
            <w:shd w:val="clear" w:color="auto" w:fill="C0C0C0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GAGGCTCCCCTGAGAATAGAGA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TGTTTGGTGTGAAGGTCATGATTAG</w:t>
            </w:r>
          </w:p>
        </w:tc>
      </w:tr>
      <w:tr w:rsidR="000F3DFC" w:rsidRPr="00945785" w:rsidTr="0096077A">
        <w:trPr>
          <w:trHeight w:val="1085"/>
        </w:trPr>
        <w:tc>
          <w:tcPr>
            <w:tcW w:w="1962" w:type="dxa"/>
            <w:shd w:val="clear" w:color="auto" w:fill="auto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G6P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Forward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Reverse</w:t>
            </w:r>
          </w:p>
        </w:tc>
        <w:tc>
          <w:tcPr>
            <w:tcW w:w="6446" w:type="dxa"/>
            <w:shd w:val="clear" w:color="auto" w:fill="auto"/>
          </w:tcPr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GCCTCCGGAAGTATTGTCTCATC</w:t>
            </w:r>
          </w:p>
          <w:p w:rsidR="000F3DFC" w:rsidRPr="00945785" w:rsidRDefault="000F3DFC" w:rsidP="0096077A">
            <w:pPr>
              <w:ind w:firstLine="36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945785">
              <w:rPr>
                <w:rFonts w:ascii="Arial Unicode MS" w:eastAsia="Arial Unicode MS" w:hAnsi="Arial Unicode MS" w:cs="Arial Unicode MS"/>
                <w:sz w:val="18"/>
                <w:szCs w:val="18"/>
              </w:rPr>
              <w:t>CACCCCTAGCCCTTTTAGTAGCA</w:t>
            </w:r>
          </w:p>
        </w:tc>
      </w:tr>
    </w:tbl>
    <w:p w:rsidR="000A48CE" w:rsidRDefault="000A48CE">
      <w:pPr>
        <w:widowControl/>
        <w:spacing w:line="240" w:lineRule="auto"/>
        <w:ind w:firstLineChars="0" w:firstLine="0"/>
        <w:jc w:val="left"/>
        <w:rPr>
          <w:rFonts w:eastAsia="Arial Unicode MS"/>
          <w:b/>
          <w:kern w:val="0"/>
        </w:rPr>
      </w:pPr>
      <w:r>
        <w:rPr>
          <w:rFonts w:eastAsia="Arial Unicode MS"/>
          <w:b/>
          <w:kern w:val="0"/>
        </w:rPr>
        <w:br w:type="page"/>
      </w:r>
    </w:p>
    <w:p w:rsidR="000F3DFC" w:rsidRPr="00945785" w:rsidRDefault="000F3DFC" w:rsidP="000F3DFC">
      <w:pPr>
        <w:spacing w:line="240" w:lineRule="auto"/>
        <w:ind w:firstLineChars="0" w:firstLine="0"/>
        <w:rPr>
          <w:kern w:val="0"/>
        </w:rPr>
      </w:pPr>
      <w:r w:rsidRPr="00945785">
        <w:rPr>
          <w:rFonts w:eastAsia="Arial Unicode MS"/>
          <w:b/>
          <w:kern w:val="0"/>
        </w:rPr>
        <w:lastRenderedPageBreak/>
        <w:t>F</w:t>
      </w:r>
      <w:r w:rsidR="003A42A7">
        <w:rPr>
          <w:rFonts w:eastAsia="Arial Unicode MS"/>
          <w:b/>
          <w:kern w:val="0"/>
        </w:rPr>
        <w:t>igure</w:t>
      </w:r>
      <w:r w:rsidRPr="00945785">
        <w:rPr>
          <w:rFonts w:eastAsia="Arial Unicode MS"/>
          <w:b/>
          <w:kern w:val="0"/>
        </w:rPr>
        <w:t xml:space="preserve"> S1.</w:t>
      </w:r>
      <w:r w:rsidRPr="00945785">
        <w:rPr>
          <w:rFonts w:eastAsia="Arial Unicode MS"/>
          <w:kern w:val="0"/>
        </w:rPr>
        <w:t xml:space="preserve"> </w:t>
      </w:r>
      <w:r w:rsidRPr="00945785">
        <w:rPr>
          <w:rFonts w:eastAsia="Arial Unicode MS" w:hint="eastAsia"/>
          <w:kern w:val="0"/>
        </w:rPr>
        <w:t>T</w:t>
      </w:r>
      <w:r w:rsidRPr="00945785">
        <w:rPr>
          <w:rFonts w:eastAsia="Arial Unicode MS"/>
          <w:kern w:val="0"/>
        </w:rPr>
        <w:t>he microfluidic device with larger culture chamber</w:t>
      </w:r>
      <w:r w:rsidRPr="00945785">
        <w:rPr>
          <w:rFonts w:eastAsia="Arial Unicode MS" w:hint="eastAsia"/>
          <w:kern w:val="0"/>
        </w:rPr>
        <w:t xml:space="preserve"> used for the study</w:t>
      </w:r>
      <w:r w:rsidRPr="00945785">
        <w:rPr>
          <w:rFonts w:eastAsia="Arial Unicode MS"/>
          <w:kern w:val="0"/>
        </w:rPr>
        <w:t>.</w:t>
      </w:r>
    </w:p>
    <w:p w:rsidR="000F3DFC" w:rsidRDefault="000F3DFC" w:rsidP="000F3DFC">
      <w:pPr>
        <w:spacing w:line="240" w:lineRule="auto"/>
        <w:ind w:firstLineChars="0" w:firstLine="0"/>
        <w:rPr>
          <w:noProof/>
          <w:kern w:val="0"/>
        </w:rPr>
      </w:pPr>
      <w:r>
        <w:rPr>
          <w:noProof/>
          <w:kern w:val="0"/>
          <w:lang w:val="en-US" w:eastAsia="en-US"/>
        </w:rPr>
        <w:drawing>
          <wp:inline distT="0" distB="0" distL="0" distR="0">
            <wp:extent cx="4762500" cy="2385060"/>
            <wp:effectExtent l="19050" t="0" r="0" b="0"/>
            <wp:docPr id="7" name="圖片 4" descr="Supplementary 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Supplementary Figure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2EA" w:rsidRPr="00945785" w:rsidRDefault="009E52EA" w:rsidP="000F3DFC">
      <w:pPr>
        <w:spacing w:line="240" w:lineRule="auto"/>
        <w:ind w:firstLineChars="0" w:firstLine="0"/>
        <w:rPr>
          <w:noProof/>
          <w:kern w:val="0"/>
        </w:rPr>
      </w:pPr>
    </w:p>
    <w:p w:rsidR="000F3DFC" w:rsidRPr="00945785" w:rsidRDefault="000F3DFC" w:rsidP="000F3DFC">
      <w:pPr>
        <w:spacing w:line="240" w:lineRule="auto"/>
        <w:ind w:firstLineChars="0" w:firstLine="0"/>
        <w:rPr>
          <w:rFonts w:eastAsia="Arial Unicode MS"/>
          <w:b/>
          <w:kern w:val="0"/>
        </w:rPr>
      </w:pPr>
      <w:r w:rsidRPr="00945785">
        <w:rPr>
          <w:rFonts w:eastAsia="Arial Unicode MS"/>
          <w:b/>
          <w:kern w:val="0"/>
        </w:rPr>
        <w:t>F</w:t>
      </w:r>
      <w:r w:rsidR="003A42A7">
        <w:rPr>
          <w:rFonts w:eastAsia="Arial Unicode MS"/>
          <w:b/>
          <w:kern w:val="0"/>
        </w:rPr>
        <w:t>igure</w:t>
      </w:r>
      <w:r w:rsidRPr="00945785">
        <w:rPr>
          <w:rFonts w:eastAsia="Arial Unicode MS"/>
          <w:b/>
          <w:kern w:val="0"/>
        </w:rPr>
        <w:t xml:space="preserve"> S2</w:t>
      </w:r>
      <w:r w:rsidR="00D614E6">
        <w:rPr>
          <w:rFonts w:eastAsia="Arial Unicode MS"/>
          <w:b/>
          <w:kern w:val="0"/>
        </w:rPr>
        <w:t>.</w:t>
      </w:r>
      <w:r w:rsidRPr="00945785">
        <w:rPr>
          <w:rFonts w:eastAsia="Arial Unicode MS"/>
          <w:b/>
          <w:kern w:val="0"/>
        </w:rPr>
        <w:t xml:space="preserve"> </w:t>
      </w:r>
      <w:r w:rsidRPr="00945785">
        <w:rPr>
          <w:rFonts w:eastAsia="Arial Unicode MS"/>
          <w:kern w:val="0"/>
        </w:rPr>
        <w:t>Processes of proliferation (A) and hepatic differentiation (B) of MSC in culture dish and microfludic device.</w:t>
      </w:r>
    </w:p>
    <w:p w:rsidR="000F3DFC" w:rsidRPr="00945785" w:rsidRDefault="000F3DFC" w:rsidP="000F3DFC">
      <w:pPr>
        <w:spacing w:line="240" w:lineRule="auto"/>
        <w:ind w:firstLineChars="0" w:firstLine="0"/>
        <w:rPr>
          <w:rFonts w:eastAsia="Arial Unicode MS"/>
          <w:b/>
          <w:kern w:val="0"/>
        </w:rPr>
      </w:pPr>
      <w:r>
        <w:rPr>
          <w:rFonts w:eastAsia="DFKai-SB" w:hAnsi="DFKai-SB"/>
          <w:noProof/>
          <w:lang w:val="en-US" w:eastAsia="en-US"/>
        </w:rPr>
        <w:drawing>
          <wp:inline distT="0" distB="0" distL="0" distR="0">
            <wp:extent cx="5273040" cy="2369820"/>
            <wp:effectExtent l="19050" t="0" r="3810" b="0"/>
            <wp:docPr id="6" name="圖片 4" descr="投影片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投影片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135" b="21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EA6" w:rsidRDefault="00E62EA6">
      <w:pPr>
        <w:widowControl/>
        <w:spacing w:line="240" w:lineRule="auto"/>
        <w:ind w:firstLineChars="0" w:firstLine="0"/>
        <w:jc w:val="left"/>
        <w:rPr>
          <w:kern w:val="0"/>
        </w:rPr>
      </w:pPr>
      <w:r>
        <w:rPr>
          <w:kern w:val="0"/>
        </w:rPr>
        <w:br w:type="page"/>
      </w:r>
    </w:p>
    <w:p w:rsidR="00393A17" w:rsidRDefault="00393A17" w:rsidP="00393A17">
      <w:pPr>
        <w:spacing w:line="240" w:lineRule="auto"/>
        <w:ind w:firstLineChars="0" w:firstLine="0"/>
        <w:rPr>
          <w:rFonts w:eastAsia="Arial Unicode MS"/>
          <w:kern w:val="0"/>
        </w:rPr>
      </w:pPr>
      <w:r w:rsidRPr="00945785">
        <w:rPr>
          <w:rFonts w:eastAsia="Arial Unicode MS"/>
          <w:b/>
          <w:kern w:val="0"/>
        </w:rPr>
        <w:lastRenderedPageBreak/>
        <w:t>F</w:t>
      </w:r>
      <w:r>
        <w:rPr>
          <w:rFonts w:eastAsia="Arial Unicode MS"/>
          <w:b/>
          <w:kern w:val="0"/>
        </w:rPr>
        <w:t>igure S</w:t>
      </w:r>
      <w:r>
        <w:rPr>
          <w:rFonts w:eastAsia="Arial Unicode MS" w:hint="eastAsia"/>
          <w:b/>
          <w:kern w:val="0"/>
        </w:rPr>
        <w:t>3</w:t>
      </w:r>
      <w:r w:rsidR="00D614E6">
        <w:rPr>
          <w:rFonts w:eastAsia="Arial Unicode MS"/>
          <w:b/>
          <w:kern w:val="0"/>
        </w:rPr>
        <w:t>.</w:t>
      </w:r>
      <w:r w:rsidRPr="00EC60B3">
        <w:rPr>
          <w:rFonts w:eastAsia="Arial Unicode MS"/>
          <w:kern w:val="0"/>
        </w:rPr>
        <w:t xml:space="preserve"> </w:t>
      </w:r>
      <w:r w:rsidRPr="00393A17">
        <w:rPr>
          <w:rFonts w:eastAsia="Arial Unicode MS"/>
          <w:kern w:val="0"/>
        </w:rPr>
        <w:t xml:space="preserve">Growth curve of human MSCs cultured in the microfluidic device </w:t>
      </w:r>
      <w:r w:rsidR="0067744E">
        <w:rPr>
          <w:rFonts w:eastAsia="Arial Unicode MS" w:hint="eastAsia"/>
          <w:kern w:val="0"/>
        </w:rPr>
        <w:t>and</w:t>
      </w:r>
      <w:r w:rsidRPr="00393A17">
        <w:rPr>
          <w:rFonts w:eastAsia="Arial Unicode MS"/>
          <w:kern w:val="0"/>
        </w:rPr>
        <w:t xml:space="preserve"> culture dish from 0 to 9 days.</w:t>
      </w:r>
    </w:p>
    <w:p w:rsidR="00393A17" w:rsidRDefault="00393A17" w:rsidP="00393A17">
      <w:pPr>
        <w:spacing w:line="240" w:lineRule="auto"/>
        <w:ind w:firstLineChars="0" w:firstLine="0"/>
        <w:rPr>
          <w:rFonts w:eastAsia="Arial Unicode MS"/>
          <w:kern w:val="0"/>
        </w:rPr>
      </w:pPr>
      <w:r w:rsidRPr="00393A17">
        <w:rPr>
          <w:rFonts w:eastAsia="Arial Unicode MS"/>
          <w:noProof/>
          <w:kern w:val="0"/>
          <w:lang w:val="en-US" w:eastAsia="en-US"/>
        </w:rPr>
        <w:drawing>
          <wp:inline distT="0" distB="0" distL="0" distR="0">
            <wp:extent cx="5274310" cy="3027845"/>
            <wp:effectExtent l="19050" t="0" r="2540" b="0"/>
            <wp:docPr id="8" name="圖片 1" descr="hMSCs_growth 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MSCs_growth rat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A17" w:rsidRPr="00393A17" w:rsidRDefault="00393A17" w:rsidP="00393A17">
      <w:pPr>
        <w:spacing w:line="240" w:lineRule="auto"/>
        <w:ind w:firstLineChars="0" w:firstLine="0"/>
        <w:rPr>
          <w:rFonts w:eastAsia="Arial Unicode MS"/>
          <w:kern w:val="0"/>
        </w:rPr>
      </w:pPr>
    </w:p>
    <w:p w:rsidR="00A529DC" w:rsidRDefault="00A529DC" w:rsidP="00A529DC">
      <w:pPr>
        <w:spacing w:line="240" w:lineRule="auto"/>
        <w:ind w:firstLineChars="0" w:firstLine="0"/>
        <w:rPr>
          <w:rFonts w:eastAsia="Arial Unicode MS"/>
          <w:kern w:val="0"/>
        </w:rPr>
      </w:pPr>
      <w:r w:rsidRPr="00A529DC">
        <w:rPr>
          <w:rFonts w:eastAsia="Arial Unicode MS"/>
          <w:b/>
          <w:kern w:val="0"/>
        </w:rPr>
        <w:t>Fig</w:t>
      </w:r>
      <w:r>
        <w:rPr>
          <w:rFonts w:eastAsia="Arial Unicode MS" w:hint="eastAsia"/>
          <w:b/>
          <w:kern w:val="0"/>
        </w:rPr>
        <w:t>ure</w:t>
      </w:r>
      <w:r w:rsidRPr="00A529DC">
        <w:rPr>
          <w:rFonts w:eastAsia="Arial Unicode MS"/>
          <w:b/>
          <w:kern w:val="0"/>
        </w:rPr>
        <w:t xml:space="preserve"> S4. </w:t>
      </w:r>
      <w:r w:rsidRPr="0067744E">
        <w:rPr>
          <w:rFonts w:eastAsia="Arial Unicode MS"/>
          <w:kern w:val="0"/>
        </w:rPr>
        <w:t>Comparative expression of surface markers in mouse MSCs cultured in static culture dish and microfluidic device at day 0and day 3</w:t>
      </w:r>
    </w:p>
    <w:p w:rsidR="00A529DC" w:rsidRDefault="00A529DC" w:rsidP="00A529DC">
      <w:pPr>
        <w:ind w:left="360" w:hangingChars="150" w:hanging="360"/>
        <w:jc w:val="center"/>
        <w:rPr>
          <w:rFonts w:ascii="Arial" w:hAnsi="Arial" w:cs="Arial"/>
          <w:color w:val="222222"/>
          <w:sz w:val="29"/>
          <w:szCs w:val="29"/>
        </w:rPr>
      </w:pPr>
      <w:r>
        <w:rPr>
          <w:noProof/>
          <w:lang w:val="en-US" w:eastAsia="en-US"/>
        </w:rPr>
        <w:drawing>
          <wp:inline distT="0" distB="0" distL="0" distR="0">
            <wp:extent cx="4841848" cy="3952875"/>
            <wp:effectExtent l="19050" t="0" r="0" b="0"/>
            <wp:docPr id="14" name="圖片 13" descr="fig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4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2562" cy="395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9DC" w:rsidRPr="00945785" w:rsidRDefault="00A529DC" w:rsidP="000F3DFC">
      <w:pPr>
        <w:spacing w:line="240" w:lineRule="auto"/>
        <w:ind w:firstLineChars="0" w:firstLine="0"/>
        <w:rPr>
          <w:kern w:val="0"/>
        </w:rPr>
      </w:pPr>
    </w:p>
    <w:p w:rsidR="000F3DFC" w:rsidRPr="00945785" w:rsidRDefault="000F3DFC" w:rsidP="000F3DFC">
      <w:pPr>
        <w:spacing w:line="240" w:lineRule="auto"/>
        <w:ind w:firstLineChars="0" w:firstLine="0"/>
        <w:rPr>
          <w:kern w:val="0"/>
        </w:rPr>
      </w:pPr>
      <w:r w:rsidRPr="00945785">
        <w:rPr>
          <w:rFonts w:eastAsia="Arial Unicode MS"/>
          <w:b/>
          <w:kern w:val="0"/>
        </w:rPr>
        <w:lastRenderedPageBreak/>
        <w:t>F</w:t>
      </w:r>
      <w:r w:rsidR="003A42A7">
        <w:rPr>
          <w:rFonts w:eastAsia="Arial Unicode MS"/>
          <w:b/>
          <w:kern w:val="0"/>
        </w:rPr>
        <w:t>igure</w:t>
      </w:r>
      <w:r w:rsidRPr="00945785">
        <w:rPr>
          <w:rFonts w:eastAsia="Arial Unicode MS"/>
          <w:b/>
          <w:kern w:val="0"/>
        </w:rPr>
        <w:t xml:space="preserve"> S</w:t>
      </w:r>
      <w:r w:rsidR="00A529DC">
        <w:rPr>
          <w:rFonts w:eastAsia="Arial Unicode MS" w:hint="eastAsia"/>
          <w:b/>
          <w:kern w:val="0"/>
        </w:rPr>
        <w:t>5</w:t>
      </w:r>
      <w:r w:rsidRPr="00945785">
        <w:rPr>
          <w:rFonts w:eastAsia="Arial Unicode MS"/>
          <w:b/>
          <w:kern w:val="0"/>
        </w:rPr>
        <w:t>.</w:t>
      </w:r>
      <w:r w:rsidRPr="00945785">
        <w:rPr>
          <w:rFonts w:eastAsia="Arial Unicode MS" w:hint="eastAsia"/>
          <w:b/>
          <w:kern w:val="0"/>
        </w:rPr>
        <w:t xml:space="preserve"> </w:t>
      </w:r>
      <w:r w:rsidRPr="00945785">
        <w:rPr>
          <w:rFonts w:eastAsia="Arial Unicode MS"/>
          <w:kern w:val="0"/>
        </w:rPr>
        <w:t>Simulation of culture medium diffusion in a circle cultural chamber. The flow field showed an uneven flow profile in a circle cultural chamber. The dimension and parameters of flow field were based from a previous study</w:t>
      </w:r>
      <w:r w:rsidR="00B43824" w:rsidRPr="00945785">
        <w:fldChar w:fldCharType="begin"/>
      </w:r>
      <w:r>
        <w:instrText xml:space="preserve"> ADDIN EN.CITE &lt;EndNote&gt;&lt;Cite&gt;&lt;Author&gt;Ju&lt;/Author&gt;&lt;Year&gt;2008&lt;/Year&gt;&lt;RecNum&gt;1273&lt;/RecNum&gt;&lt;DisplayText&gt;(Ju et al. 2008)&lt;/DisplayText&gt;&lt;record&gt;&lt;rec-number&gt;1273&lt;/rec-number&gt;&lt;foreign-keys&gt;&lt;key app="EN" db-id="x20erzxtfdes9ae5dsxvx5v1wdprddvwpt9x"&gt;1273&lt;/key&gt;&lt;/foreign-keys&gt;&lt;ref-type name="Journal Article"&gt;17&lt;/ref-type&gt;&lt;contributors&gt;&lt;authors&gt;&lt;author&gt;Ju, Xiuli&lt;/author&gt;&lt;author&gt;Li, Dong&lt;/author&gt;&lt;author&gt;Gao, Ning&lt;/author&gt;&lt;author&gt;Shi, Qing&lt;/author&gt;&lt;author&gt;Hou, Huaishui&lt;/author&gt;&lt;/authors&gt;&lt;/contributors&gt;&lt;titles&gt;&lt;title&gt;Hepatogenic differentiation of mesenchymal stem cells using microfluidic chips&lt;/title&gt;&lt;secondary-title&gt;Biotechnol J&lt;/secondary-title&gt;&lt;alt-title&gt;Biotechnol J&lt;/alt-title&gt;&lt;/titles&gt;&lt;pages&gt;383-391&lt;/pages&gt;&lt;volume&gt;3&lt;/volume&gt;&lt;number&gt;3&lt;/number&gt;&lt;keywords&gt;&lt;keyword&gt;Cell culture&lt;/keyword&gt;&lt;keyword&gt;Differentiation&lt;/keyword&gt;&lt;keyword&gt;Mesenchymal stem cells&lt;/keyword&gt;&lt;keyword&gt;Microfluidic chip&lt;/keyword&gt;&lt;/keywords&gt;&lt;dates&gt;&lt;year&gt;2008&lt;/year&gt;&lt;/dates&gt;&lt;publisher&gt;WILEY-VCH Verlag&lt;/publisher&gt;&lt;isbn&gt;1860-7314&lt;/isbn&gt;&lt;urls&gt;&lt;related-urls&gt;&lt;url&gt;http://dx.doi.org/10.1002/biot.200700152&lt;/url&gt;&lt;/related-urls&gt;&lt;/urls&gt;&lt;electronic-resource-num&gt;10.1002/biot.200700152&lt;/electronic-resource-num&gt;&lt;/record&gt;&lt;/Cite&gt;&lt;/EndNote&gt;</w:instrText>
      </w:r>
      <w:r w:rsidR="00B43824" w:rsidRPr="00945785">
        <w:fldChar w:fldCharType="separate"/>
      </w:r>
      <w:r w:rsidRPr="00945785">
        <w:rPr>
          <w:noProof/>
        </w:rPr>
        <w:t>(</w:t>
      </w:r>
      <w:hyperlink w:anchor="_ENREF_23" w:tooltip="Ju, 2008 #1273" w:history="1">
        <w:r w:rsidRPr="00945785">
          <w:rPr>
            <w:noProof/>
          </w:rPr>
          <w:t>Ju et al. 2008</w:t>
        </w:r>
      </w:hyperlink>
      <w:r w:rsidRPr="00945785">
        <w:rPr>
          <w:noProof/>
        </w:rPr>
        <w:t>)</w:t>
      </w:r>
      <w:r w:rsidR="00B43824" w:rsidRPr="00945785">
        <w:fldChar w:fldCharType="end"/>
      </w:r>
      <w:r w:rsidRPr="00945785">
        <w:rPr>
          <w:rFonts w:eastAsia="Arial Unicode MS"/>
          <w:kern w:val="0"/>
        </w:rPr>
        <w:t>.</w:t>
      </w:r>
    </w:p>
    <w:p w:rsidR="000F3DFC" w:rsidRPr="00945785" w:rsidRDefault="000F3DFC" w:rsidP="000A48CE">
      <w:pPr>
        <w:spacing w:line="240" w:lineRule="auto"/>
        <w:ind w:firstLineChars="0" w:firstLine="0"/>
        <w:rPr>
          <w:kern w:val="0"/>
        </w:rPr>
      </w:pPr>
      <w:r>
        <w:rPr>
          <w:rFonts w:eastAsia="Arial Unicode MS"/>
          <w:b/>
          <w:noProof/>
          <w:kern w:val="0"/>
          <w:lang w:val="en-US" w:eastAsia="en-US"/>
        </w:rPr>
        <w:drawing>
          <wp:inline distT="0" distB="0" distL="0" distR="0">
            <wp:extent cx="5128260" cy="2842260"/>
            <wp:effectExtent l="19050" t="0" r="0" b="0"/>
            <wp:docPr id="2" name="圖片 5" descr="Supplementary 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Supplementary Figure S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3367" b="12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28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DFC" w:rsidRPr="00945785" w:rsidSect="008575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0E0" w:rsidRPr="008E3C5E" w:rsidRDefault="00B240E0" w:rsidP="00F61AAD">
      <w:pPr>
        <w:spacing w:line="240" w:lineRule="auto"/>
        <w:rPr>
          <w:sz w:val="10"/>
        </w:rPr>
      </w:pPr>
      <w:r>
        <w:separator/>
      </w:r>
    </w:p>
  </w:endnote>
  <w:endnote w:type="continuationSeparator" w:id="0">
    <w:p w:rsidR="00B240E0" w:rsidRPr="008E3C5E" w:rsidRDefault="00B240E0" w:rsidP="00F61AAD">
      <w:pPr>
        <w:spacing w:line="240" w:lineRule="auto"/>
        <w:rPr>
          <w:sz w:val="1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AAD" w:rsidRDefault="00F61AAD" w:rsidP="00F61AAD">
    <w:pPr>
      <w:pStyle w:val="Footer"/>
      <w:ind w:firstLine="4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AAD" w:rsidRDefault="00F61AAD" w:rsidP="00F61AAD">
    <w:pPr>
      <w:pStyle w:val="Footer"/>
      <w:ind w:firstLine="4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AAD" w:rsidRDefault="00F61AAD" w:rsidP="00F61AAD">
    <w:pPr>
      <w:pStyle w:val="Footer"/>
      <w:ind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0E0" w:rsidRPr="008E3C5E" w:rsidRDefault="00B240E0" w:rsidP="00F61AAD">
      <w:pPr>
        <w:spacing w:line="240" w:lineRule="auto"/>
        <w:rPr>
          <w:sz w:val="10"/>
        </w:rPr>
      </w:pPr>
      <w:r>
        <w:separator/>
      </w:r>
    </w:p>
  </w:footnote>
  <w:footnote w:type="continuationSeparator" w:id="0">
    <w:p w:rsidR="00B240E0" w:rsidRPr="008E3C5E" w:rsidRDefault="00B240E0" w:rsidP="00F61AAD">
      <w:pPr>
        <w:spacing w:line="240" w:lineRule="auto"/>
        <w:rPr>
          <w:sz w:val="1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AAD" w:rsidRDefault="00F61AAD" w:rsidP="00F61AAD">
    <w:pPr>
      <w:pStyle w:val="Header"/>
      <w:ind w:firstLine="4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AAD" w:rsidRDefault="00F61AAD" w:rsidP="00F61AAD">
    <w:pPr>
      <w:pStyle w:val="Header"/>
      <w:ind w:firstLine="4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AAD" w:rsidRDefault="00F61AAD" w:rsidP="00F61AAD">
    <w:pPr>
      <w:pStyle w:val="Header"/>
      <w:ind w:firstLine="4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74DFE"/>
    <w:multiLevelType w:val="hybridMultilevel"/>
    <w:tmpl w:val="8A9E3D0A"/>
    <w:lvl w:ilvl="0" w:tplc="2D6850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S Liu">
    <w15:presenceInfo w15:providerId="Windows Live" w15:userId="b6a5da3d723a59c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297F"/>
    <w:rsid w:val="00021C1B"/>
    <w:rsid w:val="000439EA"/>
    <w:rsid w:val="00060876"/>
    <w:rsid w:val="00083175"/>
    <w:rsid w:val="000A48CE"/>
    <w:rsid w:val="000B024D"/>
    <w:rsid w:val="000F3DFC"/>
    <w:rsid w:val="00155581"/>
    <w:rsid w:val="0017766E"/>
    <w:rsid w:val="001E7153"/>
    <w:rsid w:val="002128C5"/>
    <w:rsid w:val="002902F8"/>
    <w:rsid w:val="002D2A93"/>
    <w:rsid w:val="002E1A59"/>
    <w:rsid w:val="0035200D"/>
    <w:rsid w:val="00353D19"/>
    <w:rsid w:val="00364E6E"/>
    <w:rsid w:val="00393A17"/>
    <w:rsid w:val="003A42A7"/>
    <w:rsid w:val="003D2025"/>
    <w:rsid w:val="003F09C9"/>
    <w:rsid w:val="003F50F8"/>
    <w:rsid w:val="00416E75"/>
    <w:rsid w:val="004271C7"/>
    <w:rsid w:val="00435BE1"/>
    <w:rsid w:val="00443768"/>
    <w:rsid w:val="00461F18"/>
    <w:rsid w:val="00486563"/>
    <w:rsid w:val="004C1737"/>
    <w:rsid w:val="004E1734"/>
    <w:rsid w:val="00554C66"/>
    <w:rsid w:val="005831F1"/>
    <w:rsid w:val="005E1FEE"/>
    <w:rsid w:val="0067744E"/>
    <w:rsid w:val="00692DF8"/>
    <w:rsid w:val="006A610E"/>
    <w:rsid w:val="006C32D4"/>
    <w:rsid w:val="006E7C2D"/>
    <w:rsid w:val="006F0B43"/>
    <w:rsid w:val="006F427D"/>
    <w:rsid w:val="00744DE9"/>
    <w:rsid w:val="0076297F"/>
    <w:rsid w:val="00791BF0"/>
    <w:rsid w:val="007A338E"/>
    <w:rsid w:val="007A7C5A"/>
    <w:rsid w:val="007C3B9B"/>
    <w:rsid w:val="00857595"/>
    <w:rsid w:val="00881F46"/>
    <w:rsid w:val="008B2E4A"/>
    <w:rsid w:val="008E3913"/>
    <w:rsid w:val="00904101"/>
    <w:rsid w:val="009363A9"/>
    <w:rsid w:val="00952435"/>
    <w:rsid w:val="00974EB8"/>
    <w:rsid w:val="009A4C11"/>
    <w:rsid w:val="009C0C5B"/>
    <w:rsid w:val="009E52EA"/>
    <w:rsid w:val="009F0207"/>
    <w:rsid w:val="009F363F"/>
    <w:rsid w:val="00A36A04"/>
    <w:rsid w:val="00A529DC"/>
    <w:rsid w:val="00A72753"/>
    <w:rsid w:val="00A7454E"/>
    <w:rsid w:val="00AC3CC1"/>
    <w:rsid w:val="00B240E0"/>
    <w:rsid w:val="00B43824"/>
    <w:rsid w:val="00BB0C2E"/>
    <w:rsid w:val="00BC583F"/>
    <w:rsid w:val="00C25871"/>
    <w:rsid w:val="00C425B7"/>
    <w:rsid w:val="00C763CD"/>
    <w:rsid w:val="00CC6F9A"/>
    <w:rsid w:val="00D00FC0"/>
    <w:rsid w:val="00D058FB"/>
    <w:rsid w:val="00D06641"/>
    <w:rsid w:val="00D614E6"/>
    <w:rsid w:val="00D77265"/>
    <w:rsid w:val="00DB7BD9"/>
    <w:rsid w:val="00E04816"/>
    <w:rsid w:val="00E14AC1"/>
    <w:rsid w:val="00E1661F"/>
    <w:rsid w:val="00E27E8F"/>
    <w:rsid w:val="00E62EA6"/>
    <w:rsid w:val="00E657D2"/>
    <w:rsid w:val="00E86FC5"/>
    <w:rsid w:val="00EA5AF1"/>
    <w:rsid w:val="00EB2312"/>
    <w:rsid w:val="00EC60B3"/>
    <w:rsid w:val="00ED29C1"/>
    <w:rsid w:val="00ED2FA6"/>
    <w:rsid w:val="00F55AF0"/>
    <w:rsid w:val="00F61AAD"/>
    <w:rsid w:val="00F8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7F"/>
    <w:pPr>
      <w:widowControl w:val="0"/>
      <w:spacing w:line="360" w:lineRule="auto"/>
      <w:ind w:firstLineChars="200" w:firstLine="480"/>
      <w:jc w:val="both"/>
    </w:pPr>
    <w:rPr>
      <w:rFonts w:ascii="Times New Roman" w:eastAsia="PMingLiU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29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97F"/>
    <w:rPr>
      <w:rFonts w:asciiTheme="majorHAnsi" w:eastAsiaTheme="majorEastAsia" w:hAnsiTheme="majorHAnsi" w:cstheme="majorBid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F61A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1AAD"/>
    <w:rPr>
      <w:rFonts w:ascii="Times New Roman" w:eastAsia="PMingLiU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F61A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61AAD"/>
    <w:rPr>
      <w:rFonts w:ascii="Times New Roman" w:eastAsia="PMingLiU" w:hAnsi="Times New Roman" w:cs="Times New Roman"/>
      <w:sz w:val="20"/>
      <w:szCs w:val="20"/>
      <w:lang w:val="en-GB"/>
    </w:rPr>
  </w:style>
  <w:style w:type="paragraph" w:customStyle="1" w:styleId="05BHeading">
    <w:name w:val="05 B Heading"/>
    <w:next w:val="Normal"/>
    <w:qFormat/>
    <w:rsid w:val="00E04816"/>
    <w:pPr>
      <w:spacing w:before="120" w:after="120" w:line="200" w:lineRule="exact"/>
      <w:jc w:val="both"/>
    </w:pPr>
    <w:rPr>
      <w:rFonts w:ascii="Times New Roman" w:hAnsi="Times New Roman" w:cs="Times New Roman"/>
      <w:b/>
      <w:kern w:val="0"/>
      <w:sz w:val="18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0F3DFC"/>
    <w:pPr>
      <w:ind w:leftChars="200" w:left="480"/>
    </w:pPr>
  </w:style>
  <w:style w:type="paragraph" w:styleId="Caption">
    <w:name w:val="caption"/>
    <w:basedOn w:val="Normal"/>
    <w:next w:val="Normal"/>
    <w:uiPriority w:val="35"/>
    <w:unhideWhenUsed/>
    <w:qFormat/>
    <w:rsid w:val="000F3DFC"/>
    <w:rPr>
      <w:rFonts w:ascii="Calibri" w:hAnsi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1437</Words>
  <Characters>8196</Characters>
  <Application>Microsoft Office Word</Application>
  <DocSecurity>0</DocSecurity>
  <Lines>68</Lines>
  <Paragraphs>19</Paragraphs>
  <ScaleCrop>false</ScaleCrop>
  <Company>台北榮民總醫院</Company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jolano</cp:lastModifiedBy>
  <cp:revision>13</cp:revision>
  <dcterms:created xsi:type="dcterms:W3CDTF">2016-06-02T11:23:00Z</dcterms:created>
  <dcterms:modified xsi:type="dcterms:W3CDTF">2016-08-04T18:07:00Z</dcterms:modified>
</cp:coreProperties>
</file>