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BAF4A" w14:textId="30F975E4" w:rsidR="00562CFF" w:rsidRDefault="006A4076">
      <w:pPr>
        <w:rPr>
          <w:b/>
        </w:rPr>
      </w:pPr>
      <w:r w:rsidRPr="007941A0">
        <w:rPr>
          <w:b/>
        </w:rPr>
        <w:t xml:space="preserve">Supplemental </w:t>
      </w:r>
      <w:r w:rsidR="00FC3BF5" w:rsidRPr="007941A0">
        <w:rPr>
          <w:b/>
        </w:rPr>
        <w:t>information</w:t>
      </w:r>
    </w:p>
    <w:p w14:paraId="74255D4F" w14:textId="77777777" w:rsidR="004E1206" w:rsidRDefault="004E1206" w:rsidP="004E1206">
      <w:pPr>
        <w:rPr>
          <w:rFonts w:ascii="Arial" w:hAnsi="Arial" w:cs="Arial"/>
        </w:rPr>
      </w:pPr>
    </w:p>
    <w:p w14:paraId="587993E9" w14:textId="77777777" w:rsidR="004E1206" w:rsidRPr="00323C8E" w:rsidRDefault="004E1206" w:rsidP="004E1206">
      <w:pPr>
        <w:spacing w:line="360" w:lineRule="auto"/>
        <w:outlineLvl w:val="0"/>
        <w:rPr>
          <w:rFonts w:ascii="Arial" w:hAnsi="Arial" w:cs="Arial"/>
          <w:b/>
          <w:sz w:val="28"/>
          <w:szCs w:val="28"/>
        </w:rPr>
      </w:pPr>
      <w:r w:rsidRPr="00323C8E">
        <w:rPr>
          <w:rFonts w:ascii="Arial" w:hAnsi="Arial" w:cs="Arial"/>
          <w:b/>
          <w:sz w:val="28"/>
          <w:szCs w:val="28"/>
        </w:rPr>
        <w:t>M</w:t>
      </w:r>
      <w:r>
        <w:rPr>
          <w:rFonts w:ascii="Arial" w:hAnsi="Arial" w:cs="Arial"/>
          <w:b/>
          <w:sz w:val="28"/>
          <w:szCs w:val="28"/>
        </w:rPr>
        <w:t>ATERIAL AND METHODS</w:t>
      </w:r>
    </w:p>
    <w:p w14:paraId="4B2C475B" w14:textId="77777777" w:rsidR="004E1206" w:rsidRPr="00F0615A" w:rsidRDefault="004E1206" w:rsidP="004E1206">
      <w:pPr>
        <w:spacing w:after="240" w:line="360" w:lineRule="auto"/>
        <w:rPr>
          <w:rFonts w:ascii="Arial" w:hAnsi="Arial" w:cs="Arial"/>
          <w:color w:val="000000" w:themeColor="text1"/>
        </w:rPr>
      </w:pPr>
      <w:r w:rsidRPr="00F0615A">
        <w:rPr>
          <w:rFonts w:ascii="Arial" w:hAnsi="Arial" w:cs="Arial"/>
          <w:b/>
          <w:color w:val="000000" w:themeColor="text1"/>
        </w:rPr>
        <w:t xml:space="preserve">Mice. </w:t>
      </w:r>
      <w:r w:rsidRPr="00F0615A">
        <w:rPr>
          <w:rFonts w:ascii="Arial" w:hAnsi="Arial" w:cs="Arial"/>
          <w:color w:val="000000" w:themeColor="text1"/>
        </w:rPr>
        <w:t>8-12 weeks old Female GF and SPF C57BL/6J</w:t>
      </w:r>
      <w:r w:rsidRPr="00F0615A">
        <w:rPr>
          <w:rFonts w:ascii="Arial" w:hAnsi="Arial" w:cs="Arial"/>
          <w:b/>
          <w:color w:val="000000" w:themeColor="text1"/>
        </w:rPr>
        <w:t xml:space="preserve"> </w:t>
      </w:r>
      <w:r w:rsidRPr="00F0615A">
        <w:rPr>
          <w:rFonts w:ascii="Arial" w:hAnsi="Arial" w:cs="Arial"/>
          <w:color w:val="000000" w:themeColor="text1"/>
        </w:rPr>
        <w:t>mice were purchased and house</w:t>
      </w:r>
      <w:r>
        <w:rPr>
          <w:rFonts w:ascii="Arial" w:hAnsi="Arial" w:cs="Arial"/>
          <w:color w:val="000000" w:themeColor="text1"/>
        </w:rPr>
        <w:t>d</w:t>
      </w:r>
      <w:r w:rsidRPr="00F0615A">
        <w:rPr>
          <w:rFonts w:ascii="Arial" w:hAnsi="Arial" w:cs="Arial"/>
          <w:color w:val="000000" w:themeColor="text1"/>
        </w:rPr>
        <w:t xml:space="preserve"> in Chinese </w:t>
      </w:r>
      <w:r>
        <w:rPr>
          <w:rFonts w:ascii="Arial" w:hAnsi="Arial" w:cs="Arial"/>
          <w:color w:val="000000" w:themeColor="text1"/>
        </w:rPr>
        <w:t xml:space="preserve">Academy of Sciences Shanghai laboratory animal </w:t>
      </w:r>
      <w:r w:rsidRPr="00F0615A">
        <w:rPr>
          <w:rFonts w:ascii="Arial" w:hAnsi="Arial" w:cs="Arial"/>
          <w:color w:val="000000" w:themeColor="text1"/>
        </w:rPr>
        <w:t xml:space="preserve">center (China, Shanghai, Songjiang District). </w:t>
      </w:r>
      <w:r w:rsidRPr="002A53AE">
        <w:rPr>
          <w:rFonts w:ascii="Arial" w:hAnsi="Arial" w:cs="Arial"/>
          <w:color w:val="000000" w:themeColor="text1"/>
        </w:rPr>
        <w:t xml:space="preserve">All mice were housed in the same environment under specific pathogen-free conditions with cycles of 14 hours daylight and 10 hours dark. </w:t>
      </w:r>
      <w:r w:rsidRPr="00F0615A">
        <w:rPr>
          <w:rFonts w:ascii="Arial" w:hAnsi="Arial" w:cs="Arial"/>
          <w:color w:val="000000" w:themeColor="text1"/>
        </w:rPr>
        <w:t>To generate conventionalized model, GF mice were exposed in conventional environment by co-housing with SPF mice for two weeks.</w:t>
      </w:r>
      <w:r w:rsidRPr="002A53AE">
        <w:rPr>
          <w:rFonts w:ascii="Arial" w:hAnsi="Arial" w:cs="Arial"/>
          <w:color w:val="000000" w:themeColor="text1"/>
        </w:rPr>
        <w:t xml:space="preserve"> </w:t>
      </w:r>
      <w:r w:rsidRPr="00F0615A">
        <w:rPr>
          <w:rFonts w:ascii="Arial" w:hAnsi="Arial" w:cs="Arial"/>
          <w:color w:val="000000" w:themeColor="text1"/>
        </w:rPr>
        <w:t>All animal experiments were approved by The Ethics Committee of the Peking University Health Science Center (LA2016149).</w:t>
      </w:r>
    </w:p>
    <w:p w14:paraId="7CBA559B" w14:textId="77777777" w:rsidR="004E1206" w:rsidRPr="00F0615A" w:rsidRDefault="004E1206" w:rsidP="004E1206">
      <w:pPr>
        <w:spacing w:after="240" w:line="360" w:lineRule="auto"/>
        <w:rPr>
          <w:rFonts w:ascii="Arial" w:hAnsi="Arial" w:cs="Arial"/>
          <w:color w:val="000000" w:themeColor="text1"/>
        </w:rPr>
      </w:pPr>
      <w:r w:rsidRPr="00F0615A">
        <w:rPr>
          <w:rFonts w:ascii="Arial" w:hAnsi="Arial" w:cs="Arial"/>
          <w:b/>
          <w:color w:val="000000" w:themeColor="text1"/>
        </w:rPr>
        <w:t xml:space="preserve">Isolation of mouse bone marrow mesenchymal stem cells. </w:t>
      </w:r>
      <w:r w:rsidRPr="00F0615A">
        <w:rPr>
          <w:rFonts w:ascii="Arial" w:hAnsi="Arial" w:cs="Arial"/>
          <w:color w:val="000000" w:themeColor="text1"/>
        </w:rPr>
        <w:t>Bone marrow cells were flushed from mouse femurs with 2% heat-inactivated fetal bovine serum (FBS) in PBS. A single-cell suspen</w:t>
      </w:r>
      <w:r w:rsidRPr="00F0615A">
        <w:rPr>
          <w:rFonts w:ascii="Arial" w:hAnsi="Arial" w:cs="Arial"/>
          <w:color w:val="000000" w:themeColor="text1"/>
        </w:rPr>
        <w:softHyphen/>
        <w:t>sion of all nuclear cells (ANCs) was obtained by passing bone marrow cells through a 70 μm cell strainer (BD Bioscience), and seeded at a density of 1×10</w:t>
      </w:r>
      <w:r w:rsidRPr="00F0615A">
        <w:rPr>
          <w:rFonts w:ascii="Arial" w:hAnsi="Arial" w:cs="Arial"/>
          <w:color w:val="000000" w:themeColor="text1"/>
          <w:vertAlign w:val="superscript"/>
        </w:rPr>
        <w:t>7</w:t>
      </w:r>
      <w:r w:rsidRPr="00F0615A">
        <w:rPr>
          <w:rFonts w:ascii="Arial" w:hAnsi="Arial" w:cs="Arial"/>
          <w:color w:val="000000" w:themeColor="text1"/>
        </w:rPr>
        <w:t xml:space="preserve"> cells per</w:t>
      </w:r>
      <w:r w:rsidRPr="00F0615A">
        <w:rPr>
          <w:color w:val="000000" w:themeColor="text1"/>
        </w:rPr>
        <w:t xml:space="preserve"> </w:t>
      </w:r>
      <w:r w:rsidRPr="00F0615A">
        <w:rPr>
          <w:rFonts w:ascii="Arial" w:hAnsi="Arial" w:cs="Arial"/>
          <w:color w:val="000000" w:themeColor="text1"/>
        </w:rPr>
        <w:t xml:space="preserve">100 mm culture dish (Corning) and incubated at 37 °C </w:t>
      </w:r>
      <w:r>
        <w:rPr>
          <w:rFonts w:ascii="Arial" w:hAnsi="Arial" w:cs="Arial"/>
          <w:color w:val="000000" w:themeColor="text1"/>
        </w:rPr>
        <w:t>with</w:t>
      </w:r>
      <w:r w:rsidRPr="00F0615A">
        <w:rPr>
          <w:rFonts w:ascii="Arial" w:hAnsi="Arial" w:cs="Arial"/>
          <w:color w:val="000000" w:themeColor="text1"/>
        </w:rPr>
        <w:t xml:space="preserve"> 5% CO</w:t>
      </w:r>
      <w:r w:rsidRPr="00F0615A">
        <w:rPr>
          <w:rStyle w:val="A18"/>
          <w:rFonts w:ascii="Arial" w:hAnsi="Arial" w:cs="Arial"/>
          <w:color w:val="000000" w:themeColor="text1"/>
          <w:vertAlign w:val="subscript"/>
        </w:rPr>
        <w:t>2</w:t>
      </w:r>
      <w:r w:rsidRPr="00F0615A">
        <w:rPr>
          <w:rFonts w:ascii="Arial" w:hAnsi="Arial" w:cs="Arial"/>
          <w:color w:val="000000" w:themeColor="text1"/>
        </w:rPr>
        <w:t>. To eliminate the hematopoietic cell contamination, the cultures were washed with PBS twice on the second day. The attached cells were cultured for 14 days with alpha minimum essential medium (α-MEM, Invitrogen) supplemented with 20% FBS, 2 mM L-glutamine, 55 μM 2-mercaptoethanol, 100 U/ml</w:t>
      </w:r>
      <w:r w:rsidRPr="00F0615A">
        <w:rPr>
          <w:rStyle w:val="A17"/>
          <w:rFonts w:ascii="Arial" w:hAnsi="Arial" w:cs="Arial"/>
          <w:color w:val="000000" w:themeColor="text1"/>
        </w:rPr>
        <w:t xml:space="preserve"> </w:t>
      </w:r>
      <w:r w:rsidRPr="00F0615A">
        <w:rPr>
          <w:rFonts w:ascii="Arial" w:hAnsi="Arial" w:cs="Arial"/>
          <w:color w:val="000000" w:themeColor="text1"/>
        </w:rPr>
        <w:t>penicillin, and 100 μg/ml</w:t>
      </w:r>
      <w:r w:rsidRPr="00F0615A">
        <w:rPr>
          <w:rStyle w:val="A17"/>
          <w:rFonts w:ascii="Arial" w:hAnsi="Arial" w:cs="Arial"/>
          <w:color w:val="000000" w:themeColor="text1"/>
        </w:rPr>
        <w:t xml:space="preserve"> </w:t>
      </w:r>
      <w:r w:rsidRPr="00F0615A">
        <w:rPr>
          <w:rFonts w:ascii="Arial" w:hAnsi="Arial" w:cs="Arial"/>
          <w:color w:val="000000" w:themeColor="text1"/>
        </w:rPr>
        <w:t>streptomycin. To confirm mes</w:t>
      </w:r>
      <w:r w:rsidRPr="00F0615A">
        <w:rPr>
          <w:rFonts w:ascii="Arial" w:hAnsi="Arial" w:cs="Arial"/>
          <w:color w:val="000000" w:themeColor="text1"/>
        </w:rPr>
        <w:softHyphen/>
        <w:t>enchymal stem cell character, we used flow cytome</w:t>
      </w:r>
      <w:r>
        <w:rPr>
          <w:rFonts w:ascii="Arial" w:hAnsi="Arial" w:cs="Arial"/>
          <w:color w:val="000000" w:themeColor="text1"/>
        </w:rPr>
        <w:t xml:space="preserve">tric analysis to </w:t>
      </w:r>
      <w:r>
        <w:rPr>
          <w:rFonts w:ascii="Arial" w:hAnsi="Arial" w:cs="Arial"/>
          <w:color w:val="000000" w:themeColor="text1"/>
        </w:rPr>
        <w:lastRenderedPageBreak/>
        <w:t>show that</w:t>
      </w:r>
      <w:r w:rsidRPr="00F0615A">
        <w:rPr>
          <w:rFonts w:ascii="Arial" w:hAnsi="Arial" w:cs="Arial"/>
          <w:color w:val="000000" w:themeColor="text1"/>
        </w:rPr>
        <w:t xml:space="preserve"> </w:t>
      </w:r>
      <w:r>
        <w:rPr>
          <w:rFonts w:ascii="Arial" w:hAnsi="Arial" w:cs="Arial"/>
          <w:color w:val="000000" w:themeColor="text1"/>
        </w:rPr>
        <w:t>BM</w:t>
      </w:r>
      <w:r w:rsidRPr="00F0615A">
        <w:rPr>
          <w:rFonts w:ascii="Arial" w:hAnsi="Arial" w:cs="Arial"/>
          <w:color w:val="000000" w:themeColor="text1"/>
        </w:rPr>
        <w:t>MSCs were positive for CD73, CD90, CD105, CD166 and Sca-1 and negative for CD34 and CD45. For c</w:t>
      </w:r>
      <w:r w:rsidRPr="00F0615A">
        <w:rPr>
          <w:rFonts w:ascii="Arial" w:hAnsi="Arial" w:cs="Arial"/>
          <w:iCs/>
          <w:color w:val="000000" w:themeColor="text1"/>
        </w:rPr>
        <w:t>olony forming assay,</w:t>
      </w:r>
      <w:r w:rsidRPr="00F0615A">
        <w:rPr>
          <w:rFonts w:ascii="Arial" w:hAnsi="Arial" w:cs="Arial"/>
          <w:color w:val="000000" w:themeColor="text1"/>
        </w:rPr>
        <w:t xml:space="preserve"> 1.5x10</w:t>
      </w:r>
      <w:r w:rsidRPr="00F0615A">
        <w:rPr>
          <w:rFonts w:ascii="Arial" w:hAnsi="Arial" w:cs="Arial"/>
          <w:color w:val="000000" w:themeColor="text1"/>
          <w:vertAlign w:val="superscript"/>
        </w:rPr>
        <w:t>6</w:t>
      </w:r>
      <w:r w:rsidRPr="00F0615A">
        <w:rPr>
          <w:rFonts w:ascii="Arial" w:hAnsi="Arial" w:cs="Arial"/>
          <w:color w:val="000000" w:themeColor="text1"/>
        </w:rPr>
        <w:t xml:space="preserve"> single suspension ANCs were seeded in 60 mm culture dish (Corning). After 14 days, the dishes were washed with PBS and stained wit</w:t>
      </w:r>
      <w:r>
        <w:rPr>
          <w:rFonts w:ascii="Arial" w:hAnsi="Arial" w:cs="Arial"/>
          <w:color w:val="000000" w:themeColor="text1"/>
        </w:rPr>
        <w:t>h 1% toluidine blue solution with</w:t>
      </w:r>
      <w:r w:rsidRPr="00F0615A">
        <w:rPr>
          <w:rFonts w:ascii="Arial" w:hAnsi="Arial" w:cs="Arial"/>
          <w:color w:val="000000" w:themeColor="text1"/>
        </w:rPr>
        <w:t xml:space="preserve"> 2% paraformaldehyde (Sigma-Aldrich). The cell clusters were counted under microscopy and those with more than 50 cells were considered as colonies.</w:t>
      </w:r>
    </w:p>
    <w:p w14:paraId="13731C90" w14:textId="77777777" w:rsidR="004E1206" w:rsidRPr="00F0615A" w:rsidRDefault="004E1206" w:rsidP="004E1206">
      <w:pPr>
        <w:spacing w:after="120" w:line="360" w:lineRule="auto"/>
        <w:rPr>
          <w:rFonts w:ascii="Arial" w:hAnsi="Arial" w:cs="Arial"/>
          <w:color w:val="000000" w:themeColor="text1"/>
        </w:rPr>
      </w:pPr>
      <w:r w:rsidRPr="00F0615A">
        <w:rPr>
          <w:rFonts w:ascii="Arial" w:hAnsi="Arial" w:cs="Arial"/>
          <w:b/>
          <w:color w:val="000000" w:themeColor="text1"/>
        </w:rPr>
        <w:t>Cell proliferation assay.</w:t>
      </w:r>
      <w:r w:rsidRPr="00F0615A">
        <w:rPr>
          <w:rFonts w:ascii="Arial" w:hAnsi="Arial" w:cs="Arial"/>
          <w:color w:val="000000" w:themeColor="text1"/>
        </w:rPr>
        <w:t xml:space="preserve"> </w:t>
      </w:r>
    </w:p>
    <w:p w14:paraId="421B8087" w14:textId="77777777" w:rsidR="004E1206" w:rsidRDefault="004E1206" w:rsidP="004E1206">
      <w:pPr>
        <w:spacing w:after="240" w:line="360" w:lineRule="auto"/>
        <w:rPr>
          <w:rFonts w:ascii="Arial" w:hAnsi="Arial" w:cs="Arial"/>
          <w:color w:val="000000" w:themeColor="text1"/>
        </w:rPr>
      </w:pPr>
      <w:r w:rsidRPr="009F56D8">
        <w:rPr>
          <w:rFonts w:ascii="Arial" w:hAnsi="Arial" w:cs="Arial"/>
          <w:color w:val="000000" w:themeColor="text1"/>
        </w:rPr>
        <w:t>The second-passage B</w:t>
      </w:r>
      <w:r>
        <w:rPr>
          <w:rFonts w:ascii="Arial" w:hAnsi="Arial" w:cs="Arial"/>
          <w:color w:val="000000" w:themeColor="text1"/>
        </w:rPr>
        <w:t>M</w:t>
      </w:r>
      <w:r w:rsidRPr="009F56D8">
        <w:rPr>
          <w:rFonts w:ascii="Arial" w:hAnsi="Arial" w:cs="Arial"/>
          <w:color w:val="000000" w:themeColor="text1"/>
        </w:rPr>
        <w:t>MSCs were seeded at a density of 2,000</w:t>
      </w:r>
      <w:r>
        <w:rPr>
          <w:rFonts w:ascii="Arial" w:hAnsi="Arial" w:cs="Arial"/>
          <w:color w:val="000000" w:themeColor="text1"/>
        </w:rPr>
        <w:t xml:space="preserve"> cells</w:t>
      </w:r>
      <w:r w:rsidRPr="009F56D8">
        <w:rPr>
          <w:rFonts w:ascii="Arial" w:hAnsi="Arial" w:cs="Arial"/>
          <w:color w:val="000000" w:themeColor="text1"/>
        </w:rPr>
        <w:t xml:space="preserve"> per well in 96-well</w:t>
      </w:r>
      <w:r w:rsidRPr="009F56D8">
        <w:rPr>
          <w:rFonts w:ascii="Arial" w:hAnsi="Arial" w:cs="Arial" w:hint="eastAsia"/>
          <w:color w:val="000000" w:themeColor="text1"/>
        </w:rPr>
        <w:t>s</w:t>
      </w:r>
      <w:r w:rsidRPr="009F56D8">
        <w:rPr>
          <w:rFonts w:ascii="Arial" w:hAnsi="Arial" w:cs="Arial"/>
          <w:color w:val="000000" w:themeColor="text1"/>
        </w:rPr>
        <w:t xml:space="preserve"> plates. The cell number was assessed on days 1, 3, 5, 7, 9 and 11 by Cell Counting Kit-8 (Dojindo Laboratories, Kumamoto, Japan) according to the manufacturer’s instructions.</w:t>
      </w:r>
    </w:p>
    <w:p w14:paraId="2401E039" w14:textId="77777777" w:rsidR="004E1206" w:rsidRPr="00F0615A" w:rsidRDefault="004E1206" w:rsidP="004E1206">
      <w:pPr>
        <w:adjustRightInd w:val="0"/>
        <w:spacing w:after="240" w:line="360" w:lineRule="auto"/>
        <w:rPr>
          <w:rFonts w:ascii="Arial" w:hAnsi="Arial" w:cs="Arial"/>
          <w:color w:val="000000" w:themeColor="text1"/>
        </w:rPr>
      </w:pPr>
      <w:r w:rsidRPr="00F0615A">
        <w:rPr>
          <w:rFonts w:ascii="Arial" w:hAnsi="Arial" w:cs="Arial"/>
          <w:b/>
          <w:bCs/>
          <w:iCs/>
          <w:color w:val="000000" w:themeColor="text1"/>
        </w:rPr>
        <w:t>Osteogenic differentiation.</w:t>
      </w:r>
      <w:r w:rsidRPr="00F0615A">
        <w:rPr>
          <w:rFonts w:ascii="Arial" w:hAnsi="Arial" w:cs="Arial"/>
          <w:bCs/>
          <w:iCs/>
          <w:color w:val="000000" w:themeColor="text1"/>
        </w:rPr>
        <w:t xml:space="preserve"> BM</w:t>
      </w:r>
      <w:r w:rsidRPr="00F0615A">
        <w:rPr>
          <w:rFonts w:ascii="Arial" w:hAnsi="Arial" w:cs="Arial"/>
          <w:color w:val="000000" w:themeColor="text1"/>
        </w:rPr>
        <w:t>MSCs were cultured under osteogenic conditions containing 2 mM β-glycerophosphate (Sigma-Aldrich), 100 μM L-ascorbic acid 2-phosphate (Wako), and 10 nM dexamethasone (Sigma-Aldrich) in the growth medium. After four weeks’ induction, staining was performed to detect mineralization with 1% Alizarin Red S (Sigma-Aldrich) at room temperature. The stained areas were quantified using NIH ImageJ software and shown as a percentage of the total area.</w:t>
      </w:r>
    </w:p>
    <w:p w14:paraId="341E8812" w14:textId="3B3282EE" w:rsidR="004E1206" w:rsidRPr="004E1206" w:rsidRDefault="004E1206" w:rsidP="000C38AE">
      <w:pPr>
        <w:adjustRightInd w:val="0"/>
        <w:spacing w:after="240" w:line="360" w:lineRule="auto"/>
        <w:rPr>
          <w:rFonts w:ascii="Arial" w:hAnsi="Arial" w:cs="Arial"/>
          <w:color w:val="000000" w:themeColor="text1"/>
        </w:rPr>
      </w:pPr>
      <w:r w:rsidRPr="00F0615A">
        <w:rPr>
          <w:rFonts w:ascii="Arial" w:hAnsi="Arial" w:cs="Arial"/>
          <w:b/>
          <w:bCs/>
          <w:iCs/>
          <w:color w:val="000000" w:themeColor="text1"/>
        </w:rPr>
        <w:t xml:space="preserve">Adipogenic </w:t>
      </w:r>
      <w:r w:rsidRPr="00F0615A">
        <w:rPr>
          <w:rFonts w:ascii="Arial" w:hAnsi="Arial" w:cs="Arial"/>
          <w:b/>
          <w:bCs/>
          <w:color w:val="000000" w:themeColor="text1"/>
        </w:rPr>
        <w:t xml:space="preserve">differentiation. </w:t>
      </w:r>
      <w:r w:rsidRPr="00F0615A">
        <w:rPr>
          <w:rFonts w:ascii="Arial" w:hAnsi="Arial" w:cs="Arial"/>
          <w:color w:val="000000" w:themeColor="text1"/>
        </w:rPr>
        <w:t xml:space="preserve">For adipogenic induction, 500 nM </w:t>
      </w:r>
      <w:hyperlink r:id="rId6" w:history="1">
        <w:r w:rsidRPr="0042762B">
          <w:rPr>
            <w:b/>
            <w:bCs/>
          </w:rPr>
          <w:t>isobutylmethylxanthine</w:t>
        </w:r>
      </w:hyperlink>
      <w:r w:rsidRPr="00F0615A">
        <w:rPr>
          <w:rFonts w:ascii="Arial" w:hAnsi="Arial" w:cs="Arial"/>
          <w:color w:val="000000" w:themeColor="text1"/>
        </w:rPr>
        <w:t xml:space="preserve"> (Sigma-Aldrich), 60 μM indomethacin (Sigma-Aldrich), 500 nM hydrocortisone (Sigma-Aldrich), 10 μg/ml insulin (Sigma-Aldrich), and 100 nM L-ascorbic acid phosphate were added into the growth medium. After 7 days, the cells were stained with Oil Red-O (Sigma-Aldrich), and positive cells were quantified under microscopy.</w:t>
      </w:r>
    </w:p>
    <w:p w14:paraId="1256E9E4" w14:textId="77777777" w:rsidR="004E1206" w:rsidRPr="00F0615A" w:rsidRDefault="004E1206" w:rsidP="004E1206">
      <w:pPr>
        <w:spacing w:after="240" w:line="360" w:lineRule="auto"/>
        <w:rPr>
          <w:rFonts w:ascii="Arial" w:hAnsi="Arial" w:cs="Arial"/>
          <w:color w:val="000000" w:themeColor="text1"/>
        </w:rPr>
      </w:pPr>
      <w:r w:rsidRPr="00F0615A">
        <w:rPr>
          <w:rFonts w:ascii="Arial" w:eastAsia="MS PGothic" w:hAnsi="Arial" w:cs="Arial"/>
          <w:b/>
          <w:color w:val="000000" w:themeColor="text1"/>
        </w:rPr>
        <w:t xml:space="preserve">Western </w:t>
      </w:r>
      <w:r w:rsidRPr="00F0615A">
        <w:rPr>
          <w:rFonts w:ascii="Arial" w:hAnsi="Arial" w:cs="Arial"/>
          <w:b/>
          <w:color w:val="000000" w:themeColor="text1"/>
        </w:rPr>
        <w:t>immuno</w:t>
      </w:r>
      <w:r w:rsidRPr="00F0615A">
        <w:rPr>
          <w:rFonts w:ascii="Arial" w:eastAsia="MS PGothic" w:hAnsi="Arial" w:cs="Arial"/>
          <w:b/>
          <w:color w:val="000000" w:themeColor="text1"/>
        </w:rPr>
        <w:t>blotting</w:t>
      </w:r>
      <w:r w:rsidRPr="00F0615A">
        <w:rPr>
          <w:rFonts w:ascii="Arial" w:hAnsi="Arial" w:cs="Arial"/>
          <w:b/>
          <w:color w:val="000000" w:themeColor="text1"/>
        </w:rPr>
        <w:t xml:space="preserve">. </w:t>
      </w:r>
      <w:r w:rsidRPr="00F0615A">
        <w:rPr>
          <w:rFonts w:ascii="Arial" w:hAnsi="Arial" w:cs="Arial"/>
          <w:color w:val="000000" w:themeColor="text1"/>
        </w:rPr>
        <w:t>Cells were lysed in M-PER mammalian protein extraction reagent (</w:t>
      </w:r>
      <w:r w:rsidRPr="00F0615A">
        <w:rPr>
          <w:rFonts w:ascii="Arial" w:eastAsia="MS PGothic" w:hAnsi="Arial" w:cs="Arial"/>
          <w:color w:val="000000" w:themeColor="text1"/>
        </w:rPr>
        <w:t>Thermo</w:t>
      </w:r>
      <w:r w:rsidRPr="00F0615A">
        <w:rPr>
          <w:rFonts w:ascii="Arial" w:hAnsi="Arial" w:cs="Arial"/>
          <w:color w:val="000000" w:themeColor="text1"/>
        </w:rPr>
        <w:t xml:space="preserve">) with protease and phosphatase inhibitors (Roche), and proteins were quantified using protein assays (Bio-Rad Laboratories). Proteins were separated by SDS-PAGE and transferred to a nitrocellulose membrane (Millipore). Membranes were blocked with 0.1% Tween 20 and 5% BSA for 1 h before overnight incubation with the primary antibody diluted in blocking solution. Antibodies to mouse LPL, PPARγ and OCN were purchased from Santa Cruz Biotechnology, Inc. Antibody to mouse Runx2 was purchased from Abcam. Antibody to mouse </w:t>
      </w:r>
      <w:r w:rsidRPr="00F0615A">
        <w:rPr>
          <w:rFonts w:ascii="Arial" w:eastAsia="宋体" w:hAnsi="Arial" w:cs="Arial"/>
          <w:color w:val="000000" w:themeColor="text1"/>
        </w:rPr>
        <w:t>β</w:t>
      </w:r>
      <w:r w:rsidRPr="00F0615A">
        <w:rPr>
          <w:rFonts w:ascii="Arial" w:hAnsi="Arial" w:cs="Arial"/>
          <w:color w:val="000000" w:themeColor="text1"/>
        </w:rPr>
        <w:t xml:space="preserve">-actin was purchased from Sigma-Aldrich. The membranes were incubated for 1 h in HRP-conjugated secondary antibody diluted at 1:10,000 in blocking solution. </w:t>
      </w:r>
    </w:p>
    <w:p w14:paraId="2B579104" w14:textId="77777777" w:rsidR="004E1206" w:rsidRPr="00F0615A" w:rsidRDefault="004E1206" w:rsidP="004E1206">
      <w:pPr>
        <w:spacing w:line="360" w:lineRule="auto"/>
        <w:outlineLvl w:val="0"/>
        <w:rPr>
          <w:rFonts w:ascii="Arial" w:hAnsi="Arial" w:cs="Arial"/>
          <w:b/>
          <w:color w:val="000000" w:themeColor="text1"/>
        </w:rPr>
      </w:pPr>
      <w:r w:rsidRPr="00F0615A">
        <w:rPr>
          <w:rFonts w:ascii="Arial" w:hAnsi="Arial" w:cs="Arial"/>
          <w:b/>
          <w:color w:val="000000" w:themeColor="text1"/>
        </w:rPr>
        <w:t xml:space="preserve">Allogenic MSC transplantation in </w:t>
      </w:r>
      <w:r>
        <w:rPr>
          <w:rFonts w:ascii="Arial" w:hAnsi="Arial" w:cs="Arial"/>
          <w:b/>
          <w:color w:val="000000" w:themeColor="text1"/>
        </w:rPr>
        <w:t>m</w:t>
      </w:r>
      <w:r w:rsidRPr="00F0615A">
        <w:rPr>
          <w:rFonts w:ascii="Arial" w:hAnsi="Arial" w:cs="Arial"/>
          <w:b/>
          <w:color w:val="000000" w:themeColor="text1"/>
        </w:rPr>
        <w:t xml:space="preserve">andibular </w:t>
      </w:r>
      <w:r>
        <w:rPr>
          <w:rFonts w:ascii="Arial" w:hAnsi="Arial" w:cs="Arial"/>
          <w:b/>
          <w:color w:val="000000" w:themeColor="text1"/>
        </w:rPr>
        <w:t>b</w:t>
      </w:r>
      <w:r w:rsidRPr="00F0615A">
        <w:rPr>
          <w:rFonts w:ascii="Arial" w:hAnsi="Arial" w:cs="Arial"/>
          <w:b/>
          <w:color w:val="000000" w:themeColor="text1"/>
        </w:rPr>
        <w:t xml:space="preserve">one defect </w:t>
      </w:r>
      <w:r>
        <w:rPr>
          <w:rFonts w:ascii="Arial" w:hAnsi="Arial" w:cs="Arial"/>
          <w:b/>
          <w:color w:val="000000" w:themeColor="text1"/>
        </w:rPr>
        <w:t>r</w:t>
      </w:r>
      <w:r w:rsidRPr="00F0615A">
        <w:rPr>
          <w:rFonts w:ascii="Arial" w:hAnsi="Arial" w:cs="Arial"/>
          <w:b/>
          <w:color w:val="000000" w:themeColor="text1"/>
        </w:rPr>
        <w:t>at.</w:t>
      </w:r>
    </w:p>
    <w:p w14:paraId="59632157" w14:textId="77777777" w:rsidR="004E1206" w:rsidRPr="00F0615A" w:rsidRDefault="004E1206" w:rsidP="004E1206">
      <w:pPr>
        <w:spacing w:after="240" w:line="360" w:lineRule="auto"/>
        <w:outlineLvl w:val="0"/>
        <w:rPr>
          <w:rFonts w:ascii="Arial" w:hAnsi="Arial" w:cs="Arial"/>
          <w:color w:val="000000" w:themeColor="text1"/>
        </w:rPr>
      </w:pPr>
      <w:r w:rsidRPr="00F0615A">
        <w:rPr>
          <w:rFonts w:ascii="Arial" w:hAnsi="Arial" w:cs="Arial"/>
          <w:color w:val="000000" w:themeColor="text1"/>
        </w:rPr>
        <w:t xml:space="preserve">To test the </w:t>
      </w:r>
      <w:r w:rsidRPr="009F56D8">
        <w:rPr>
          <w:rFonts w:ascii="Arial" w:hAnsi="Arial" w:cs="Arial"/>
          <w:i/>
          <w:color w:val="000000" w:themeColor="text1"/>
        </w:rPr>
        <w:t>in vivo</w:t>
      </w:r>
      <w:r w:rsidRPr="00F0615A">
        <w:rPr>
          <w:rFonts w:ascii="Arial" w:hAnsi="Arial" w:cs="Arial"/>
          <w:color w:val="000000" w:themeColor="text1"/>
        </w:rPr>
        <w:t xml:space="preserve"> bone regeneration capacity, we created 5-mm diameter full thickness bone defect in the 8 weeks old male rat. Two million BMMSCs </w:t>
      </w:r>
      <w:r>
        <w:rPr>
          <w:rFonts w:ascii="Arial" w:hAnsi="Arial" w:cs="Arial"/>
          <w:color w:val="000000" w:themeColor="text1"/>
        </w:rPr>
        <w:t>from</w:t>
      </w:r>
      <w:r w:rsidRPr="00F0615A">
        <w:rPr>
          <w:rFonts w:ascii="Arial" w:hAnsi="Arial" w:cs="Arial"/>
          <w:color w:val="000000" w:themeColor="text1"/>
        </w:rPr>
        <w:t xml:space="preserve"> three groups </w:t>
      </w:r>
      <w:r>
        <w:rPr>
          <w:rFonts w:ascii="Arial" w:hAnsi="Arial" w:cs="Arial"/>
          <w:color w:val="000000" w:themeColor="text1"/>
        </w:rPr>
        <w:t xml:space="preserve">(n=4) </w:t>
      </w:r>
      <w:r w:rsidRPr="00F0615A">
        <w:rPr>
          <w:rFonts w:ascii="Arial" w:hAnsi="Arial" w:cs="Arial"/>
          <w:color w:val="000000" w:themeColor="text1"/>
        </w:rPr>
        <w:t>were loaded on the gelatin sponge and implanted into the bone defect</w:t>
      </w:r>
      <w:r>
        <w:rPr>
          <w:rFonts w:ascii="Arial" w:hAnsi="Arial" w:cs="Arial"/>
          <w:color w:val="000000" w:themeColor="text1"/>
        </w:rPr>
        <w:t xml:space="preserve"> areas</w:t>
      </w:r>
      <w:r w:rsidRPr="00F0615A">
        <w:rPr>
          <w:rFonts w:ascii="Arial" w:hAnsi="Arial" w:cs="Arial"/>
          <w:color w:val="000000" w:themeColor="text1"/>
        </w:rPr>
        <w:t>. 8 weeks after the cell transplantation, the rat mandible</w:t>
      </w:r>
      <w:r>
        <w:rPr>
          <w:rFonts w:ascii="Arial" w:hAnsi="Arial" w:cs="Arial"/>
          <w:color w:val="000000" w:themeColor="text1"/>
        </w:rPr>
        <w:t>s</w:t>
      </w:r>
      <w:r w:rsidRPr="00F0615A">
        <w:rPr>
          <w:rFonts w:ascii="Arial" w:hAnsi="Arial" w:cs="Arial"/>
          <w:color w:val="000000" w:themeColor="text1"/>
        </w:rPr>
        <w:t xml:space="preserve"> </w:t>
      </w:r>
      <w:r w:rsidRPr="00F0615A">
        <w:rPr>
          <w:rFonts w:ascii="Arial" w:hAnsi="Arial" w:cs="Arial"/>
          <w:color w:val="000000" w:themeColor="text1"/>
        </w:rPr>
        <w:lastRenderedPageBreak/>
        <w:t xml:space="preserve">were harvested and </w:t>
      </w:r>
      <w:r>
        <w:rPr>
          <w:rFonts w:ascii="Arial" w:hAnsi="Arial" w:cs="Arial"/>
          <w:color w:val="000000" w:themeColor="text1"/>
        </w:rPr>
        <w:t>analyzed by micro</w:t>
      </w:r>
      <w:r w:rsidRPr="00F0615A">
        <w:rPr>
          <w:rFonts w:ascii="Arial" w:hAnsi="Arial" w:cs="Arial"/>
          <w:color w:val="000000" w:themeColor="text1"/>
        </w:rPr>
        <w:t xml:space="preserve">CT and hematoxylin and eosin staining. </w:t>
      </w:r>
    </w:p>
    <w:p w14:paraId="4B02ED1B" w14:textId="77777777" w:rsidR="004E1206" w:rsidRPr="00F0615A" w:rsidRDefault="004E1206" w:rsidP="004E1206">
      <w:pPr>
        <w:spacing w:line="360" w:lineRule="auto"/>
        <w:outlineLvl w:val="0"/>
        <w:rPr>
          <w:rFonts w:ascii="Arial" w:hAnsi="Arial" w:cs="Arial"/>
          <w:b/>
          <w:bCs/>
          <w:color w:val="000000" w:themeColor="text1"/>
        </w:rPr>
      </w:pPr>
      <w:r w:rsidRPr="00F0615A">
        <w:rPr>
          <w:rFonts w:ascii="Arial" w:hAnsi="Arial" w:cs="Arial"/>
          <w:b/>
          <w:color w:val="000000" w:themeColor="text1"/>
        </w:rPr>
        <w:t>M</w:t>
      </w:r>
      <w:r w:rsidRPr="00F0615A">
        <w:rPr>
          <w:rFonts w:ascii="Arial" w:hAnsi="Arial" w:cs="Arial"/>
          <w:b/>
          <w:bCs/>
          <w:color w:val="000000" w:themeColor="text1"/>
        </w:rPr>
        <w:t>icro-CT analysis.</w:t>
      </w:r>
    </w:p>
    <w:p w14:paraId="4A4F113B" w14:textId="77777777" w:rsidR="004E1206" w:rsidRPr="00F0615A" w:rsidRDefault="004E1206" w:rsidP="004E1206">
      <w:pPr>
        <w:spacing w:after="240" w:line="360" w:lineRule="auto"/>
        <w:outlineLvl w:val="0"/>
        <w:rPr>
          <w:rFonts w:ascii="Arial" w:hAnsi="Arial" w:cs="Arial"/>
          <w:color w:val="000000" w:themeColor="text1"/>
        </w:rPr>
      </w:pPr>
      <w:r w:rsidRPr="00F0615A">
        <w:rPr>
          <w:rFonts w:ascii="Arial" w:hAnsi="Arial" w:cs="Arial"/>
          <w:color w:val="000000" w:themeColor="text1"/>
        </w:rPr>
        <w:t>Rat mandible</w:t>
      </w:r>
      <w:r>
        <w:rPr>
          <w:rFonts w:ascii="Arial" w:hAnsi="Arial" w:cs="Arial"/>
          <w:color w:val="000000" w:themeColor="text1"/>
        </w:rPr>
        <w:t>s</w:t>
      </w:r>
      <w:r w:rsidRPr="00F0615A">
        <w:rPr>
          <w:rFonts w:ascii="Arial" w:hAnsi="Arial" w:cs="Arial"/>
          <w:color w:val="000000" w:themeColor="text1"/>
        </w:rPr>
        <w:t xml:space="preserve"> were harvested and fixed in 10% formalin for 24 hours a</w:t>
      </w:r>
      <w:r>
        <w:rPr>
          <w:rFonts w:ascii="Arial" w:hAnsi="Arial" w:cs="Arial"/>
          <w:color w:val="000000" w:themeColor="text1"/>
        </w:rPr>
        <w:t>nd then scanned with micro-CT (</w:t>
      </w:r>
      <w:r w:rsidRPr="00F0615A">
        <w:rPr>
          <w:rFonts w:ascii="Arial" w:hAnsi="Arial" w:cs="Arial"/>
          <w:color w:val="000000" w:themeColor="text1"/>
        </w:rPr>
        <w:t xml:space="preserve">Inveon, SIEMENS, German) at 60 kV, 220 uA, 500 ms exposure time, and 882 um effective pixel size. The images were analyzed with software Inveon Research </w:t>
      </w:r>
      <w:r>
        <w:rPr>
          <w:rFonts w:ascii="Arial" w:hAnsi="Arial" w:cs="Arial"/>
          <w:color w:val="000000" w:themeColor="text1"/>
        </w:rPr>
        <w:t>W</w:t>
      </w:r>
      <w:r w:rsidRPr="00F0615A">
        <w:rPr>
          <w:rFonts w:ascii="Arial" w:hAnsi="Arial" w:cs="Arial"/>
          <w:color w:val="000000" w:themeColor="text1"/>
        </w:rPr>
        <w:t>orkplace (Inveon MM, S</w:t>
      </w:r>
      <w:r>
        <w:rPr>
          <w:rFonts w:ascii="Arial" w:hAnsi="Arial" w:cs="Arial"/>
          <w:color w:val="000000" w:themeColor="text1"/>
        </w:rPr>
        <w:t>IEMENS, USA). The bone defect images</w:t>
      </w:r>
      <w:r w:rsidRPr="00F0615A">
        <w:rPr>
          <w:rFonts w:ascii="Arial" w:hAnsi="Arial" w:cs="Arial"/>
          <w:color w:val="000000" w:themeColor="text1"/>
        </w:rPr>
        <w:t xml:space="preserve"> were measured by image J (Version 1.48).</w:t>
      </w:r>
    </w:p>
    <w:p w14:paraId="5654D7E7" w14:textId="77777777" w:rsidR="004E1206" w:rsidRPr="00F0615A" w:rsidRDefault="004E1206" w:rsidP="004E1206">
      <w:pPr>
        <w:spacing w:line="360" w:lineRule="auto"/>
        <w:outlineLvl w:val="0"/>
        <w:rPr>
          <w:rFonts w:ascii="Arial" w:hAnsi="Arial" w:cs="Arial"/>
          <w:color w:val="000000" w:themeColor="text1"/>
        </w:rPr>
      </w:pPr>
      <w:r w:rsidRPr="00F0615A">
        <w:rPr>
          <w:rFonts w:ascii="Arial" w:hAnsi="Arial" w:cs="Arial"/>
          <w:b/>
          <w:color w:val="000000" w:themeColor="text1"/>
        </w:rPr>
        <w:t>Histology.</w:t>
      </w:r>
      <w:r w:rsidRPr="00F0615A">
        <w:rPr>
          <w:rFonts w:ascii="Arial" w:hAnsi="Arial" w:cs="Arial"/>
          <w:color w:val="000000" w:themeColor="text1"/>
        </w:rPr>
        <w:t xml:space="preserve"> </w:t>
      </w:r>
    </w:p>
    <w:p w14:paraId="0FEBA019" w14:textId="08E8A5DF" w:rsidR="004E1206" w:rsidRPr="00F0615A" w:rsidRDefault="004E1206" w:rsidP="004E1206">
      <w:pPr>
        <w:spacing w:after="240" w:line="360" w:lineRule="auto"/>
        <w:outlineLvl w:val="0"/>
        <w:rPr>
          <w:rFonts w:ascii="Arial" w:hAnsi="Arial" w:cs="Arial"/>
          <w:color w:val="000000" w:themeColor="text1"/>
        </w:rPr>
      </w:pPr>
      <w:r w:rsidRPr="00F0615A">
        <w:rPr>
          <w:rFonts w:ascii="Arial" w:hAnsi="Arial" w:cs="Arial"/>
          <w:color w:val="000000" w:themeColor="text1"/>
        </w:rPr>
        <w:t>Rat mandible</w:t>
      </w:r>
      <w:r>
        <w:rPr>
          <w:rFonts w:ascii="Arial" w:hAnsi="Arial" w:cs="Arial"/>
          <w:color w:val="000000" w:themeColor="text1"/>
        </w:rPr>
        <w:t>s</w:t>
      </w:r>
      <w:r w:rsidRPr="00F0615A">
        <w:rPr>
          <w:rFonts w:ascii="Arial" w:hAnsi="Arial" w:cs="Arial"/>
          <w:color w:val="000000" w:themeColor="text1"/>
        </w:rPr>
        <w:t xml:space="preserve"> were decalcified by 20% EDTA and then stained with H&amp;E</w:t>
      </w:r>
      <w:r>
        <w:rPr>
          <w:rFonts w:ascii="Arial" w:hAnsi="Arial" w:cs="Arial"/>
          <w:color w:val="000000" w:themeColor="text1"/>
        </w:rPr>
        <w:t xml:space="preserve"> staining</w:t>
      </w:r>
      <w:r w:rsidRPr="00F0615A">
        <w:rPr>
          <w:rFonts w:ascii="Arial" w:hAnsi="Arial" w:cs="Arial"/>
          <w:color w:val="000000" w:themeColor="text1"/>
        </w:rPr>
        <w:t>. The colon</w:t>
      </w:r>
      <w:r>
        <w:rPr>
          <w:rFonts w:ascii="Arial" w:hAnsi="Arial" w:cs="Arial"/>
          <w:color w:val="000000" w:themeColor="text1"/>
        </w:rPr>
        <w:t>s of DSS-</w:t>
      </w:r>
      <w:r w:rsidRPr="00F0615A">
        <w:rPr>
          <w:rFonts w:ascii="Arial" w:hAnsi="Arial" w:cs="Arial"/>
          <w:color w:val="000000" w:themeColor="text1"/>
        </w:rPr>
        <w:t>induced col</w:t>
      </w:r>
      <w:r>
        <w:rPr>
          <w:rFonts w:ascii="Arial" w:hAnsi="Arial" w:cs="Arial"/>
          <w:color w:val="000000" w:themeColor="text1"/>
        </w:rPr>
        <w:t>itis mice were harvested, fixed in 10% formalin</w:t>
      </w:r>
      <w:r w:rsidRPr="00F0615A">
        <w:rPr>
          <w:rFonts w:ascii="Arial" w:hAnsi="Arial" w:cs="Arial"/>
          <w:color w:val="000000" w:themeColor="text1"/>
        </w:rPr>
        <w:t xml:space="preserve"> overnight</w:t>
      </w:r>
      <w:r>
        <w:rPr>
          <w:rFonts w:ascii="Arial" w:hAnsi="Arial" w:cs="Arial"/>
          <w:color w:val="000000" w:themeColor="text1"/>
        </w:rPr>
        <w:t>,</w:t>
      </w:r>
      <w:r w:rsidRPr="00F0615A">
        <w:rPr>
          <w:rFonts w:ascii="Arial" w:hAnsi="Arial" w:cs="Arial"/>
          <w:color w:val="000000" w:themeColor="text1"/>
        </w:rPr>
        <w:t xml:space="preserve"> and then paraffin embed for H&amp;E staining. The colitis inflammation and DAI were analyzed as previous study</w:t>
      </w:r>
      <w:r w:rsidR="001A5E92" w:rsidRPr="003660A2">
        <w:rPr>
          <w:rFonts w:ascii="Arial" w:hAnsi="Arial" w:cs="Arial"/>
          <w:color w:val="000000" w:themeColor="text1"/>
          <w:highlight w:val="yellow"/>
        </w:rPr>
        <w:fldChar w:fldCharType="begin">
          <w:fldData xml:space="preserve">PEVuZE5vdGU+PENpdGU+PEF1dGhvcj5BbGV4PC9BdXRob3I+PFllYXI+MjAwOTwvWWVhcj48UmVj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</w:fldData>
        </w:fldChar>
      </w:r>
      <w:r w:rsidR="001A5E92" w:rsidRPr="003660A2">
        <w:rPr>
          <w:rFonts w:ascii="Arial" w:hAnsi="Arial" w:cs="Arial"/>
          <w:color w:val="000000" w:themeColor="text1"/>
          <w:highlight w:val="yellow"/>
        </w:rPr>
        <w:instrText xml:space="preserve"> ADDIN EN.CITE </w:instrText>
      </w:r>
      <w:r w:rsidR="001A5E92" w:rsidRPr="003660A2">
        <w:rPr>
          <w:rFonts w:ascii="Arial" w:hAnsi="Arial" w:cs="Arial"/>
          <w:color w:val="000000" w:themeColor="text1"/>
          <w:highlight w:val="yellow"/>
        </w:rPr>
        <w:fldChar w:fldCharType="begin">
          <w:fldData xml:space="preserve">PEVuZE5vdGU+PENpdGU+PEF1dGhvcj5BbGV4PC9BdXRob3I+PFllYXI+MjAwOTwvWWVhcj48UmVj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</w:fldData>
        </w:fldChar>
      </w:r>
      <w:r w:rsidR="001A5E92" w:rsidRPr="003660A2">
        <w:rPr>
          <w:rFonts w:ascii="Arial" w:hAnsi="Arial" w:cs="Arial"/>
          <w:color w:val="000000" w:themeColor="text1"/>
          <w:highlight w:val="yellow"/>
        </w:rPr>
        <w:instrText xml:space="preserve"> ADDIN EN.CITE.DATA </w:instrText>
      </w:r>
      <w:r w:rsidR="001A5E92" w:rsidRPr="003660A2">
        <w:rPr>
          <w:rFonts w:ascii="Arial" w:hAnsi="Arial" w:cs="Arial"/>
          <w:color w:val="000000" w:themeColor="text1"/>
          <w:highlight w:val="yellow"/>
        </w:rPr>
      </w:r>
      <w:r w:rsidR="001A5E92" w:rsidRPr="003660A2">
        <w:rPr>
          <w:rFonts w:ascii="Arial" w:hAnsi="Arial" w:cs="Arial"/>
          <w:color w:val="000000" w:themeColor="text1"/>
          <w:highlight w:val="yellow"/>
        </w:rPr>
        <w:fldChar w:fldCharType="end"/>
      </w:r>
      <w:r w:rsidR="001A5E92" w:rsidRPr="003660A2">
        <w:rPr>
          <w:rFonts w:ascii="Arial" w:hAnsi="Arial" w:cs="Arial"/>
          <w:color w:val="000000" w:themeColor="text1"/>
          <w:highlight w:val="yellow"/>
        </w:rPr>
      </w:r>
      <w:r w:rsidR="001A5E92" w:rsidRPr="003660A2">
        <w:rPr>
          <w:rFonts w:ascii="Arial" w:hAnsi="Arial" w:cs="Arial"/>
          <w:color w:val="000000" w:themeColor="text1"/>
          <w:highlight w:val="yellow"/>
        </w:rPr>
        <w:fldChar w:fldCharType="separate"/>
      </w:r>
      <w:r w:rsidR="001A5E92" w:rsidRPr="003660A2">
        <w:rPr>
          <w:rFonts w:ascii="Arial" w:hAnsi="Arial" w:cs="Arial"/>
          <w:noProof/>
          <w:color w:val="000000" w:themeColor="text1"/>
          <w:highlight w:val="yellow"/>
        </w:rPr>
        <w:t>[21]</w:t>
      </w:r>
      <w:r w:rsidR="001A5E92" w:rsidRPr="003660A2">
        <w:rPr>
          <w:rFonts w:ascii="Arial" w:hAnsi="Arial" w:cs="Arial"/>
          <w:color w:val="000000" w:themeColor="text1"/>
          <w:highlight w:val="yellow"/>
        </w:rPr>
        <w:fldChar w:fldCharType="end"/>
      </w:r>
      <w:r w:rsidRPr="00F0615A">
        <w:rPr>
          <w:rFonts w:ascii="Arial" w:hAnsi="Arial" w:cs="Arial"/>
          <w:color w:val="000000" w:themeColor="text1"/>
        </w:rPr>
        <w:t>.</w:t>
      </w:r>
    </w:p>
    <w:p w14:paraId="5D699720" w14:textId="77777777" w:rsidR="004E1206" w:rsidRPr="00F0615A" w:rsidRDefault="004E1206" w:rsidP="004E1206">
      <w:pPr>
        <w:autoSpaceDE w:val="0"/>
        <w:autoSpaceDN w:val="0"/>
        <w:adjustRightInd w:val="0"/>
        <w:spacing w:after="240" w:line="360" w:lineRule="auto"/>
        <w:rPr>
          <w:rFonts w:ascii="Arial" w:hAnsi="Arial" w:cs="Arial"/>
          <w:color w:val="000000" w:themeColor="text1"/>
        </w:rPr>
      </w:pPr>
      <w:r w:rsidRPr="00F0615A">
        <w:rPr>
          <w:rFonts w:ascii="Arial" w:hAnsi="Arial" w:cs="Arial"/>
          <w:b/>
          <w:color w:val="000000" w:themeColor="text1"/>
        </w:rPr>
        <w:t>Coculture of T cells with BMMSCs.</w:t>
      </w:r>
      <w:r w:rsidRPr="00F0615A">
        <w:rPr>
          <w:rFonts w:ascii="Arial" w:hAnsi="Arial" w:cs="Arial"/>
          <w:color w:val="000000" w:themeColor="text1"/>
        </w:rPr>
        <w:t xml:space="preserve"> BMMSCs (0.2 x 10</w:t>
      </w:r>
      <w:r w:rsidRPr="00F0615A">
        <w:rPr>
          <w:rFonts w:ascii="Arial" w:hAnsi="Arial" w:cs="Arial"/>
          <w:color w:val="000000" w:themeColor="text1"/>
          <w:vertAlign w:val="superscript"/>
        </w:rPr>
        <w:t>6</w:t>
      </w:r>
      <w:r w:rsidRPr="00F0615A">
        <w:rPr>
          <w:rFonts w:ascii="Arial" w:hAnsi="Arial" w:cs="Arial"/>
          <w:color w:val="000000" w:themeColor="text1"/>
        </w:rPr>
        <w:t>) were seeded on a 24-well culture plate (Corning) and incubated for 24 hr. The pre-activated pan T cells (1x10</w:t>
      </w:r>
      <w:r w:rsidRPr="00F0615A">
        <w:rPr>
          <w:rFonts w:ascii="Arial" w:hAnsi="Arial" w:cs="Arial"/>
          <w:color w:val="000000" w:themeColor="text1"/>
          <w:vertAlign w:val="superscript"/>
        </w:rPr>
        <w:t>6</w:t>
      </w:r>
      <w:r w:rsidRPr="00F0615A">
        <w:rPr>
          <w:rFonts w:ascii="Arial" w:hAnsi="Arial" w:cs="Arial"/>
          <w:color w:val="000000" w:themeColor="text1"/>
        </w:rPr>
        <w:t>) were directly loaded onto BMMSCs and cocultured for 2 days. The apoptotic T cells were detected by staining with CD3 antibody, followed by detection</w:t>
      </w:r>
      <w:r>
        <w:rPr>
          <w:rFonts w:ascii="Arial" w:hAnsi="Arial" w:cs="Arial"/>
          <w:color w:val="000000" w:themeColor="text1"/>
        </w:rPr>
        <w:t xml:space="preserve"> apoptosis</w:t>
      </w:r>
      <w:r w:rsidRPr="00F0615A">
        <w:rPr>
          <w:rFonts w:ascii="Arial" w:hAnsi="Arial" w:cs="Arial"/>
          <w:color w:val="000000" w:themeColor="text1"/>
        </w:rPr>
        <w:t xml:space="preserve"> </w:t>
      </w:r>
      <w:r>
        <w:rPr>
          <w:rFonts w:ascii="Arial" w:hAnsi="Arial" w:cs="Arial"/>
          <w:color w:val="000000" w:themeColor="text1"/>
        </w:rPr>
        <w:t xml:space="preserve">by </w:t>
      </w:r>
      <w:r w:rsidRPr="00F0615A">
        <w:rPr>
          <w:rFonts w:ascii="Arial" w:hAnsi="Arial" w:cs="Arial"/>
          <w:color w:val="000000" w:themeColor="text1"/>
        </w:rPr>
        <w:t>using an Annexin-V Apoptosis Detection Kit I (BD PharMingen).</w:t>
      </w:r>
    </w:p>
    <w:p w14:paraId="36D7A1BC" w14:textId="77777777" w:rsidR="004E1206" w:rsidRPr="00067634" w:rsidRDefault="004E1206" w:rsidP="004E1206">
      <w:pPr>
        <w:autoSpaceDE w:val="0"/>
        <w:autoSpaceDN w:val="0"/>
        <w:adjustRightInd w:val="0"/>
        <w:spacing w:after="240" w:line="360" w:lineRule="auto"/>
        <w:rPr>
          <w:rFonts w:ascii="Arial" w:hAnsi="Arial" w:cs="Arial"/>
          <w:color w:val="000000" w:themeColor="text1"/>
        </w:rPr>
      </w:pPr>
      <w:r w:rsidRPr="00F0615A">
        <w:rPr>
          <w:rFonts w:ascii="Arial" w:hAnsi="Arial" w:cs="Arial"/>
          <w:b/>
          <w:color w:val="000000" w:themeColor="text1"/>
        </w:rPr>
        <w:t>Cytokine array analysis.</w:t>
      </w:r>
      <w:r w:rsidRPr="00F0615A">
        <w:rPr>
          <w:rFonts w:ascii="Arial" w:hAnsi="Arial" w:cs="Arial"/>
          <w:color w:val="000000" w:themeColor="text1"/>
        </w:rPr>
        <w:t xml:space="preserve"> Culture supernatants from BMMSCs were analyzed using a Mouse Cytokine Array Panel A Array Kit (R&amp;D Systems) according to </w:t>
      </w:r>
      <w:r w:rsidRPr="00F0615A">
        <w:rPr>
          <w:rFonts w:ascii="Arial" w:hAnsi="Arial" w:cs="Arial"/>
          <w:color w:val="000000" w:themeColor="text1"/>
        </w:rPr>
        <w:lastRenderedPageBreak/>
        <w:t>the manufacturer’s instructions. The results were scanned and analyzed using Image J software to calculate blot intensity.</w:t>
      </w:r>
    </w:p>
    <w:p w14:paraId="09646D7C" w14:textId="2637B55A" w:rsidR="004E1206" w:rsidRPr="00F0615A" w:rsidRDefault="004E1206" w:rsidP="004E1206">
      <w:pPr>
        <w:autoSpaceDE w:val="0"/>
        <w:autoSpaceDN w:val="0"/>
        <w:adjustRightInd w:val="0"/>
        <w:spacing w:after="240" w:line="360" w:lineRule="auto"/>
        <w:rPr>
          <w:rFonts w:ascii="Arial" w:hAnsi="Arial" w:cs="Arial"/>
          <w:color w:val="000000" w:themeColor="text1"/>
        </w:rPr>
      </w:pPr>
      <w:r w:rsidRPr="00F0615A">
        <w:rPr>
          <w:rFonts w:ascii="Arial" w:hAnsi="Arial" w:cs="Arial"/>
          <w:b/>
          <w:color w:val="000000" w:themeColor="text1"/>
        </w:rPr>
        <w:t xml:space="preserve">Allogenic MSC transplantation into acute colitis mice. </w:t>
      </w:r>
      <w:r w:rsidRPr="00F0615A">
        <w:rPr>
          <w:rFonts w:ascii="Arial" w:hAnsi="Arial" w:cs="Arial"/>
          <w:color w:val="000000" w:themeColor="text1"/>
        </w:rPr>
        <w:t>Acute colitis was induced by administering 3% (w/v) DSS (molecular mass: 36,000–50,000 Da; MP Biochemicals) through drinking water for 9 days. Passage one GF, SPF and ConvD BMMSCs were intravenously infused (1.0x10</w:t>
      </w:r>
      <w:r w:rsidRPr="00F0615A">
        <w:rPr>
          <w:rFonts w:ascii="Arial" w:hAnsi="Arial" w:cs="Arial"/>
          <w:color w:val="000000" w:themeColor="text1"/>
          <w:vertAlign w:val="superscript"/>
        </w:rPr>
        <w:t>6</w:t>
      </w:r>
      <w:r w:rsidRPr="00F0615A">
        <w:rPr>
          <w:rFonts w:ascii="Arial" w:hAnsi="Arial" w:cs="Arial"/>
          <w:color w:val="000000" w:themeColor="text1"/>
        </w:rPr>
        <w:t xml:space="preserve"> cells) into the colitis mice (n = 6) at 3 days post-DSS induction. In the control group, mice received PBS (n = 6)</w:t>
      </w:r>
      <w:r>
        <w:rPr>
          <w:rFonts w:ascii="Arial" w:hAnsi="Arial" w:cs="Arial"/>
          <w:color w:val="000000" w:themeColor="text1"/>
        </w:rPr>
        <w:t xml:space="preserve"> infusion</w:t>
      </w:r>
      <w:r w:rsidRPr="00F0615A">
        <w:rPr>
          <w:rFonts w:ascii="Arial" w:hAnsi="Arial" w:cs="Arial"/>
          <w:color w:val="000000" w:themeColor="text1"/>
        </w:rPr>
        <w:t>. All mice were harvested at 9 days post-DSS induction for further analysis. Induced colitis was e</w:t>
      </w:r>
      <w:r>
        <w:rPr>
          <w:rFonts w:ascii="Arial" w:hAnsi="Arial" w:cs="Arial"/>
          <w:color w:val="000000" w:themeColor="text1"/>
        </w:rPr>
        <w:t>valuated as previously description</w:t>
      </w:r>
      <w:r w:rsidRPr="00F0615A">
        <w:rPr>
          <w:rFonts w:ascii="Arial" w:hAnsi="Arial" w:cs="Arial"/>
          <w:color w:val="000000" w:themeColor="text1"/>
        </w:rPr>
        <w:t>.</w:t>
      </w:r>
    </w:p>
    <w:p w14:paraId="34F34831" w14:textId="77777777" w:rsidR="004E1206" w:rsidRPr="007941A0" w:rsidRDefault="004E1206">
      <w:pPr>
        <w:rPr>
          <w:b/>
        </w:rPr>
      </w:pPr>
    </w:p>
    <w:p w14:paraId="1916AA36" w14:textId="77777777" w:rsidR="002E46B2" w:rsidRDefault="0060176A" w:rsidP="002E46B2">
      <w:pPr>
        <w:spacing w:after="240" w:line="360" w:lineRule="auto"/>
        <w:outlineLvl w:val="0"/>
        <w:rPr>
          <w:rFonts w:ascii="Arial" w:hAnsi="Arial" w:cs="Arial"/>
          <w:color w:val="000000" w:themeColor="text1"/>
        </w:rPr>
      </w:pPr>
      <w:r>
        <w:rPr>
          <w:rFonts w:ascii="Arial" w:hAnsi="Arial" w:cs="Arial"/>
          <w:b/>
          <w:color w:val="000000" w:themeColor="text1"/>
        </w:rPr>
        <w:t xml:space="preserve">Single cell sequencing </w:t>
      </w:r>
      <w:r w:rsidR="00732FBD">
        <w:rPr>
          <w:rFonts w:ascii="Arial" w:hAnsi="Arial" w:cs="Arial"/>
          <w:b/>
          <w:color w:val="000000" w:themeColor="text1"/>
        </w:rPr>
        <w:t xml:space="preserve">and </w:t>
      </w:r>
      <w:r w:rsidR="00732FBD">
        <w:rPr>
          <w:rFonts w:ascii="Arial" w:hAnsi="Arial" w:cs="Arial" w:hint="eastAsia"/>
          <w:b/>
          <w:color w:val="000000" w:themeColor="text1"/>
        </w:rPr>
        <w:t>data a</w:t>
      </w:r>
      <w:r w:rsidR="001E119A" w:rsidRPr="00F0615A">
        <w:rPr>
          <w:rFonts w:ascii="Arial" w:hAnsi="Arial" w:cs="Arial" w:hint="eastAsia"/>
          <w:b/>
          <w:color w:val="000000" w:themeColor="text1"/>
        </w:rPr>
        <w:t>nalysis</w:t>
      </w:r>
      <w:r w:rsidR="001E119A">
        <w:rPr>
          <w:rFonts w:ascii="Arial" w:hAnsi="Arial" w:cs="Arial"/>
          <w:b/>
          <w:color w:val="000000" w:themeColor="text1"/>
        </w:rPr>
        <w:t xml:space="preserve">. </w:t>
      </w:r>
      <w:r w:rsidR="00732FBD" w:rsidRPr="00F0615A">
        <w:rPr>
          <w:rFonts w:ascii="Arial" w:eastAsia="Adobe 楷体 Std R" w:hAnsi="Arial" w:cs="Arial" w:hint="eastAsia"/>
          <w:color w:val="000000" w:themeColor="text1"/>
        </w:rPr>
        <w:t>The single cells were captured by using C1 system (Fluidigm). T</w:t>
      </w:r>
      <w:r w:rsidR="00732FBD" w:rsidRPr="00F0615A">
        <w:rPr>
          <w:rFonts w:ascii="Arial" w:eastAsia="Adobe 楷体 Std R" w:hAnsi="Arial" w:cs="Arial"/>
          <w:color w:val="000000" w:themeColor="text1"/>
        </w:rPr>
        <w:t>h</w:t>
      </w:r>
      <w:r w:rsidR="00732FBD" w:rsidRPr="00F0615A">
        <w:rPr>
          <w:rFonts w:ascii="Arial" w:eastAsia="Adobe 楷体 Std R" w:hAnsi="Arial" w:cs="Arial" w:hint="eastAsia"/>
          <w:color w:val="000000" w:themeColor="text1"/>
        </w:rPr>
        <w:t xml:space="preserve">e cell size distribution was predetermined by a Countstar instrument (ALIT instruments, China) to determine the optimal IFC for the microfluidic RNA-seq chip. </w:t>
      </w:r>
      <w:r w:rsidR="00732FBD" w:rsidRPr="00F0615A">
        <w:rPr>
          <w:rFonts w:ascii="Arial" w:eastAsia="Adobe 楷体 Std R" w:hAnsi="Arial" w:cs="Arial"/>
          <w:color w:val="000000" w:themeColor="text1"/>
        </w:rPr>
        <w:t>The cells were loaded onto the chip at</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 xml:space="preserve">a concentration of 300–500 cells/mL and imaged </w:t>
      </w:r>
      <w:r w:rsidR="00732FBD" w:rsidRPr="008019A2">
        <w:rPr>
          <w:rFonts w:ascii="Arial" w:eastAsia="Adobe 楷体 Std R" w:hAnsi="Arial" w:cs="Arial"/>
          <w:i/>
          <w:color w:val="000000" w:themeColor="text1"/>
        </w:rPr>
        <w:t>via</w:t>
      </w:r>
      <w:r w:rsidR="00732FBD" w:rsidRPr="00F0615A">
        <w:rPr>
          <w:rFonts w:ascii="Arial" w:eastAsia="Adobe 楷体 Std R" w:hAnsi="Arial" w:cs="Arial"/>
          <w:color w:val="000000" w:themeColor="text1"/>
        </w:rPr>
        <w:t xml:space="preserve"> phase-contrast and fluorescence</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m</w:t>
      </w:r>
      <w:r w:rsidR="00732FBD">
        <w:rPr>
          <w:rFonts w:ascii="Arial" w:eastAsia="Adobe 楷体 Std R" w:hAnsi="Arial" w:cs="Arial"/>
          <w:color w:val="000000" w:themeColor="text1"/>
        </w:rPr>
        <w:t>icroscopies</w:t>
      </w:r>
      <w:r w:rsidR="00732FBD" w:rsidRPr="00F0615A">
        <w:rPr>
          <w:rFonts w:ascii="Arial" w:eastAsia="Adobe 楷体 Std R" w:hAnsi="Arial" w:cs="Arial"/>
          <w:color w:val="000000" w:themeColor="text1"/>
        </w:rPr>
        <w:t xml:space="preserve"> to assess the number and viability of cells per capture site after the capture</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process was complete. Only single, live cells were included in the analysis.</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cDNA was</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prepared on the same chip using a SMARTer Ultra Low RNA kit for Illumina (Clontech)</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after capture and imaging, according to the manufacturer’s protocol. ERCC RNA spike-in</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 xml:space="preserve">Mix (Life Technologies) was added to the selected lysis reaction and processed in </w:t>
      </w:r>
      <w:r w:rsidR="00732FBD" w:rsidRPr="00F0615A">
        <w:rPr>
          <w:rFonts w:ascii="Arial" w:eastAsia="Adobe 楷体 Std R" w:hAnsi="Arial" w:cs="Arial"/>
          <w:color w:val="000000" w:themeColor="text1"/>
        </w:rPr>
        <w:lastRenderedPageBreak/>
        <w:t>parallel</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with RNA from selected single-cell lysates.</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The cDNA libraries were</w:t>
      </w:r>
      <w:r w:rsidR="00732FBD">
        <w:rPr>
          <w:rFonts w:ascii="Arial" w:eastAsia="Adobe 楷体 Std R" w:hAnsi="Arial" w:cs="Arial"/>
          <w:color w:val="000000" w:themeColor="text1"/>
        </w:rPr>
        <w:t xml:space="preserve"> </w:t>
      </w:r>
      <w:r w:rsidR="00732FBD" w:rsidRPr="00F0615A">
        <w:rPr>
          <w:rFonts w:ascii="Arial" w:eastAsia="Adobe 楷体 Std R" w:hAnsi="Arial" w:cs="Arial"/>
          <w:color w:val="000000" w:themeColor="text1"/>
        </w:rPr>
        <w:t>constructed in 96-well plates using an Illumina Nextera XT DNA Sample Preparation kit</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according to the protocol. Libraries were quantified using an Agilent Bioanalyzer with a highsensitivity</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DNA chip. Pooled libraries of 125 base pairs (bp) were paired-end sequenced</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using an Illumina HiSeq 2500 instrument to a depth of approximately 0.6–5 million reads per</w:t>
      </w:r>
      <w:r w:rsidR="00732FBD" w:rsidRPr="00F0615A">
        <w:rPr>
          <w:rFonts w:ascii="Arial" w:eastAsia="Adobe 楷体 Std R" w:hAnsi="Arial" w:cs="Arial" w:hint="eastAsia"/>
          <w:color w:val="000000" w:themeColor="text1"/>
        </w:rPr>
        <w:t xml:space="preserve"> </w:t>
      </w:r>
      <w:r w:rsidR="00732FBD" w:rsidRPr="00F0615A">
        <w:rPr>
          <w:rFonts w:ascii="Arial" w:eastAsia="Adobe 楷体 Std R" w:hAnsi="Arial" w:cs="Arial"/>
          <w:color w:val="000000" w:themeColor="text1"/>
        </w:rPr>
        <w:t>single cell sample</w:t>
      </w:r>
      <w:r w:rsidR="00732FBD">
        <w:rPr>
          <w:rFonts w:ascii="Arial" w:eastAsia="Adobe 楷体 Std R" w:hAnsi="Arial" w:cs="Arial"/>
          <w:color w:val="000000" w:themeColor="text1"/>
        </w:rPr>
        <w:t xml:space="preserve"> the detailed data analysis was described in the supplemental method</w:t>
      </w:r>
      <w:r w:rsidR="00732FBD" w:rsidRPr="00F0615A">
        <w:rPr>
          <w:rFonts w:ascii="Arial" w:eastAsia="Adobe 楷体 Std R" w:hAnsi="Arial" w:cs="Arial"/>
          <w:color w:val="000000" w:themeColor="text1"/>
        </w:rPr>
        <w:t>.</w:t>
      </w:r>
      <w:r w:rsidR="00732FBD">
        <w:rPr>
          <w:rFonts w:ascii="Arial" w:eastAsia="Adobe 楷体 Std R" w:hAnsi="Arial" w:cs="Arial"/>
          <w:color w:val="000000" w:themeColor="text1"/>
        </w:rPr>
        <w:t xml:space="preserve"> </w:t>
      </w:r>
      <w:r w:rsidR="002E46B2" w:rsidRPr="00F0615A">
        <w:rPr>
          <w:rFonts w:ascii="Arial" w:eastAsia="Adobe 楷体 Std R" w:hAnsi="Arial" w:cs="Arial"/>
          <w:color w:val="000000" w:themeColor="text1"/>
        </w:rPr>
        <w:t>Raw reads were processed using the quality control tools FASTQC and the fastx-toolkit,</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followed by the sequence alignment programs TopHat and SAMtools with mouse genome</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 xml:space="preserve">mm10 </w:t>
      </w:r>
      <w:r w:rsidR="002E46B2">
        <w:rPr>
          <w:rFonts w:ascii="Arial" w:eastAsia="Adobe 楷体 Std R" w:hAnsi="Arial" w:cs="Arial"/>
          <w:color w:val="000000" w:themeColor="text1"/>
        </w:rPr>
        <w:t>by</w:t>
      </w:r>
      <w:r w:rsidR="002E46B2" w:rsidRPr="00F0615A">
        <w:rPr>
          <w:rFonts w:ascii="Arial" w:eastAsia="Adobe 楷体 Std R" w:hAnsi="Arial" w:cs="Arial"/>
          <w:color w:val="000000" w:themeColor="text1"/>
        </w:rPr>
        <w:t xml:space="preserve"> the default settings. The gene expression levels were quantified as reads per</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kilobase per million mapped reads (RPKM) aligned using TopHat. Genes with an RPKM</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value less than 1 were considered not expressed. Cells that did not express the</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 xml:space="preserve">housekeeping genes </w:t>
      </w:r>
      <w:r w:rsidR="002E46B2" w:rsidRPr="00912C09">
        <w:rPr>
          <w:rFonts w:ascii="Arial" w:eastAsia="Adobe 楷体 Std R" w:hAnsi="Arial" w:cs="Arial"/>
          <w:i/>
          <w:color w:val="000000" w:themeColor="text1"/>
        </w:rPr>
        <w:t>Actb</w:t>
      </w:r>
      <w:r w:rsidR="002E46B2" w:rsidRPr="00F0615A">
        <w:rPr>
          <w:rFonts w:ascii="Arial" w:eastAsia="Adobe 楷体 Std R" w:hAnsi="Arial" w:cs="Arial"/>
          <w:color w:val="000000" w:themeColor="text1"/>
        </w:rPr>
        <w:t xml:space="preserve"> (encoding β-actin) and </w:t>
      </w:r>
      <w:r w:rsidR="002E46B2" w:rsidRPr="00912C09">
        <w:rPr>
          <w:rFonts w:ascii="Arial" w:eastAsia="Adobe 楷体 Std R" w:hAnsi="Arial" w:cs="Arial"/>
          <w:i/>
          <w:color w:val="000000" w:themeColor="text1"/>
        </w:rPr>
        <w:t>Gapdh</w:t>
      </w:r>
      <w:r w:rsidR="002E46B2" w:rsidRPr="00F0615A">
        <w:rPr>
          <w:rFonts w:ascii="Arial" w:eastAsia="Adobe 楷体 Std R" w:hAnsi="Arial" w:cs="Arial"/>
          <w:color w:val="000000" w:themeColor="text1"/>
        </w:rPr>
        <w:t xml:space="preserve"> (encoding glyceraldehyde-3-phosphate dehydrogenase) were considered unhealthy and were not considered in the</w:t>
      </w:r>
      <w:r w:rsidR="002E46B2" w:rsidRPr="00F0615A">
        <w:rPr>
          <w:rFonts w:ascii="Arial" w:eastAsia="Adobe 楷体 Std R" w:hAnsi="Arial" w:cs="Arial" w:hint="eastAsia"/>
          <w:color w:val="000000" w:themeColor="text1"/>
        </w:rPr>
        <w:t xml:space="preserve"> </w:t>
      </w:r>
      <w:r w:rsidR="002E46B2" w:rsidRPr="00F0615A">
        <w:rPr>
          <w:rFonts w:ascii="Arial" w:eastAsia="Adobe 楷体 Std R" w:hAnsi="Arial" w:cs="Arial"/>
          <w:color w:val="000000" w:themeColor="text1"/>
        </w:rPr>
        <w:t>analysis.</w:t>
      </w:r>
      <w:r w:rsidR="002E46B2">
        <w:rPr>
          <w:rFonts w:ascii="Arial" w:hAnsi="Arial" w:cs="Arial"/>
          <w:b/>
          <w:color w:val="000000" w:themeColor="text1"/>
        </w:rPr>
        <w:t xml:space="preserve"> </w:t>
      </w:r>
      <w:r w:rsidR="002E46B2" w:rsidRPr="00F0615A">
        <w:rPr>
          <w:rFonts w:ascii="Arial" w:hAnsi="Arial" w:cs="Arial"/>
          <w:color w:val="000000" w:themeColor="text1"/>
        </w:rPr>
        <w:t>For each sample, such random selections</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were repeated 15 times with different numbers of reads (from 0.1 to 5 million). In addition,</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the RPKM values were calculated with the same sequence alignment and reads count</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pipeline, and the genes with an RPKM less than 1 were discarded. Finally, the mean</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number of genes (RPKM&gt;1) was plotted with error bars calculated based on different</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random repeats.</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 xml:space="preserve">The Cufflinks v2.1.1 Reference Annotation Based Transcript (RABT) assembly method was used to </w:t>
      </w:r>
      <w:r w:rsidR="002E46B2" w:rsidRPr="00F0615A">
        <w:rPr>
          <w:rFonts w:ascii="Arial" w:hAnsi="Arial" w:cs="Arial"/>
          <w:color w:val="000000" w:themeColor="text1"/>
        </w:rPr>
        <w:lastRenderedPageBreak/>
        <w:t>construct and identify both known and novel transcripts from TopHat alignment results. Alternative splicing events were classified to 12 basic types by the software Asprofile v1.0. The number of AS events in each sample was estimated, separately.</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 xml:space="preserve">The Cufflinks v2.1.1 Reference Annotation Based Transcript (RABT) assembly method was used to construct and identify both known and novel transcripts from TopHat alignment results. Differential expression analysis of </w:t>
      </w:r>
      <w:r w:rsidR="002E46B2">
        <w:rPr>
          <w:rFonts w:ascii="Arial" w:hAnsi="Arial" w:cs="Arial" w:hint="eastAsia"/>
          <w:color w:val="000000" w:themeColor="text1"/>
        </w:rPr>
        <w:t>germ</w:t>
      </w:r>
      <w:r w:rsidR="002E46B2">
        <w:rPr>
          <w:rFonts w:ascii="Arial" w:hAnsi="Arial" w:cs="Arial"/>
          <w:color w:val="000000" w:themeColor="text1"/>
        </w:rPr>
        <w:t>-</w:t>
      </w:r>
      <w:r w:rsidR="002E46B2" w:rsidRPr="00F0615A">
        <w:rPr>
          <w:rFonts w:ascii="Arial" w:hAnsi="Arial" w:cs="Arial" w:hint="eastAsia"/>
          <w:color w:val="000000" w:themeColor="text1"/>
        </w:rPr>
        <w:t>free group and bacteria exposed groups (SPF and ConvD group)</w:t>
      </w:r>
      <w:r w:rsidR="002E46B2" w:rsidRPr="00F0615A">
        <w:rPr>
          <w:rFonts w:ascii="Arial" w:hAnsi="Arial" w:cs="Arial"/>
          <w:color w:val="000000" w:themeColor="text1"/>
        </w:rPr>
        <w:t xml:space="preserve"> was performed using the DESeq R package (1.10.1). DESeq provide statistical routines for determining differential expression in digital gene expression data using a model based on the negative binomial distribution. The resulting </w:t>
      </w:r>
      <w:r w:rsidR="002E46B2" w:rsidRPr="00912C09">
        <w:rPr>
          <w:rFonts w:ascii="Arial" w:hAnsi="Arial" w:cs="Arial"/>
          <w:i/>
          <w:color w:val="000000" w:themeColor="text1"/>
        </w:rPr>
        <w:t>P</w:t>
      </w:r>
      <w:r w:rsidR="002E46B2" w:rsidRPr="00F0615A">
        <w:rPr>
          <w:rFonts w:ascii="Arial" w:hAnsi="Arial" w:cs="Arial"/>
          <w:color w:val="000000" w:themeColor="text1"/>
        </w:rPr>
        <w:t>-values were adjusted using the Benjamini and Hochberg’s approach for contr</w:t>
      </w:r>
      <w:r w:rsidR="002E46B2">
        <w:rPr>
          <w:rFonts w:ascii="Arial" w:hAnsi="Arial" w:cs="Arial"/>
          <w:color w:val="000000" w:themeColor="text1"/>
        </w:rPr>
        <w:t>olling the false discovery rate</w:t>
      </w:r>
      <w:r w:rsidR="002E46B2" w:rsidRPr="00F0615A">
        <w:rPr>
          <w:rFonts w:ascii="Arial" w:hAnsi="Arial" w:cs="Arial"/>
          <w:color w:val="000000" w:themeColor="text1"/>
        </w:rPr>
        <w:t xml:space="preserve">. Genes with an adjusted </w:t>
      </w:r>
      <w:r w:rsidR="002E46B2" w:rsidRPr="00912C09">
        <w:rPr>
          <w:rFonts w:ascii="Arial" w:hAnsi="Arial" w:cs="Arial"/>
          <w:i/>
          <w:color w:val="000000" w:themeColor="text1"/>
        </w:rPr>
        <w:t>P</w:t>
      </w:r>
      <w:r w:rsidR="002E46B2" w:rsidRPr="00F0615A">
        <w:rPr>
          <w:rFonts w:ascii="Arial" w:hAnsi="Arial" w:cs="Arial"/>
          <w:color w:val="000000" w:themeColor="text1"/>
        </w:rPr>
        <w:t>-value &lt;0.05 found by DESeq were assigned as differentially expressed.</w:t>
      </w:r>
      <w:r w:rsidR="002E46B2">
        <w:rPr>
          <w:rFonts w:ascii="Arial" w:hAnsi="Arial" w:cs="Arial" w:hint="eastAsia"/>
          <w:color w:val="000000" w:themeColor="text1"/>
        </w:rPr>
        <w:t xml:space="preserve"> Gene Ontology (GO)</w:t>
      </w:r>
      <w:r w:rsidR="002E46B2" w:rsidRPr="00F0615A">
        <w:rPr>
          <w:rFonts w:ascii="Arial" w:hAnsi="Arial" w:cs="Arial" w:hint="eastAsia"/>
          <w:color w:val="000000" w:themeColor="text1"/>
        </w:rPr>
        <w:t xml:space="preserve"> consists of Molecular Function</w:t>
      </w:r>
      <w:r w:rsidR="002E46B2">
        <w:rPr>
          <w:rFonts w:ascii="Arial" w:hAnsi="Arial" w:cs="Arial"/>
          <w:color w:val="000000" w:themeColor="text1"/>
        </w:rPr>
        <w:t xml:space="preserve"> </w:t>
      </w:r>
      <w:r w:rsidR="002E46B2" w:rsidRPr="00F0615A">
        <w:rPr>
          <w:rFonts w:ascii="Arial" w:hAnsi="Arial" w:cs="Arial" w:hint="eastAsia"/>
          <w:color w:val="000000" w:themeColor="text1"/>
        </w:rPr>
        <w:t>(MF)</w:t>
      </w:r>
      <w:r w:rsidR="002E46B2">
        <w:rPr>
          <w:rFonts w:ascii="Arial" w:hAnsi="Arial" w:cs="Arial"/>
          <w:color w:val="000000" w:themeColor="text1"/>
        </w:rPr>
        <w:t xml:space="preserve">, </w:t>
      </w:r>
      <w:r w:rsidR="002E46B2" w:rsidRPr="00F0615A">
        <w:rPr>
          <w:rFonts w:ascii="Arial" w:hAnsi="Arial" w:cs="Arial" w:hint="eastAsia"/>
          <w:color w:val="000000" w:themeColor="text1"/>
        </w:rPr>
        <w:t>Biological Process</w:t>
      </w:r>
      <w:r w:rsidR="002E46B2">
        <w:rPr>
          <w:rFonts w:ascii="Arial" w:hAnsi="Arial" w:cs="Arial"/>
          <w:color w:val="000000" w:themeColor="text1"/>
        </w:rPr>
        <w:t xml:space="preserve"> </w:t>
      </w:r>
      <w:r w:rsidR="002E46B2" w:rsidRPr="00F0615A">
        <w:rPr>
          <w:rFonts w:ascii="Arial" w:hAnsi="Arial" w:cs="Arial" w:hint="eastAsia"/>
          <w:color w:val="000000" w:themeColor="text1"/>
        </w:rPr>
        <w:t>(BP)</w:t>
      </w:r>
      <w:r w:rsidR="002E46B2">
        <w:rPr>
          <w:rFonts w:ascii="Arial" w:hAnsi="Arial" w:cs="Arial" w:hint="eastAsia"/>
          <w:color w:val="000000" w:themeColor="text1"/>
        </w:rPr>
        <w:t>,</w:t>
      </w:r>
      <w:r w:rsidR="002E46B2">
        <w:rPr>
          <w:rFonts w:ascii="Arial" w:hAnsi="Arial" w:cs="Arial"/>
          <w:color w:val="000000" w:themeColor="text1"/>
        </w:rPr>
        <w:t xml:space="preserve"> and</w:t>
      </w:r>
      <w:r w:rsidR="002E46B2">
        <w:rPr>
          <w:rFonts w:ascii="Arial" w:hAnsi="Arial" w:cs="Arial" w:hint="eastAsia"/>
          <w:color w:val="000000" w:themeColor="text1"/>
        </w:rPr>
        <w:t xml:space="preserve"> </w:t>
      </w:r>
      <w:r w:rsidR="002E46B2" w:rsidRPr="00F0615A">
        <w:rPr>
          <w:rFonts w:ascii="Arial" w:hAnsi="Arial" w:cs="Arial" w:hint="eastAsia"/>
          <w:color w:val="000000" w:themeColor="text1"/>
        </w:rPr>
        <w:t>Cell</w:t>
      </w:r>
      <w:r w:rsidR="002E46B2">
        <w:rPr>
          <w:rFonts w:ascii="Arial" w:hAnsi="Arial" w:cs="Arial" w:hint="eastAsia"/>
          <w:color w:val="000000" w:themeColor="text1"/>
        </w:rPr>
        <w:t>ular Component (CC) three parts,</w:t>
      </w:r>
      <w:r w:rsidR="002E46B2">
        <w:rPr>
          <w:rFonts w:ascii="Arial" w:hAnsi="Arial" w:cs="Arial"/>
          <w:color w:val="000000" w:themeColor="text1"/>
        </w:rPr>
        <w:t xml:space="preserve"> </w:t>
      </w:r>
      <w:r w:rsidR="002E46B2">
        <w:rPr>
          <w:rFonts w:ascii="Arial" w:hAnsi="Arial" w:cs="Arial" w:hint="eastAsia"/>
          <w:color w:val="000000" w:themeColor="text1"/>
        </w:rPr>
        <w:t>s</w:t>
      </w:r>
      <w:r w:rsidR="002E46B2" w:rsidRPr="00F0615A">
        <w:rPr>
          <w:rFonts w:ascii="Arial" w:hAnsi="Arial" w:cs="Arial" w:hint="eastAsia"/>
          <w:color w:val="000000" w:themeColor="text1"/>
        </w:rPr>
        <w:t>o protein</w:t>
      </w:r>
      <w:r w:rsidR="002E46B2">
        <w:rPr>
          <w:rFonts w:ascii="Arial" w:hAnsi="Arial" w:cs="Arial"/>
          <w:color w:val="000000" w:themeColor="text1"/>
        </w:rPr>
        <w:t>s</w:t>
      </w:r>
      <w:r w:rsidR="002E46B2" w:rsidRPr="00F0615A">
        <w:rPr>
          <w:rFonts w:ascii="Arial" w:hAnsi="Arial" w:cs="Arial" w:hint="eastAsia"/>
          <w:color w:val="000000" w:themeColor="text1"/>
        </w:rPr>
        <w:t xml:space="preserve"> or gene</w:t>
      </w:r>
      <w:r w:rsidR="002E46B2">
        <w:rPr>
          <w:rFonts w:ascii="Arial" w:hAnsi="Arial" w:cs="Arial"/>
          <w:color w:val="000000" w:themeColor="text1"/>
        </w:rPr>
        <w:t>s</w:t>
      </w:r>
      <w:r w:rsidR="002E46B2" w:rsidRPr="00F0615A">
        <w:rPr>
          <w:rFonts w:ascii="Arial" w:hAnsi="Arial" w:cs="Arial" w:hint="eastAsia"/>
          <w:color w:val="000000" w:themeColor="text1"/>
        </w:rPr>
        <w:t xml:space="preserve"> can through corresponding gene ID or the method of sequence annotation find the corresponding GO term that is function cat</w:t>
      </w:r>
      <w:r w:rsidR="002E46B2" w:rsidRPr="00F0615A">
        <w:rPr>
          <w:rFonts w:ascii="Arial" w:hAnsi="Arial" w:cs="Arial"/>
          <w:color w:val="000000" w:themeColor="text1"/>
        </w:rPr>
        <w:t>egory or cell localization</w:t>
      </w:r>
      <w:r w:rsidR="002E46B2" w:rsidRPr="00F0615A">
        <w:rPr>
          <w:rFonts w:ascii="Arial" w:hAnsi="Arial" w:cs="Arial" w:hint="eastAsia"/>
          <w:color w:val="000000" w:themeColor="text1"/>
        </w:rPr>
        <w:t xml:space="preserve">. </w:t>
      </w:r>
      <w:r w:rsidR="002E46B2" w:rsidRPr="00F0615A">
        <w:rPr>
          <w:rFonts w:ascii="Arial" w:hAnsi="Arial" w:cs="Arial"/>
          <w:color w:val="000000" w:themeColor="text1"/>
        </w:rPr>
        <w:t>GO enrichment analysis of differentially expressed genes was implemented by the GOseq R package</w:t>
      </w:r>
      <w:r w:rsidR="002E46B2">
        <w:rPr>
          <w:rFonts w:ascii="Arial" w:hAnsi="Arial" w:cs="Arial"/>
          <w:color w:val="000000" w:themeColor="text1"/>
        </w:rPr>
        <w:t>.</w:t>
      </w:r>
      <w:r w:rsidR="002E46B2" w:rsidRPr="00F0615A">
        <w:rPr>
          <w:rFonts w:ascii="Arial" w:hAnsi="Arial" w:cs="Arial" w:hint="eastAsia"/>
          <w:color w:val="000000" w:themeColor="text1"/>
        </w:rPr>
        <w:t xml:space="preserve"> </w:t>
      </w:r>
      <w:r w:rsidR="002E46B2" w:rsidRPr="00495E78">
        <w:rPr>
          <w:rFonts w:ascii="Arial" w:hAnsi="Arial" w:cs="Arial"/>
          <w:color w:val="000000" w:themeColor="text1"/>
        </w:rPr>
        <w:t>We used KOBAS software to test the statistical enrichment of differential expression genes in KEGG</w:t>
      </w:r>
      <w:r w:rsidR="002E46B2" w:rsidRPr="00495E78">
        <w:rPr>
          <w:rFonts w:ascii="Arial" w:hAnsi="Arial" w:cs="Arial" w:hint="eastAsia"/>
          <w:color w:val="000000" w:themeColor="text1"/>
        </w:rPr>
        <w:t xml:space="preserve"> </w:t>
      </w:r>
      <w:r w:rsidR="002E46B2" w:rsidRPr="00495E78">
        <w:rPr>
          <w:rFonts w:ascii="Arial" w:hAnsi="Arial" w:cs="Arial"/>
          <w:color w:val="000000" w:themeColor="text1"/>
        </w:rPr>
        <w:t>pathways.</w:t>
      </w:r>
      <w:r w:rsidR="002E46B2">
        <w:rPr>
          <w:rFonts w:ascii="Arial" w:hAnsi="Arial" w:cs="Arial"/>
          <w:color w:val="000000" w:themeColor="text1"/>
        </w:rPr>
        <w:t xml:space="preserve"> </w:t>
      </w:r>
      <w:r w:rsidR="002E46B2" w:rsidRPr="00495E78">
        <w:rPr>
          <w:rFonts w:ascii="Arial" w:hAnsi="Arial" w:cs="Arial"/>
          <w:color w:val="000000" w:themeColor="text1"/>
        </w:rPr>
        <w:t xml:space="preserve">PPI analysis of differentially expressed genes was based on the STRING database, which known and predicted </w:t>
      </w:r>
      <w:r w:rsidR="002E46B2">
        <w:rPr>
          <w:rFonts w:ascii="Arial" w:hAnsi="Arial" w:cs="Arial"/>
          <w:color w:val="000000" w:themeColor="text1"/>
        </w:rPr>
        <w:t>p</w:t>
      </w:r>
      <w:r w:rsidR="002E46B2" w:rsidRPr="00495E78">
        <w:rPr>
          <w:rFonts w:ascii="Arial" w:hAnsi="Arial" w:cs="Arial"/>
          <w:color w:val="000000" w:themeColor="text1"/>
        </w:rPr>
        <w:t>rotein-</w:t>
      </w:r>
      <w:r w:rsidR="002E46B2">
        <w:rPr>
          <w:rFonts w:ascii="Arial" w:hAnsi="Arial" w:cs="Arial"/>
          <w:color w:val="000000" w:themeColor="text1"/>
        </w:rPr>
        <w:t>p</w:t>
      </w:r>
      <w:r w:rsidR="002E46B2" w:rsidRPr="00495E78">
        <w:rPr>
          <w:rFonts w:ascii="Arial" w:hAnsi="Arial" w:cs="Arial"/>
          <w:color w:val="000000" w:themeColor="text1"/>
        </w:rPr>
        <w:t xml:space="preserve">rotein </w:t>
      </w:r>
      <w:r w:rsidR="002E46B2">
        <w:rPr>
          <w:rFonts w:ascii="Arial" w:hAnsi="Arial" w:cs="Arial"/>
          <w:color w:val="000000" w:themeColor="text1"/>
        </w:rPr>
        <w:t>i</w:t>
      </w:r>
      <w:r w:rsidR="002E46B2" w:rsidRPr="00495E78">
        <w:rPr>
          <w:rFonts w:ascii="Arial" w:hAnsi="Arial" w:cs="Arial"/>
          <w:color w:val="000000" w:themeColor="text1"/>
        </w:rPr>
        <w:t xml:space="preserve">nteractions. For the species existing in the database, we </w:t>
      </w:r>
      <w:r w:rsidR="002E46B2" w:rsidRPr="00495E78">
        <w:rPr>
          <w:rFonts w:ascii="Arial" w:hAnsi="Arial" w:cs="Arial"/>
          <w:color w:val="000000" w:themeColor="text1"/>
        </w:rPr>
        <w:lastRenderedPageBreak/>
        <w:t>construct</w:t>
      </w:r>
      <w:r w:rsidR="002E46B2">
        <w:rPr>
          <w:rFonts w:ascii="Arial" w:hAnsi="Arial" w:cs="Arial"/>
          <w:color w:val="000000" w:themeColor="text1"/>
        </w:rPr>
        <w:t>ed</w:t>
      </w:r>
      <w:r w:rsidR="002E46B2" w:rsidRPr="00495E78">
        <w:rPr>
          <w:rFonts w:ascii="Arial" w:hAnsi="Arial" w:cs="Arial"/>
          <w:color w:val="000000" w:themeColor="text1"/>
        </w:rPr>
        <w:t xml:space="preserve"> the networks by extract the target gene list from the database; </w:t>
      </w:r>
      <w:r w:rsidR="002E46B2">
        <w:rPr>
          <w:rFonts w:ascii="Arial" w:hAnsi="Arial" w:cs="Arial"/>
          <w:color w:val="000000" w:themeColor="text1"/>
        </w:rPr>
        <w:t>o</w:t>
      </w:r>
      <w:r w:rsidR="002E46B2" w:rsidRPr="00495E78">
        <w:rPr>
          <w:rFonts w:ascii="Arial" w:hAnsi="Arial" w:cs="Arial"/>
          <w:color w:val="000000" w:themeColor="text1"/>
        </w:rPr>
        <w:t>therwise, Blastx (v2.2.28) was used to align the target gene sequences to the selected reference protein sequences, and then the networks w</w:t>
      </w:r>
      <w:r w:rsidR="002E46B2">
        <w:rPr>
          <w:rFonts w:ascii="Arial" w:hAnsi="Arial" w:cs="Arial"/>
          <w:color w:val="000000" w:themeColor="text1"/>
        </w:rPr>
        <w:t>ere</w:t>
      </w:r>
      <w:r w:rsidR="002E46B2" w:rsidRPr="00495E78">
        <w:rPr>
          <w:rFonts w:ascii="Arial" w:hAnsi="Arial" w:cs="Arial"/>
          <w:color w:val="000000" w:themeColor="text1"/>
        </w:rPr>
        <w:t xml:space="preserve"> built according to the known interaction of selected reference species.</w:t>
      </w:r>
    </w:p>
    <w:p w14:paraId="29BD3076" w14:textId="30D15202" w:rsidR="00732FBD" w:rsidRPr="002E46B2" w:rsidRDefault="00732FBD" w:rsidP="00732FBD">
      <w:pPr>
        <w:spacing w:after="240" w:line="360" w:lineRule="auto"/>
        <w:outlineLvl w:val="0"/>
        <w:rPr>
          <w:rFonts w:ascii="Arial" w:hAnsi="Arial" w:cs="Arial"/>
          <w:b/>
          <w:color w:val="000000" w:themeColor="text1"/>
        </w:rPr>
      </w:pPr>
    </w:p>
    <w:p w14:paraId="59F8F0EA" w14:textId="77777777" w:rsidR="00732FBD" w:rsidRPr="00F0615A" w:rsidRDefault="00732FBD" w:rsidP="00732FBD">
      <w:pPr>
        <w:adjustRightInd w:val="0"/>
        <w:spacing w:after="120" w:line="360" w:lineRule="auto"/>
        <w:rPr>
          <w:rFonts w:ascii="Arial" w:hAnsi="Arial" w:cs="Arial"/>
          <w:color w:val="000000" w:themeColor="text1"/>
        </w:rPr>
      </w:pPr>
      <w:r w:rsidRPr="00F0615A">
        <w:rPr>
          <w:rFonts w:ascii="Arial" w:hAnsi="Arial" w:cs="Arial"/>
          <w:b/>
          <w:color w:val="000000" w:themeColor="text1"/>
        </w:rPr>
        <w:t>Statistics.</w:t>
      </w:r>
      <w:r w:rsidRPr="00F0615A">
        <w:rPr>
          <w:rFonts w:ascii="Arial" w:hAnsi="Arial" w:cs="Arial"/>
          <w:color w:val="000000" w:themeColor="text1"/>
        </w:rPr>
        <w:t xml:space="preserve"> Comparisons between two groups were analyzed by independent two-tailed Student’s t-tests, and comparisons between more than two groups were analyzed by one-way ANOVA. </w:t>
      </w:r>
      <w:r w:rsidRPr="00F0615A">
        <w:rPr>
          <w:rFonts w:ascii="Arial" w:hAnsi="Arial" w:cs="Arial"/>
          <w:i/>
          <w:color w:val="000000" w:themeColor="text1"/>
        </w:rPr>
        <w:t>P</w:t>
      </w:r>
      <w:r w:rsidRPr="00F0615A">
        <w:rPr>
          <w:rFonts w:ascii="Arial" w:hAnsi="Arial" w:cs="Arial"/>
          <w:color w:val="000000" w:themeColor="text1"/>
        </w:rPr>
        <w:t xml:space="preserve"> values less than 0.05 were considered</w:t>
      </w:r>
      <w:r w:rsidRPr="00F0615A">
        <w:rPr>
          <w:rFonts w:ascii="Arial" w:hAnsi="Arial" w:cs="Arial" w:hint="eastAsia"/>
          <w:color w:val="000000" w:themeColor="text1"/>
        </w:rPr>
        <w:t xml:space="preserve"> </w:t>
      </w:r>
      <w:r w:rsidRPr="00F0615A">
        <w:rPr>
          <w:rFonts w:ascii="Arial" w:hAnsi="Arial" w:cs="Arial"/>
          <w:color w:val="000000" w:themeColor="text1"/>
        </w:rPr>
        <w:t>statistically significant.</w:t>
      </w:r>
    </w:p>
    <w:p w14:paraId="2A71B422" w14:textId="77777777" w:rsidR="0060176A" w:rsidRPr="00495E78" w:rsidRDefault="0060176A" w:rsidP="001E119A">
      <w:pPr>
        <w:spacing w:after="240" w:line="360" w:lineRule="auto"/>
        <w:outlineLvl w:val="0"/>
        <w:rPr>
          <w:rFonts w:ascii="Arial" w:hAnsi="Arial" w:cs="Arial"/>
          <w:color w:val="000000" w:themeColor="text1"/>
        </w:rPr>
      </w:pPr>
    </w:p>
    <w:p w14:paraId="47251F30" w14:textId="2BC10066" w:rsidR="00FC3BF5" w:rsidRPr="00163387" w:rsidRDefault="00FC3BF5" w:rsidP="00FC3BF5">
      <w:pPr>
        <w:spacing w:line="360" w:lineRule="auto"/>
        <w:rPr>
          <w:rFonts w:ascii="Arial" w:hAnsi="Arial" w:cs="Arial"/>
          <w:b/>
        </w:rPr>
      </w:pPr>
      <w:r w:rsidRPr="00163387">
        <w:rPr>
          <w:rFonts w:ascii="Arial" w:hAnsi="Arial" w:cs="Arial"/>
          <w:b/>
        </w:rPr>
        <w:t>Supplemental figure 1</w:t>
      </w:r>
      <w:r>
        <w:rPr>
          <w:rFonts w:ascii="Arial" w:hAnsi="Arial" w:cs="Arial"/>
          <w:b/>
        </w:rPr>
        <w:t>. Bone mineral density was increased in GF mice.</w:t>
      </w:r>
      <w:r w:rsidRPr="001F3CB7">
        <w:rPr>
          <w:rFonts w:ascii="Arial" w:hAnsi="Arial" w:cs="Arial"/>
        </w:rPr>
        <w:t xml:space="preserve"> </w:t>
      </w:r>
      <w:r w:rsidR="00016546">
        <w:rPr>
          <w:rFonts w:ascii="Arial" w:hAnsi="Arial" w:cs="Arial"/>
          <w:szCs w:val="21"/>
        </w:rPr>
        <w:t>(A</w:t>
      </w:r>
      <w:r>
        <w:rPr>
          <w:rFonts w:ascii="Arial" w:hAnsi="Arial" w:cs="Arial"/>
          <w:szCs w:val="21"/>
        </w:rPr>
        <w:t>)</w:t>
      </w:r>
      <w:r>
        <w:rPr>
          <w:rFonts w:ascii="Arial" w:hAnsi="Arial" w:cs="Arial" w:hint="eastAsia"/>
          <w:szCs w:val="21"/>
        </w:rPr>
        <w:t xml:space="preserve"> </w:t>
      </w:r>
      <w:r w:rsidRPr="00163387">
        <w:rPr>
          <w:rFonts w:ascii="Arial" w:hAnsi="Arial" w:cs="Arial"/>
          <w:szCs w:val="21"/>
        </w:rPr>
        <w:t>micro-CT</w:t>
      </w:r>
      <w:r>
        <w:rPr>
          <w:rFonts w:ascii="Arial" w:hAnsi="Arial" w:cs="Arial"/>
          <w:szCs w:val="21"/>
        </w:rPr>
        <w:t xml:space="preserve"> analysis showed</w:t>
      </w:r>
      <w:r w:rsidRPr="00163387">
        <w:rPr>
          <w:rFonts w:ascii="Arial" w:hAnsi="Arial" w:cs="Arial"/>
          <w:szCs w:val="21"/>
        </w:rPr>
        <w:t xml:space="preserve"> higher bone mineral density in GF mice</w:t>
      </w:r>
      <w:r>
        <w:rPr>
          <w:rFonts w:ascii="Arial" w:hAnsi="Arial" w:cs="Arial"/>
          <w:szCs w:val="21"/>
        </w:rPr>
        <w:t xml:space="preserve"> when compared to SPF mice,</w:t>
      </w:r>
      <w:r w:rsidRPr="00163387">
        <w:rPr>
          <w:rFonts w:ascii="Arial" w:hAnsi="Arial" w:cs="Arial"/>
          <w:szCs w:val="21"/>
        </w:rPr>
        <w:t xml:space="preserve"> while exposed to the microbiota decreas</w:t>
      </w:r>
      <w:r>
        <w:rPr>
          <w:rFonts w:ascii="Arial" w:hAnsi="Arial" w:cs="Arial"/>
          <w:szCs w:val="21"/>
        </w:rPr>
        <w:t>ed the bone m</w:t>
      </w:r>
      <w:r w:rsidR="00016546">
        <w:rPr>
          <w:rFonts w:ascii="Arial" w:hAnsi="Arial" w:cs="Arial"/>
          <w:szCs w:val="21"/>
        </w:rPr>
        <w:t>ineral density in ConvD mice. (B</w:t>
      </w:r>
      <w:r>
        <w:rPr>
          <w:rFonts w:ascii="Arial" w:hAnsi="Arial" w:cs="Arial"/>
          <w:szCs w:val="21"/>
        </w:rPr>
        <w:t xml:space="preserve">) Quantification </w:t>
      </w:r>
      <w:r w:rsidRPr="00163387">
        <w:rPr>
          <w:rFonts w:ascii="Arial" w:hAnsi="Arial" w:cs="Arial"/>
          <w:szCs w:val="21"/>
        </w:rPr>
        <w:t xml:space="preserve">of bone mineral density </w:t>
      </w:r>
      <w:r>
        <w:rPr>
          <w:rFonts w:ascii="Arial" w:hAnsi="Arial" w:cs="Arial"/>
          <w:szCs w:val="21"/>
        </w:rPr>
        <w:t>in</w:t>
      </w:r>
      <w:r w:rsidRPr="00163387">
        <w:rPr>
          <w:rFonts w:ascii="Arial" w:hAnsi="Arial" w:cs="Arial"/>
          <w:szCs w:val="21"/>
        </w:rPr>
        <w:t xml:space="preserve"> three groups. </w:t>
      </w:r>
      <w:r w:rsidR="00DC4859" w:rsidRPr="00534FCE">
        <w:rPr>
          <w:rFonts w:ascii="Arial" w:hAnsi="Arial" w:cs="Arial"/>
          <w:highlight w:val="yellow"/>
        </w:rPr>
        <w:t xml:space="preserve">(C) </w:t>
      </w:r>
      <w:bookmarkStart w:id="0" w:name="_Hlk491244702"/>
      <w:r w:rsidR="00DC4859" w:rsidRPr="00534FCE">
        <w:rPr>
          <w:rFonts w:ascii="Arial" w:hAnsi="Arial" w:cs="Arial"/>
          <w:highlight w:val="yellow"/>
        </w:rPr>
        <w:t>Bone morphology parameters</w:t>
      </w:r>
      <w:bookmarkEnd w:id="0"/>
      <w:r w:rsidR="00DC4859" w:rsidRPr="00534FCE">
        <w:rPr>
          <w:rFonts w:ascii="Arial" w:hAnsi="Arial" w:cs="Arial"/>
          <w:highlight w:val="yellow"/>
        </w:rPr>
        <w:t xml:space="preserve"> including BV/TV, trabecular bone number and trabecular spacing quantification analysis were shown. </w:t>
      </w:r>
      <w:r w:rsidRPr="00534FCE">
        <w:rPr>
          <w:rFonts w:ascii="Arial" w:hAnsi="Arial" w:cs="Arial"/>
          <w:highlight w:val="yellow"/>
        </w:rPr>
        <w:t>All experimental data were verified in at least 3 independent experimen</w:t>
      </w:r>
      <w:r w:rsidR="007037C0" w:rsidRPr="00534FCE">
        <w:rPr>
          <w:rFonts w:ascii="Arial" w:hAnsi="Arial" w:cs="Arial"/>
          <w:highlight w:val="yellow"/>
        </w:rPr>
        <w:t xml:space="preserve">ts. </w:t>
      </w:r>
      <w:r w:rsidR="00DC4859" w:rsidRPr="00534FCE">
        <w:rPr>
          <w:rFonts w:ascii="Arial" w:hAnsi="Arial" w:cs="Arial"/>
          <w:highlight w:val="yellow"/>
        </w:rPr>
        <w:t xml:space="preserve">(D) </w:t>
      </w:r>
      <w:bookmarkStart w:id="1" w:name="_Hlk491244733"/>
      <w:r w:rsidR="00DC4859" w:rsidRPr="00534FCE">
        <w:rPr>
          <w:rFonts w:ascii="Arial" w:hAnsi="Arial" w:cs="Arial"/>
          <w:highlight w:val="yellow"/>
        </w:rPr>
        <w:t>Cell cycle analysis</w:t>
      </w:r>
      <w:bookmarkEnd w:id="1"/>
      <w:r w:rsidR="00DC4859" w:rsidRPr="00534FCE">
        <w:rPr>
          <w:rFonts w:ascii="Arial" w:hAnsi="Arial" w:cs="Arial"/>
          <w:highlight w:val="yellow"/>
        </w:rPr>
        <w:t xml:space="preserve"> by DNA content staining showed more G2 and S phase cell in GF mice BMMSCs. (E) Annexin V immunofluorescence staining showed more </w:t>
      </w:r>
      <w:bookmarkStart w:id="2" w:name="_Hlk491244785"/>
      <w:bookmarkStart w:id="3" w:name="_GoBack"/>
      <w:r w:rsidR="00DC4859" w:rsidRPr="00534FCE">
        <w:rPr>
          <w:rFonts w:ascii="Arial" w:hAnsi="Arial" w:cs="Arial"/>
          <w:highlight w:val="yellow"/>
        </w:rPr>
        <w:t>apoptosis cells</w:t>
      </w:r>
      <w:bookmarkEnd w:id="2"/>
      <w:bookmarkEnd w:id="3"/>
      <w:r w:rsidR="00DC4859" w:rsidRPr="00534FCE">
        <w:rPr>
          <w:rFonts w:ascii="Arial" w:hAnsi="Arial" w:cs="Arial"/>
          <w:highlight w:val="yellow"/>
        </w:rPr>
        <w:t xml:space="preserve"> in SPF mice BMMSCs.</w:t>
      </w:r>
      <w:r w:rsidR="00DC4859">
        <w:rPr>
          <w:rFonts w:ascii="Arial" w:hAnsi="Arial" w:cs="Arial"/>
        </w:rPr>
        <w:t xml:space="preserve"> </w:t>
      </w:r>
      <w:r w:rsidR="007037C0">
        <w:rPr>
          <w:rFonts w:ascii="Arial" w:hAnsi="Arial" w:cs="Arial"/>
        </w:rPr>
        <w:t>Error bars represent the SEM</w:t>
      </w:r>
      <w:r w:rsidRPr="009F7679">
        <w:rPr>
          <w:rFonts w:ascii="Arial" w:hAnsi="Arial" w:cs="Arial"/>
        </w:rPr>
        <w:t xml:space="preserve"> from the </w:t>
      </w:r>
      <w:r w:rsidRPr="009F7679">
        <w:rPr>
          <w:rFonts w:ascii="Arial" w:hAnsi="Arial" w:cs="Arial"/>
        </w:rPr>
        <w:lastRenderedPageBreak/>
        <w:t>mean values. **</w:t>
      </w:r>
      <w:r w:rsidRPr="009F7679">
        <w:rPr>
          <w:rFonts w:ascii="Arial" w:hAnsi="Arial" w:cs="Arial"/>
          <w:i/>
          <w:iCs/>
        </w:rPr>
        <w:t xml:space="preserve">P </w:t>
      </w:r>
      <w:r w:rsidRPr="009F7679">
        <w:rPr>
          <w:rFonts w:ascii="Arial" w:hAnsi="Arial" w:cs="Arial"/>
        </w:rPr>
        <w:t>&lt; 0.001; *</w:t>
      </w:r>
      <w:r w:rsidRPr="009F7679">
        <w:rPr>
          <w:rFonts w:ascii="Arial" w:hAnsi="Arial" w:cs="Arial"/>
          <w:i/>
          <w:iCs/>
        </w:rPr>
        <w:t xml:space="preserve">P </w:t>
      </w:r>
      <w:r w:rsidRPr="009F7679">
        <w:rPr>
          <w:rFonts w:ascii="Arial" w:hAnsi="Arial" w:cs="Arial"/>
        </w:rPr>
        <w:t>&lt; 0.05.</w:t>
      </w:r>
    </w:p>
    <w:p w14:paraId="15A2D833" w14:textId="77777777" w:rsidR="001E119A" w:rsidRDefault="001E119A"/>
    <w:p w14:paraId="3037A57B" w14:textId="77777777" w:rsidR="00965BAB" w:rsidRDefault="00965BAB"/>
    <w:p w14:paraId="61D43374" w14:textId="77777777" w:rsidR="00965BAB" w:rsidRDefault="00965BAB"/>
    <w:p w14:paraId="24C6C5D4" w14:textId="77777777" w:rsidR="00965BAB" w:rsidRPr="009F71ED" w:rsidRDefault="00965BAB"/>
    <w:sectPr w:rsidR="00965BAB" w:rsidRPr="009F71ED" w:rsidSect="000167FB">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ECCFF" w14:textId="77777777" w:rsidR="004D495D" w:rsidRDefault="004D495D" w:rsidP="009F71ED">
      <w:r>
        <w:separator/>
      </w:r>
    </w:p>
  </w:endnote>
  <w:endnote w:type="continuationSeparator" w:id="0">
    <w:p w14:paraId="74DD4077" w14:textId="77777777" w:rsidR="004D495D" w:rsidRDefault="004D495D" w:rsidP="009F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ion Pro">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Adobe 楷体 Std R">
    <w:altName w:val="微软雅黑"/>
    <w:charset w:val="86"/>
    <w:family w:val="auto"/>
    <w:pitch w:val="variable"/>
    <w:sig w:usb0="00000001" w:usb1="0A0F1810" w:usb2="00000016" w:usb3="00000000" w:csb0="00060007"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0E50A" w14:textId="77777777" w:rsidR="004D495D" w:rsidRDefault="004D495D" w:rsidP="009F71ED">
      <w:r>
        <w:separator/>
      </w:r>
    </w:p>
  </w:footnote>
  <w:footnote w:type="continuationSeparator" w:id="0">
    <w:p w14:paraId="2211C6D5" w14:textId="77777777" w:rsidR="004D495D" w:rsidRDefault="004D495D" w:rsidP="009F71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DengXi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0axea5e5saveexzrjxsfw6p592xp0axx5r&quot;&gt;My EndNote Library 211&lt;record-ids&gt;&lt;item&gt;7856&lt;/item&gt;&lt;/record-ids&gt;&lt;/item&gt;&lt;/Libraries&gt;"/>
  </w:docVars>
  <w:rsids>
    <w:rsidRoot w:val="006A4076"/>
    <w:rsid w:val="00016546"/>
    <w:rsid w:val="000167FB"/>
    <w:rsid w:val="00022C4F"/>
    <w:rsid w:val="000C38AE"/>
    <w:rsid w:val="001A0ECC"/>
    <w:rsid w:val="001A5E92"/>
    <w:rsid w:val="001C16EB"/>
    <w:rsid w:val="001E119A"/>
    <w:rsid w:val="002E46B2"/>
    <w:rsid w:val="003660A2"/>
    <w:rsid w:val="0042762B"/>
    <w:rsid w:val="004D495D"/>
    <w:rsid w:val="004E1206"/>
    <w:rsid w:val="00534FCE"/>
    <w:rsid w:val="00562700"/>
    <w:rsid w:val="00562CFF"/>
    <w:rsid w:val="005645D8"/>
    <w:rsid w:val="005F4821"/>
    <w:rsid w:val="0060176A"/>
    <w:rsid w:val="00684CBC"/>
    <w:rsid w:val="006A4076"/>
    <w:rsid w:val="007037C0"/>
    <w:rsid w:val="00732FBD"/>
    <w:rsid w:val="007941A0"/>
    <w:rsid w:val="0096237C"/>
    <w:rsid w:val="00965BAB"/>
    <w:rsid w:val="009E7AE1"/>
    <w:rsid w:val="009F71ED"/>
    <w:rsid w:val="00A73D8E"/>
    <w:rsid w:val="00B0615E"/>
    <w:rsid w:val="00B164DC"/>
    <w:rsid w:val="00B23ECB"/>
    <w:rsid w:val="00C22D92"/>
    <w:rsid w:val="00C269DA"/>
    <w:rsid w:val="00C80C76"/>
    <w:rsid w:val="00D63CE7"/>
    <w:rsid w:val="00DC4859"/>
    <w:rsid w:val="00E31441"/>
    <w:rsid w:val="00E80948"/>
    <w:rsid w:val="00FA247F"/>
    <w:rsid w:val="00FC3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7F4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0176A"/>
    <w:rPr>
      <w:b/>
      <w:bCs/>
    </w:rPr>
  </w:style>
  <w:style w:type="character" w:customStyle="1" w:styleId="A17">
    <w:name w:val="A17"/>
    <w:uiPriority w:val="99"/>
    <w:rsid w:val="004E1206"/>
    <w:rPr>
      <w:rFonts w:cs="Minion Pro"/>
      <w:color w:val="211D1E"/>
      <w:sz w:val="12"/>
      <w:szCs w:val="12"/>
    </w:rPr>
  </w:style>
  <w:style w:type="character" w:customStyle="1" w:styleId="A18">
    <w:name w:val="A18"/>
    <w:uiPriority w:val="99"/>
    <w:rsid w:val="004E1206"/>
    <w:rPr>
      <w:rFonts w:cs="Minion Pro"/>
      <w:color w:val="211D1E"/>
      <w:sz w:val="12"/>
      <w:szCs w:val="12"/>
    </w:rPr>
  </w:style>
  <w:style w:type="paragraph" w:customStyle="1" w:styleId="EndNoteBibliographyTitle">
    <w:name w:val="EndNote Bibliography Title"/>
    <w:basedOn w:val="a"/>
    <w:rsid w:val="00E31441"/>
    <w:pPr>
      <w:jc w:val="center"/>
    </w:pPr>
    <w:rPr>
      <w:rFonts w:ascii="等线" w:eastAsia="等线" w:hAnsi="等线"/>
    </w:rPr>
  </w:style>
  <w:style w:type="paragraph" w:customStyle="1" w:styleId="EndNoteBibliography">
    <w:name w:val="EndNote Bibliography"/>
    <w:basedOn w:val="a"/>
    <w:rsid w:val="00E31441"/>
    <w:rPr>
      <w:rFonts w:ascii="等线" w:eastAsia="等线" w:hAnsi="等线"/>
    </w:rPr>
  </w:style>
  <w:style w:type="paragraph" w:styleId="a4">
    <w:name w:val="header"/>
    <w:basedOn w:val="a"/>
    <w:link w:val="a5"/>
    <w:uiPriority w:val="99"/>
    <w:unhideWhenUsed/>
    <w:rsid w:val="009F71E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F71ED"/>
    <w:rPr>
      <w:sz w:val="18"/>
      <w:szCs w:val="18"/>
    </w:rPr>
  </w:style>
  <w:style w:type="paragraph" w:styleId="a6">
    <w:name w:val="footer"/>
    <w:basedOn w:val="a"/>
    <w:link w:val="a7"/>
    <w:uiPriority w:val="99"/>
    <w:unhideWhenUsed/>
    <w:rsid w:val="009F71ED"/>
    <w:pPr>
      <w:tabs>
        <w:tab w:val="center" w:pos="4153"/>
        <w:tab w:val="right" w:pos="8306"/>
      </w:tabs>
      <w:snapToGrid w:val="0"/>
      <w:jc w:val="left"/>
    </w:pPr>
    <w:rPr>
      <w:sz w:val="18"/>
      <w:szCs w:val="18"/>
    </w:rPr>
  </w:style>
  <w:style w:type="character" w:customStyle="1" w:styleId="a7">
    <w:name w:val="页脚 字符"/>
    <w:basedOn w:val="a0"/>
    <w:link w:val="a6"/>
    <w:uiPriority w:val="99"/>
    <w:rsid w:val="009F71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020103">
      <w:bodyDiv w:val="1"/>
      <w:marLeft w:val="0"/>
      <w:marRight w:val="0"/>
      <w:marTop w:val="0"/>
      <w:marBottom w:val="0"/>
      <w:divBdr>
        <w:top w:val="none" w:sz="0" w:space="0" w:color="auto"/>
        <w:left w:val="none" w:sz="0" w:space="0" w:color="auto"/>
        <w:bottom w:val="none" w:sz="0" w:space="0" w:color="auto"/>
        <w:right w:val="none" w:sz="0" w:space="0" w:color="auto"/>
      </w:divBdr>
    </w:div>
    <w:div w:id="12510410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pubmed?term=isobutylmethylxanthine&amp;cmd=correctspellin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1739</Words>
  <Characters>9916</Characters>
  <Application>Microsoft Office Word</Application>
  <DocSecurity>0</DocSecurity>
  <Lines>82</Lines>
  <Paragraphs>23</Paragraphs>
  <ScaleCrop>false</ScaleCrop>
  <HeadingPairs>
    <vt:vector size="2" baseType="variant">
      <vt:variant>
        <vt:lpstr>Headings</vt:lpstr>
      </vt:variant>
      <vt:variant>
        <vt:i4>10</vt:i4>
      </vt:variant>
    </vt:vector>
  </HeadingPairs>
  <TitlesOfParts>
    <vt:vector size="10" baseType="lpstr">
      <vt:lpstr>MATERIAL AND METHODS</vt:lpstr>
      <vt:lpstr>Allogenic MSC transplantation in mandibular bone defect rat.</vt:lpstr>
      <vt:lpstr>To test the in vivo bone regeneration capacity, we created 5-mm diameter full th</vt:lpstr>
      <vt:lpstr>Micro-CT analysis.</vt:lpstr>
      <vt:lpstr>Rat mandibles were harvested and fixed in 10% formalin for 24 hours and then sca</vt:lpstr>
      <vt:lpstr>Histology. </vt:lpstr>
      <vt:lpstr>Rat mandibles were decalcified by 20% EDTA and then stained with H&amp;E staining. T</vt:lpstr>
      <vt:lpstr>Single cell sequencing and data analysis. The single cells were captured by usin</vt:lpstr>
      <vt: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linhai he</cp:lastModifiedBy>
  <cp:revision>19</cp:revision>
  <dcterms:created xsi:type="dcterms:W3CDTF">2017-05-14T11:08:00Z</dcterms:created>
  <dcterms:modified xsi:type="dcterms:W3CDTF">2017-08-23T01:57:00Z</dcterms:modified>
</cp:coreProperties>
</file>