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3AF8" w:rsidRDefault="00253AF8" w:rsidP="00F9565B">
      <w:pPr>
        <w:autoSpaceDE w:val="0"/>
        <w:autoSpaceDN w:val="0"/>
        <w:spacing w:line="360" w:lineRule="auto"/>
        <w:ind w:rightChars="-100" w:right="-210"/>
        <w:mirrorIndents/>
        <w:rPr>
          <w:rFonts w:ascii="Times New Roman" w:hAnsi="Times New Roman" w:cs="Times New Roman"/>
          <w:b/>
          <w:kern w:val="0"/>
          <w:sz w:val="24"/>
          <w:szCs w:val="24"/>
        </w:rPr>
      </w:pPr>
      <w:r w:rsidRPr="00253AF8">
        <w:rPr>
          <w:rFonts w:ascii="Times New Roman" w:hAnsi="Times New Roman" w:cs="Times New Roman"/>
          <w:b/>
          <w:kern w:val="0"/>
          <w:sz w:val="24"/>
          <w:szCs w:val="24"/>
        </w:rPr>
        <w:t>Supplementary Material</w:t>
      </w:r>
      <w:r>
        <w:rPr>
          <w:rFonts w:ascii="Times New Roman" w:hAnsi="Times New Roman" w:cs="Times New Roman"/>
          <w:b/>
          <w:kern w:val="0"/>
          <w:sz w:val="24"/>
          <w:szCs w:val="24"/>
        </w:rPr>
        <w:t>s</w:t>
      </w:r>
      <w:r w:rsidRPr="00253AF8">
        <w:rPr>
          <w:rFonts w:ascii="Times New Roman" w:hAnsi="Times New Roman" w:cs="Times New Roman"/>
          <w:b/>
          <w:kern w:val="0"/>
          <w:sz w:val="24"/>
          <w:szCs w:val="24"/>
        </w:rPr>
        <w:t xml:space="preserve"> </w:t>
      </w:r>
      <w:r w:rsidR="00125D64">
        <w:rPr>
          <w:rFonts w:ascii="Times New Roman" w:hAnsi="Times New Roman" w:cs="Times New Roman"/>
          <w:b/>
          <w:kern w:val="0"/>
          <w:sz w:val="24"/>
          <w:szCs w:val="24"/>
        </w:rPr>
        <w:t>and Methods</w:t>
      </w:r>
    </w:p>
    <w:p w:rsidR="00F9565B" w:rsidRPr="00720A3E" w:rsidRDefault="00F9565B" w:rsidP="00F9565B">
      <w:pPr>
        <w:autoSpaceDE w:val="0"/>
        <w:autoSpaceDN w:val="0"/>
        <w:spacing w:line="360" w:lineRule="auto"/>
        <w:ind w:rightChars="-100" w:right="-210"/>
        <w:mirrorIndents/>
        <w:rPr>
          <w:rFonts w:ascii="Times New Roman" w:hAnsi="Times New Roman" w:cs="Times New Roman"/>
          <w:b/>
          <w:kern w:val="0"/>
          <w:sz w:val="24"/>
          <w:szCs w:val="24"/>
        </w:rPr>
      </w:pPr>
      <w:r w:rsidRPr="00720A3E">
        <w:rPr>
          <w:rFonts w:ascii="Times New Roman" w:hAnsi="Times New Roman" w:cs="Times New Roman"/>
          <w:b/>
          <w:kern w:val="0"/>
          <w:sz w:val="24"/>
          <w:szCs w:val="24"/>
        </w:rPr>
        <w:t>Evaluation of transfection efficiency</w:t>
      </w:r>
    </w:p>
    <w:p w:rsidR="00F9565B" w:rsidRDefault="00F9565B" w:rsidP="00F9565B">
      <w:pPr>
        <w:autoSpaceDE w:val="0"/>
        <w:autoSpaceDN w:val="0"/>
        <w:spacing w:line="360" w:lineRule="auto"/>
        <w:ind w:rightChars="-100" w:right="-210"/>
        <w:mirrorIndents/>
        <w:rPr>
          <w:rFonts w:ascii="Times New Roman" w:hAnsi="Times New Roman" w:cs="Times New Roman"/>
          <w:kern w:val="0"/>
          <w:sz w:val="24"/>
          <w:szCs w:val="24"/>
        </w:rPr>
      </w:pPr>
      <w:r w:rsidRPr="00720A3E">
        <w:rPr>
          <w:rFonts w:ascii="Times New Roman" w:hAnsi="Times New Roman" w:cs="Times New Roman"/>
          <w:kern w:val="0"/>
          <w:sz w:val="24"/>
          <w:szCs w:val="24"/>
        </w:rPr>
        <w:t>Transfection efﬁciency was evaluated by measuring the relative expression of miR-200c in HESCs.</w:t>
      </w:r>
      <w:r w:rsidRPr="00720A3E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720A3E">
        <w:rPr>
          <w:rFonts w:ascii="Times New Roman" w:hAnsi="Times New Roman" w:cs="Times New Roman"/>
          <w:kern w:val="0"/>
          <w:sz w:val="24"/>
          <w:szCs w:val="24"/>
        </w:rPr>
        <w:t>miR-200c loaded in PEI-PEG-RGD polymers (using the optimized N/P ratio) or Lipofectamine 2000 were transfected into cells in parallel wells. After incubation for 6 h, the medium was replaced, and the cells were cultured for an additional 24 h. Then, the cells were harvested, and the miRNA contents were assessed using qRT-PCR.</w:t>
      </w:r>
    </w:p>
    <w:p w:rsidR="005734BD" w:rsidRPr="00720A3E" w:rsidRDefault="005734BD" w:rsidP="00F9565B">
      <w:pPr>
        <w:autoSpaceDE w:val="0"/>
        <w:autoSpaceDN w:val="0"/>
        <w:spacing w:line="360" w:lineRule="auto"/>
        <w:ind w:rightChars="-100" w:right="-210"/>
        <w:mirrorIndents/>
        <w:rPr>
          <w:rFonts w:ascii="Times New Roman" w:hAnsi="Times New Roman" w:cs="Times New Roman"/>
          <w:kern w:val="0"/>
          <w:sz w:val="24"/>
          <w:szCs w:val="24"/>
        </w:rPr>
      </w:pPr>
    </w:p>
    <w:p w:rsidR="005734BD" w:rsidRPr="00720A3E" w:rsidRDefault="005734BD" w:rsidP="005734BD">
      <w:pPr>
        <w:autoSpaceDE w:val="0"/>
        <w:autoSpaceDN w:val="0"/>
        <w:spacing w:line="360" w:lineRule="auto"/>
        <w:ind w:rightChars="-100" w:right="-210"/>
        <w:mirrorIndents/>
        <w:rPr>
          <w:rFonts w:ascii="Times New Roman" w:hAnsi="Times New Roman" w:cs="Times New Roman"/>
          <w:b/>
          <w:kern w:val="0"/>
          <w:sz w:val="24"/>
          <w:szCs w:val="24"/>
        </w:rPr>
      </w:pPr>
      <w:r w:rsidRPr="00720A3E">
        <w:rPr>
          <w:rFonts w:ascii="Times New Roman" w:hAnsi="Times New Roman" w:cs="Times New Roman"/>
          <w:b/>
          <w:kern w:val="0"/>
          <w:sz w:val="24"/>
          <w:szCs w:val="24"/>
        </w:rPr>
        <w:t xml:space="preserve">Evaluation of cytotoxicity </w:t>
      </w:r>
    </w:p>
    <w:p w:rsidR="005734BD" w:rsidRDefault="005734BD" w:rsidP="005734BD">
      <w:pPr>
        <w:autoSpaceDE w:val="0"/>
        <w:autoSpaceDN w:val="0"/>
        <w:spacing w:line="360" w:lineRule="auto"/>
        <w:ind w:rightChars="-100" w:right="-210"/>
        <w:mirrorIndents/>
        <w:rPr>
          <w:rFonts w:ascii="Times New Roman" w:hAnsi="Times New Roman" w:cs="Times New Roman"/>
          <w:kern w:val="0"/>
          <w:sz w:val="24"/>
          <w:szCs w:val="24"/>
        </w:rPr>
      </w:pPr>
      <w:r w:rsidRPr="00720A3E">
        <w:rPr>
          <w:rFonts w:ascii="Times New Roman" w:hAnsi="Times New Roman" w:cs="Times New Roman"/>
          <w:kern w:val="0"/>
          <w:sz w:val="24"/>
          <w:szCs w:val="24"/>
        </w:rPr>
        <w:t>Twenty-four hours post-transfection, the cytotoxic effect of the polyplexes was assessed using Cell Counting Kit 8 (Dojindo, Tokyo, Japan) according to the manufacturer’s protocol. Briefly, 1×10</w:t>
      </w:r>
      <w:r w:rsidRPr="00720A3E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4</w:t>
      </w:r>
      <w:r w:rsidRPr="00720A3E">
        <w:rPr>
          <w:rFonts w:ascii="Times New Roman" w:hAnsi="Times New Roman" w:cs="Times New Roman"/>
          <w:kern w:val="0"/>
          <w:sz w:val="24"/>
          <w:szCs w:val="24"/>
        </w:rPr>
        <w:t xml:space="preserve"> cells/well were seeded in triplicate in 96-well culture plates, and the subsequent experiments were conducted when the cells reached 80% confluence. After removal of the culture medium, fresh medium containing 10% FBS and various concentrations (20-140 μg/m</w:t>
      </w:r>
      <w:r w:rsidR="003A5FDA">
        <w:rPr>
          <w:rFonts w:ascii="Times New Roman" w:hAnsi="Times New Roman" w:cs="Times New Roman"/>
          <w:kern w:val="0"/>
          <w:sz w:val="24"/>
          <w:szCs w:val="24"/>
        </w:rPr>
        <w:t>l</w:t>
      </w:r>
      <w:bookmarkStart w:id="0" w:name="_GoBack"/>
      <w:bookmarkEnd w:id="0"/>
      <w:r w:rsidRPr="00720A3E">
        <w:rPr>
          <w:rFonts w:ascii="Times New Roman" w:hAnsi="Times New Roman" w:cs="Times New Roman"/>
          <w:kern w:val="0"/>
          <w:sz w:val="24"/>
          <w:szCs w:val="24"/>
        </w:rPr>
        <w:t xml:space="preserve">) of miRNA NC@PEI-PEG-RGD nanoparticles (already optimized) were added to the cells. A negative control group was treated with an equivalent volume of PBS mixed with culture medium. </w:t>
      </w:r>
    </w:p>
    <w:p w:rsidR="009E6FDC" w:rsidRPr="00F9565B" w:rsidRDefault="009E6FDC"/>
    <w:sectPr w:rsidR="009E6FDC" w:rsidRPr="00F956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5F1F" w:rsidRDefault="00B35F1F" w:rsidP="00F9565B">
      <w:r>
        <w:separator/>
      </w:r>
    </w:p>
  </w:endnote>
  <w:endnote w:type="continuationSeparator" w:id="0">
    <w:p w:rsidR="00B35F1F" w:rsidRDefault="00B35F1F" w:rsidP="00F95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5F1F" w:rsidRDefault="00B35F1F" w:rsidP="00F9565B">
      <w:r>
        <w:separator/>
      </w:r>
    </w:p>
  </w:footnote>
  <w:footnote w:type="continuationSeparator" w:id="0">
    <w:p w:rsidR="00B35F1F" w:rsidRDefault="00B35F1F" w:rsidP="00F95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C4F"/>
    <w:rsid w:val="00125D64"/>
    <w:rsid w:val="001B0F78"/>
    <w:rsid w:val="00253AF8"/>
    <w:rsid w:val="002C58CB"/>
    <w:rsid w:val="003A5FDA"/>
    <w:rsid w:val="003B0F8C"/>
    <w:rsid w:val="005734BD"/>
    <w:rsid w:val="00822153"/>
    <w:rsid w:val="00987721"/>
    <w:rsid w:val="009E6FDC"/>
    <w:rsid w:val="00B35F1F"/>
    <w:rsid w:val="00E36C4F"/>
    <w:rsid w:val="00F9565B"/>
    <w:rsid w:val="00FB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710401"/>
  <w15:chartTrackingRefBased/>
  <w15:docId w15:val="{D94C48AA-9F7A-4408-A566-73DBEA657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56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56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956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956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956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wf hua</dc:creator>
  <cp:keywords/>
  <dc:description/>
  <cp:lastModifiedBy>wf hua</cp:lastModifiedBy>
  <cp:revision>8</cp:revision>
  <dcterms:created xsi:type="dcterms:W3CDTF">2017-08-30T13:51:00Z</dcterms:created>
  <dcterms:modified xsi:type="dcterms:W3CDTF">2017-10-17T04:37:00Z</dcterms:modified>
</cp:coreProperties>
</file>