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D2CE" w14:textId="6288F0AD" w:rsidR="00CD03E4" w:rsidRPr="009E2AF4" w:rsidRDefault="00CD03E4" w:rsidP="00CD03E4">
      <w:pPr>
        <w:shd w:val="clear" w:color="auto" w:fill="FFFFFF"/>
        <w:spacing w:after="0" w:line="480" w:lineRule="auto"/>
        <w:rPr>
          <w:rFonts w:cs="Arial"/>
          <w:b/>
          <w:color w:val="000000"/>
          <w:sz w:val="28"/>
          <w:szCs w:val="28"/>
          <w:lang w:val="en-US"/>
        </w:rPr>
      </w:pPr>
      <w:r w:rsidRPr="009E2AF4">
        <w:rPr>
          <w:rFonts w:cs="Arial"/>
          <w:b/>
          <w:color w:val="000000"/>
          <w:sz w:val="28"/>
          <w:szCs w:val="28"/>
          <w:lang w:val="en-US"/>
        </w:rPr>
        <w:t>Supplement</w:t>
      </w:r>
      <w:r w:rsidR="00FE61C2" w:rsidRPr="009E2AF4">
        <w:rPr>
          <w:rFonts w:cs="Arial"/>
          <w:b/>
          <w:color w:val="000000"/>
          <w:sz w:val="28"/>
          <w:szCs w:val="28"/>
          <w:lang w:val="en-US"/>
        </w:rPr>
        <w:t>ary</w:t>
      </w:r>
      <w:r w:rsidRPr="009E2AF4">
        <w:rPr>
          <w:rFonts w:cs="Arial"/>
          <w:b/>
          <w:color w:val="000000"/>
          <w:sz w:val="28"/>
          <w:szCs w:val="28"/>
          <w:lang w:val="en-US"/>
        </w:rPr>
        <w:t xml:space="preserve"> Materials and Methods</w:t>
      </w:r>
    </w:p>
    <w:p w14:paraId="659700F3" w14:textId="77777777" w:rsidR="00CD03E4" w:rsidRPr="009E2AF4" w:rsidRDefault="00CD03E4" w:rsidP="00CD03E4">
      <w:pPr>
        <w:spacing w:after="0" w:line="480" w:lineRule="auto"/>
        <w:rPr>
          <w:b/>
          <w:sz w:val="24"/>
          <w:szCs w:val="24"/>
          <w:lang w:val="en-US"/>
        </w:rPr>
      </w:pPr>
    </w:p>
    <w:p w14:paraId="6A134C19" w14:textId="77777777" w:rsidR="00CD03E4" w:rsidRPr="009E2AF4" w:rsidRDefault="00CD03E4" w:rsidP="00CD03E4">
      <w:pPr>
        <w:spacing w:after="0" w:line="480" w:lineRule="auto"/>
        <w:rPr>
          <w:b/>
          <w:sz w:val="24"/>
          <w:szCs w:val="24"/>
          <w:lang w:val="en-US"/>
        </w:rPr>
      </w:pPr>
      <w:r w:rsidRPr="009E2AF4">
        <w:rPr>
          <w:b/>
          <w:sz w:val="24"/>
          <w:szCs w:val="24"/>
          <w:lang w:val="en-US"/>
        </w:rPr>
        <w:t>Pluripotent Stem Cell Culture</w:t>
      </w:r>
    </w:p>
    <w:p w14:paraId="015B37FF" w14:textId="5DED3631" w:rsidR="00CD03E4" w:rsidRPr="009E2AF4" w:rsidRDefault="00CD03E4" w:rsidP="00CD03E4">
      <w:pPr>
        <w:spacing w:after="0" w:line="480" w:lineRule="auto"/>
        <w:rPr>
          <w:sz w:val="24"/>
          <w:szCs w:val="24"/>
          <w:lang w:val="en-US"/>
        </w:rPr>
      </w:pPr>
      <w:r w:rsidRPr="009E2AF4">
        <w:rPr>
          <w:sz w:val="24"/>
          <w:szCs w:val="24"/>
          <w:lang w:val="en-US"/>
        </w:rPr>
        <w:t>For feeder-free culture, hPSC colonies on hFF feeder layers were manually dissected and transferred onto Corning® CellBIND® 24-well culture plates coated with human recombinant laminin-521 (</w:t>
      </w:r>
      <w:r w:rsidR="00B266A2" w:rsidRPr="009E2AF4">
        <w:rPr>
          <w:sz w:val="24"/>
          <w:szCs w:val="24"/>
          <w:lang w:val="en-US"/>
        </w:rPr>
        <w:t>LN-521</w:t>
      </w:r>
      <w:r w:rsidRPr="009E2AF4">
        <w:rPr>
          <w:sz w:val="24"/>
          <w:szCs w:val="24"/>
          <w:lang w:val="en-US"/>
        </w:rPr>
        <w:t xml:space="preserve">, Biolamina, Sweden). </w:t>
      </w:r>
      <w:r w:rsidR="00B266A2" w:rsidRPr="009E2AF4">
        <w:rPr>
          <w:sz w:val="24"/>
          <w:szCs w:val="24"/>
          <w:lang w:val="en-US"/>
        </w:rPr>
        <w:t>LN-521</w:t>
      </w:r>
      <w:r w:rsidRPr="009E2AF4">
        <w:rPr>
          <w:sz w:val="24"/>
          <w:szCs w:val="24"/>
          <w:lang w:val="en-US"/>
        </w:rPr>
        <w:t xml:space="preserve"> coating was carried out as instructed by the manufacturer, diluted in 1xDPBS containing Ca</w:t>
      </w:r>
      <w:r w:rsidRPr="009E2AF4">
        <w:rPr>
          <w:sz w:val="24"/>
          <w:szCs w:val="24"/>
          <w:vertAlign w:val="superscript"/>
          <w:lang w:val="en-US"/>
        </w:rPr>
        <w:t>2+</w:t>
      </w:r>
      <w:r w:rsidRPr="009E2AF4">
        <w:rPr>
          <w:sz w:val="24"/>
          <w:szCs w:val="24"/>
          <w:lang w:val="en-US"/>
        </w:rPr>
        <w:t xml:space="preserve"> and Mg</w:t>
      </w:r>
      <w:r w:rsidRPr="009E2AF4">
        <w:rPr>
          <w:sz w:val="24"/>
          <w:szCs w:val="24"/>
          <w:vertAlign w:val="superscript"/>
          <w:lang w:val="en-US"/>
        </w:rPr>
        <w:t>2+</w:t>
      </w:r>
      <w:r w:rsidRPr="009E2AF4">
        <w:rPr>
          <w:sz w:val="24"/>
          <w:szCs w:val="24"/>
          <w:lang w:val="en-US"/>
        </w:rPr>
        <w:t xml:space="preserve"> (Gibco, Thermo Fisher Scientific), overnight at +4°C. The coating dilution was removed, but not rinsed, before cell seeding. </w:t>
      </w:r>
      <w:r w:rsidR="00B266A2" w:rsidRPr="009E2AF4">
        <w:rPr>
          <w:sz w:val="24"/>
          <w:szCs w:val="24"/>
          <w:lang w:val="en-US"/>
        </w:rPr>
        <w:t>LN-521</w:t>
      </w:r>
      <w:r w:rsidRPr="009E2AF4">
        <w:rPr>
          <w:sz w:val="24"/>
          <w:szCs w:val="24"/>
          <w:lang w:val="en-US"/>
        </w:rPr>
        <w:t xml:space="preserve"> concentration </w:t>
      </w:r>
      <w:proofErr w:type="gramStart"/>
      <w:r w:rsidRPr="009E2AF4">
        <w:rPr>
          <w:sz w:val="24"/>
          <w:szCs w:val="24"/>
          <w:lang w:val="en-US"/>
        </w:rPr>
        <w:t>of 1.09 µg/cm</w:t>
      </w:r>
      <w:r w:rsidRPr="009E2AF4">
        <w:rPr>
          <w:sz w:val="24"/>
          <w:szCs w:val="24"/>
          <w:vertAlign w:val="superscript"/>
          <w:lang w:val="en-US"/>
        </w:rPr>
        <w:t>2</w:t>
      </w:r>
      <w:proofErr w:type="gramEnd"/>
      <w:r w:rsidRPr="009E2AF4">
        <w:rPr>
          <w:sz w:val="24"/>
          <w:szCs w:val="24"/>
          <w:lang w:val="en-US"/>
        </w:rPr>
        <w:t xml:space="preserve"> was used for the first passage and 0.55 µg/cm</w:t>
      </w:r>
      <w:r w:rsidRPr="009E2AF4">
        <w:rPr>
          <w:sz w:val="24"/>
          <w:szCs w:val="24"/>
          <w:vertAlign w:val="superscript"/>
          <w:lang w:val="en-US"/>
        </w:rPr>
        <w:t>2</w:t>
      </w:r>
      <w:r w:rsidRPr="009E2AF4">
        <w:rPr>
          <w:sz w:val="24"/>
          <w:szCs w:val="24"/>
          <w:lang w:val="en-US"/>
        </w:rPr>
        <w:t xml:space="preserve"> for subsequent passages. Essential 8™ Medium or Essential 8™ Flex Medium (E8, Thermo Fisher Scientific), was supplemented with 50x supplement and 50 U/ml Penicillin-Streptomycin (Gibco, Thermo Fisher Scientific), and used as recommended by the manufacturer, bringing to room temperature (RT) before introducing to cells. Single cell passaging with xeno-free 1X TrypLE™ Select Enzyme was done by 3-4 min incubation at +37°C, allowing the cells to round up but not detach, followed by enzyme removal and inactivation with Defined Trypsin Inhibitor (Gibco, Thermo Fisher Scientific). Cells were detached by pipetting, </w:t>
      </w:r>
      <w:r w:rsidR="007F4ECB" w:rsidRPr="009E2AF4">
        <w:rPr>
          <w:sz w:val="24"/>
          <w:szCs w:val="24"/>
          <w:lang w:val="en-US"/>
        </w:rPr>
        <w:t xml:space="preserve">centrifuged to pellet, suspended to fresh media, </w:t>
      </w:r>
      <w:r w:rsidRPr="009E2AF4">
        <w:rPr>
          <w:sz w:val="24"/>
          <w:szCs w:val="24"/>
          <w:lang w:val="en-US"/>
        </w:rPr>
        <w:t>counted, and replated in fresh medium. Cells were passaged twice a week at 80-100% confluency, using constant split ratio of 40 000-50 000 cells/cm</w:t>
      </w:r>
      <w:r w:rsidRPr="009E2AF4">
        <w:rPr>
          <w:sz w:val="24"/>
          <w:szCs w:val="24"/>
          <w:vertAlign w:val="superscript"/>
          <w:lang w:val="en-US"/>
        </w:rPr>
        <w:t>2</w:t>
      </w:r>
      <w:r w:rsidRPr="009E2AF4">
        <w:rPr>
          <w:sz w:val="24"/>
          <w:szCs w:val="24"/>
          <w:lang w:val="en-US"/>
        </w:rPr>
        <w:t xml:space="preserve">. Weekend-free feeding regimen was achieved by passaging on Thursdays and Mondays. </w:t>
      </w:r>
    </w:p>
    <w:p w14:paraId="237FEE1B" w14:textId="34376C9F" w:rsidR="00CD03E4" w:rsidRPr="009E2AF4" w:rsidRDefault="00CD03E4" w:rsidP="00CD03E4">
      <w:pPr>
        <w:spacing w:after="0" w:line="480" w:lineRule="auto"/>
        <w:ind w:firstLine="1304"/>
        <w:rPr>
          <w:sz w:val="24"/>
          <w:szCs w:val="24"/>
          <w:lang w:val="en-US"/>
        </w:rPr>
      </w:pPr>
      <w:r w:rsidRPr="009E2AF4">
        <w:rPr>
          <w:sz w:val="24"/>
          <w:szCs w:val="24"/>
          <w:lang w:val="en-US"/>
        </w:rPr>
        <w:t xml:space="preserve">For feeder-free culture on truncated recombinant human vitronectin (VTN-N, Gibco, </w:t>
      </w:r>
      <w:proofErr w:type="gramStart"/>
      <w:r w:rsidRPr="009E2AF4">
        <w:rPr>
          <w:sz w:val="24"/>
          <w:szCs w:val="24"/>
          <w:lang w:val="en-US"/>
        </w:rPr>
        <w:t>Thermo</w:t>
      </w:r>
      <w:proofErr w:type="gramEnd"/>
      <w:r w:rsidRPr="009E2AF4">
        <w:rPr>
          <w:sz w:val="24"/>
          <w:szCs w:val="24"/>
          <w:lang w:val="en-US"/>
        </w:rPr>
        <w:t xml:space="preserve"> Fisher Scientific), hESC1 line and hiPSC3 line were transferred from hFF feeder cells as described above. Corning® CellBIND® 6-well culture plates were coated with 0.5 µg/cm</w:t>
      </w:r>
      <w:r w:rsidRPr="009E2AF4">
        <w:rPr>
          <w:sz w:val="24"/>
          <w:szCs w:val="24"/>
          <w:vertAlign w:val="superscript"/>
          <w:lang w:val="en-US"/>
        </w:rPr>
        <w:t>2</w:t>
      </w:r>
      <w:r w:rsidRPr="009E2AF4">
        <w:rPr>
          <w:sz w:val="24"/>
          <w:szCs w:val="24"/>
          <w:lang w:val="en-US"/>
        </w:rPr>
        <w:t xml:space="preserve"> VTN-N diluted in 1xDPBS without Ca</w:t>
      </w:r>
      <w:r w:rsidRPr="009E2AF4">
        <w:rPr>
          <w:sz w:val="24"/>
          <w:szCs w:val="24"/>
          <w:vertAlign w:val="superscript"/>
          <w:lang w:val="en-US"/>
        </w:rPr>
        <w:t>2+</w:t>
      </w:r>
      <w:r w:rsidRPr="009E2AF4">
        <w:rPr>
          <w:sz w:val="24"/>
          <w:szCs w:val="24"/>
          <w:lang w:val="en-US"/>
        </w:rPr>
        <w:t xml:space="preserve"> and Mg</w:t>
      </w:r>
      <w:r w:rsidRPr="009E2AF4">
        <w:rPr>
          <w:sz w:val="24"/>
          <w:szCs w:val="24"/>
          <w:vertAlign w:val="superscript"/>
          <w:lang w:val="en-US"/>
        </w:rPr>
        <w:t>2+</w:t>
      </w:r>
      <w:r w:rsidRPr="009E2AF4">
        <w:rPr>
          <w:sz w:val="24"/>
          <w:szCs w:val="24"/>
          <w:lang w:val="en-US"/>
        </w:rPr>
        <w:t xml:space="preserve"> (Gibco, Thermo Fisher Scientific) for 1 hour at RT, as instructed by manufacturer. Passaging was done at approximately 85% confluency by cluster </w:t>
      </w:r>
      <w:r w:rsidRPr="009E2AF4">
        <w:rPr>
          <w:sz w:val="24"/>
          <w:szCs w:val="24"/>
          <w:lang w:val="en-US"/>
        </w:rPr>
        <w:lastRenderedPageBreak/>
        <w:t xml:space="preserve">passaging with </w:t>
      </w:r>
      <w:proofErr w:type="spellStart"/>
      <w:r w:rsidRPr="009E2AF4">
        <w:rPr>
          <w:sz w:val="24"/>
          <w:szCs w:val="24"/>
          <w:lang w:val="en-US"/>
        </w:rPr>
        <w:t>UltraPure</w:t>
      </w:r>
      <w:proofErr w:type="spellEnd"/>
      <w:r w:rsidRPr="009E2AF4">
        <w:rPr>
          <w:sz w:val="24"/>
          <w:szCs w:val="24"/>
          <w:lang w:val="en-US"/>
        </w:rPr>
        <w:t xml:space="preserve">™ 0.5 M EDTA, pH 8.0 (Invitrogen, Thermo Fisher Scientific) as instructed by the supplier. EDTA was incubated </w:t>
      </w:r>
      <w:r w:rsidR="00321D97" w:rsidRPr="009E2AF4">
        <w:rPr>
          <w:sz w:val="24"/>
          <w:szCs w:val="24"/>
          <w:lang w:val="en-US"/>
        </w:rPr>
        <w:t xml:space="preserve">on cells </w:t>
      </w:r>
      <w:r w:rsidRPr="009E2AF4">
        <w:rPr>
          <w:sz w:val="24"/>
          <w:szCs w:val="24"/>
          <w:lang w:val="en-US"/>
        </w:rPr>
        <w:t>for 5-8 min at RT, removed from the cells as colonies began to round up, and cells</w:t>
      </w:r>
      <w:r w:rsidR="00321D97" w:rsidRPr="009E2AF4">
        <w:rPr>
          <w:sz w:val="24"/>
          <w:szCs w:val="24"/>
          <w:lang w:val="en-US"/>
        </w:rPr>
        <w:t xml:space="preserve"> dislodged</w:t>
      </w:r>
      <w:r w:rsidRPr="009E2AF4">
        <w:rPr>
          <w:sz w:val="24"/>
          <w:szCs w:val="24"/>
          <w:lang w:val="en-US"/>
        </w:rPr>
        <w:t xml:space="preserve"> to fresh E8 medium by gently pipetting with a 5 ml pipette. Cells were passaged every 4-6 days and if in excess, colonies with differentiated morphology were removed before passaging. A varying split ratio of 1:6 – 1:10 depending on the density of the colonies </w:t>
      </w:r>
      <w:proofErr w:type="gramStart"/>
      <w:r w:rsidRPr="009E2AF4">
        <w:rPr>
          <w:sz w:val="24"/>
          <w:szCs w:val="24"/>
          <w:lang w:val="en-US"/>
        </w:rPr>
        <w:t>was</w:t>
      </w:r>
      <w:proofErr w:type="gramEnd"/>
      <w:r w:rsidRPr="009E2AF4">
        <w:rPr>
          <w:sz w:val="24"/>
          <w:szCs w:val="24"/>
          <w:lang w:val="en-US"/>
        </w:rPr>
        <w:t xml:space="preserve"> used.  </w:t>
      </w:r>
    </w:p>
    <w:p w14:paraId="7DDE4BB0" w14:textId="77777777" w:rsidR="00CD03E4" w:rsidRPr="009E2AF4" w:rsidRDefault="00CD03E4" w:rsidP="00CD03E4">
      <w:pPr>
        <w:spacing w:after="0" w:line="480" w:lineRule="auto"/>
        <w:ind w:firstLine="1304"/>
        <w:rPr>
          <w:sz w:val="24"/>
          <w:szCs w:val="24"/>
          <w:lang w:val="en-US"/>
        </w:rPr>
      </w:pPr>
    </w:p>
    <w:p w14:paraId="540A8806" w14:textId="2986D1DF" w:rsidR="00CD03E4" w:rsidRPr="009E2AF4" w:rsidRDefault="00CD03E4" w:rsidP="00CD03E4">
      <w:pPr>
        <w:spacing w:after="160" w:line="480" w:lineRule="auto"/>
        <w:rPr>
          <w:b/>
          <w:sz w:val="24"/>
          <w:szCs w:val="24"/>
          <w:lang w:val="en-US"/>
        </w:rPr>
      </w:pPr>
      <w:r w:rsidRPr="009E2AF4">
        <w:rPr>
          <w:b/>
          <w:sz w:val="24"/>
          <w:szCs w:val="24"/>
          <w:lang w:val="en-US"/>
        </w:rPr>
        <w:t>Pluripotent Stem Cell Characterizations</w:t>
      </w:r>
    </w:p>
    <w:p w14:paraId="08C2F1DB" w14:textId="77777777" w:rsidR="0040521F" w:rsidRPr="009E2AF4" w:rsidRDefault="00CD03E4" w:rsidP="00CD03E4">
      <w:pPr>
        <w:spacing w:after="160" w:line="480" w:lineRule="auto"/>
        <w:rPr>
          <w:sz w:val="24"/>
          <w:szCs w:val="24"/>
          <w:lang w:val="en-US"/>
        </w:rPr>
      </w:pPr>
      <w:r w:rsidRPr="009E2AF4">
        <w:rPr>
          <w:sz w:val="24"/>
          <w:szCs w:val="24"/>
          <w:lang w:val="en-US"/>
        </w:rPr>
        <w:t xml:space="preserve">Human PSCs were continuously monitored for attachment, growth, and morphology with Nikon Eclipse TE2000-S phase contrast microscope (Nikon Instruments Europe B.V. Amstelveen, Netherlands). </w:t>
      </w:r>
    </w:p>
    <w:p w14:paraId="63CE36F3" w14:textId="77777777" w:rsidR="0040521F" w:rsidRPr="009E2AF4" w:rsidRDefault="0040521F" w:rsidP="0040521F">
      <w:pPr>
        <w:spacing w:after="0" w:line="480" w:lineRule="auto"/>
        <w:rPr>
          <w:b/>
          <w:sz w:val="24"/>
          <w:szCs w:val="24"/>
          <w:lang w:val="en-US"/>
        </w:rPr>
      </w:pPr>
      <w:r w:rsidRPr="009E2AF4">
        <w:rPr>
          <w:b/>
          <w:i/>
          <w:sz w:val="24"/>
          <w:szCs w:val="24"/>
          <w:lang w:val="en-US"/>
        </w:rPr>
        <w:t>Immunofluorescence</w:t>
      </w:r>
    </w:p>
    <w:p w14:paraId="331131C3" w14:textId="04B8D0AF" w:rsidR="00CD03E4" w:rsidRPr="009E2AF4" w:rsidRDefault="00CD03E4" w:rsidP="00CD03E4">
      <w:pPr>
        <w:spacing w:after="160" w:line="480" w:lineRule="auto"/>
        <w:rPr>
          <w:sz w:val="24"/>
          <w:szCs w:val="24"/>
          <w:lang w:val="en-US"/>
        </w:rPr>
      </w:pPr>
      <w:r w:rsidRPr="009E2AF4">
        <w:rPr>
          <w:sz w:val="24"/>
          <w:szCs w:val="24"/>
          <w:lang w:val="en-US"/>
        </w:rPr>
        <w:t>Immunofluorescence labeling for pluripotency markers were done as previously described</w:t>
      </w:r>
      <w:r w:rsidR="007656FD" w:rsidRPr="009E2AF4">
        <w:rPr>
          <w:sz w:val="24"/>
          <w:szCs w:val="24"/>
          <w:lang w:val="en-US"/>
        </w:rPr>
        <w:t xml:space="preserve"> </w:t>
      </w:r>
      <w:sdt>
        <w:sdtPr>
          <w:rPr>
            <w:sz w:val="24"/>
            <w:szCs w:val="24"/>
            <w:lang w:val="en-US"/>
          </w:rPr>
          <w:id w:val="713617814"/>
          <w:placeholder>
            <w:docPart w:val="3FB40D6B72DE4BE5AB271ED702CDA638"/>
          </w:placeholder>
        </w:sdtPr>
        <w:sdtEndPr/>
        <w:sdtContent>
          <w:r w:rsidR="004D42CB" w:rsidRPr="009E2AF4">
            <w:rPr>
              <w:sz w:val="24"/>
              <w:szCs w:val="24"/>
              <w:lang w:val="en-US"/>
            </w:rPr>
            <w:t>[1]</w:t>
          </w:r>
        </w:sdtContent>
      </w:sdt>
      <w:r w:rsidRPr="009E2AF4">
        <w:rPr>
          <w:sz w:val="24"/>
          <w:szCs w:val="24"/>
          <w:lang w:val="en-US"/>
        </w:rPr>
        <w:t xml:space="preserve"> using the following antibodies: NANOG (1:200, R&amp;D Systems, AF1997) OCT-3/4 (1:200, R&amp;D Systems, AF1759), SSEA-3 (1:600</w:t>
      </w:r>
      <w:r w:rsidRPr="009E2AF4">
        <w:rPr>
          <w:lang w:val="en-US"/>
        </w:rPr>
        <w:t xml:space="preserve">, </w:t>
      </w:r>
      <w:r w:rsidRPr="009E2AF4">
        <w:rPr>
          <w:sz w:val="24"/>
          <w:szCs w:val="24"/>
          <w:lang w:val="en-US"/>
        </w:rPr>
        <w:t>R&amp;D Systems,</w:t>
      </w:r>
      <w:r w:rsidRPr="009E2AF4">
        <w:rPr>
          <w:lang w:val="en-US"/>
        </w:rPr>
        <w:t xml:space="preserve"> </w:t>
      </w:r>
      <w:r w:rsidRPr="009E2AF4">
        <w:rPr>
          <w:sz w:val="24"/>
          <w:szCs w:val="24"/>
          <w:lang w:val="en-US"/>
        </w:rPr>
        <w:t>MAB1434), SSEA-4 (1:200, R&amp;D Systems,</w:t>
      </w:r>
      <w:r w:rsidRPr="009E2AF4">
        <w:rPr>
          <w:lang w:val="en-US"/>
        </w:rPr>
        <w:t xml:space="preserve"> </w:t>
      </w:r>
      <w:r w:rsidRPr="009E2AF4">
        <w:rPr>
          <w:sz w:val="24"/>
          <w:szCs w:val="24"/>
          <w:lang w:val="en-US"/>
        </w:rPr>
        <w:t>MAB1435), TRA-1-60 (1:200, Millipore, MAB4360), TRA-1-81 (1:200, Santa Cruz Biotechnology SC-21706), LIN-28 (1:400, ThermoFisher Scientific, MA1-016), and SSEA-1 (1:200, Santa Cruz Biotechnology, SC-21702). Appropriate Alexa Fluor 488- or 568-conjugated secondary antibodies: 1:800 donkey anti-goat IgG (A11055, A11057), goat anti-Mouse IgM (A21042), donkey</w:t>
      </w:r>
      <w:r w:rsidRPr="009E2AF4">
        <w:rPr>
          <w:lang w:val="en-US"/>
        </w:rPr>
        <w:t xml:space="preserve"> </w:t>
      </w:r>
      <w:r w:rsidRPr="009E2AF4">
        <w:rPr>
          <w:sz w:val="24"/>
          <w:szCs w:val="24"/>
          <w:lang w:val="en-US"/>
        </w:rPr>
        <w:t>anti-mouse Ig (A21202, A10037</w:t>
      </w:r>
      <w:proofErr w:type="gramStart"/>
      <w:r w:rsidRPr="009E2AF4">
        <w:rPr>
          <w:sz w:val="24"/>
          <w:szCs w:val="24"/>
          <w:lang w:val="en-US"/>
        </w:rPr>
        <w:t>)(</w:t>
      </w:r>
      <w:proofErr w:type="gramEnd"/>
      <w:r w:rsidRPr="009E2AF4">
        <w:rPr>
          <w:sz w:val="24"/>
          <w:szCs w:val="24"/>
          <w:lang w:val="en-US"/>
        </w:rPr>
        <w:t xml:space="preserve">all from Thermo Fisher Scientific), and 1:400 FITC-conjugated Goat anti-Rat IgM (7102, Novus Biologicals) were used. Nuclei were counterstained with 4´, 6´ diamidino-2-phenylidole (DAPI) included in the VECTASHIELD™ Mounting Medium (Vector Laboratories Inc., </w:t>
      </w:r>
      <w:r w:rsidRPr="009E2AF4">
        <w:rPr>
          <w:sz w:val="24"/>
          <w:szCs w:val="24"/>
          <w:lang w:val="en-US"/>
        </w:rPr>
        <w:lastRenderedPageBreak/>
        <w:t xml:space="preserve">Burlingame, CA). Images were acquired with Olympus IX51 phase contrast microscope with fluorescence optics and Olympus DP30BW camera (Olympus Corporation, Tokyo, Japan). </w:t>
      </w:r>
    </w:p>
    <w:p w14:paraId="35AEC8AD" w14:textId="77777777" w:rsidR="00CD03E4" w:rsidRPr="009E2AF4" w:rsidRDefault="00CD03E4" w:rsidP="00CD03E4">
      <w:pPr>
        <w:spacing w:after="0" w:line="480" w:lineRule="auto"/>
        <w:rPr>
          <w:b/>
          <w:i/>
          <w:sz w:val="24"/>
          <w:szCs w:val="24"/>
          <w:lang w:val="en-US"/>
        </w:rPr>
      </w:pPr>
      <w:r w:rsidRPr="009E2AF4">
        <w:rPr>
          <w:b/>
          <w:i/>
          <w:sz w:val="24"/>
          <w:szCs w:val="24"/>
          <w:lang w:val="en-US"/>
        </w:rPr>
        <w:t xml:space="preserve">Flow Cytometry </w:t>
      </w:r>
    </w:p>
    <w:p w14:paraId="0D556F97" w14:textId="5786F4DA" w:rsidR="00CD03E4" w:rsidRPr="009E2AF4" w:rsidRDefault="00CD03E4" w:rsidP="00CD03E4">
      <w:pPr>
        <w:spacing w:after="160" w:line="480" w:lineRule="auto"/>
        <w:rPr>
          <w:sz w:val="24"/>
          <w:szCs w:val="24"/>
          <w:lang w:val="en-US"/>
        </w:rPr>
      </w:pPr>
      <w:r w:rsidRPr="009E2AF4">
        <w:rPr>
          <w:sz w:val="24"/>
          <w:szCs w:val="24"/>
          <w:lang w:val="en-US"/>
        </w:rPr>
        <w:t xml:space="preserve">Flow cytometry analysis was performed for hESC1 cultured for 12 passages on </w:t>
      </w:r>
      <w:r w:rsidR="00B266A2" w:rsidRPr="009E2AF4">
        <w:rPr>
          <w:sz w:val="24"/>
          <w:szCs w:val="24"/>
          <w:lang w:val="en-US"/>
        </w:rPr>
        <w:t>LN-521</w:t>
      </w:r>
      <w:r w:rsidRPr="009E2AF4">
        <w:rPr>
          <w:sz w:val="24"/>
          <w:szCs w:val="24"/>
          <w:lang w:val="en-US"/>
        </w:rPr>
        <w:t xml:space="preserve"> in E8 medium and the same cell line cultured on hFF feeder cells in standard hESC medium for 46 passages. The colonies used for flowcytometry had an undifferentiated morphology. Cells were dissociated with TrypLE™ Select Enzyme and counted with a </w:t>
      </w:r>
      <w:proofErr w:type="spellStart"/>
      <w:r w:rsidRPr="009E2AF4">
        <w:rPr>
          <w:sz w:val="24"/>
          <w:szCs w:val="24"/>
          <w:lang w:val="en-US"/>
        </w:rPr>
        <w:t>hemocytometer</w:t>
      </w:r>
      <w:proofErr w:type="spellEnd"/>
      <w:r w:rsidRPr="009E2AF4">
        <w:rPr>
          <w:sz w:val="24"/>
          <w:szCs w:val="24"/>
          <w:lang w:val="en-US"/>
        </w:rPr>
        <w:t xml:space="preserve"> using </w:t>
      </w:r>
      <w:proofErr w:type="spellStart"/>
      <w:r w:rsidRPr="009E2AF4">
        <w:rPr>
          <w:sz w:val="24"/>
          <w:szCs w:val="24"/>
          <w:lang w:val="en-US"/>
        </w:rPr>
        <w:t>trypan</w:t>
      </w:r>
      <w:proofErr w:type="spellEnd"/>
      <w:r w:rsidRPr="009E2AF4">
        <w:rPr>
          <w:sz w:val="24"/>
          <w:szCs w:val="24"/>
          <w:lang w:val="en-US"/>
        </w:rPr>
        <w:t xml:space="preserve"> blue exclusion. For SSEA-4 labeling, 1x10</w:t>
      </w:r>
      <w:r w:rsidRPr="009E2AF4">
        <w:rPr>
          <w:sz w:val="24"/>
          <w:szCs w:val="24"/>
          <w:vertAlign w:val="superscript"/>
          <w:lang w:val="en-US"/>
        </w:rPr>
        <w:t>5</w:t>
      </w:r>
      <w:r w:rsidRPr="009E2AF4">
        <w:rPr>
          <w:sz w:val="24"/>
          <w:szCs w:val="24"/>
          <w:lang w:val="en-US"/>
        </w:rPr>
        <w:t xml:space="preserve"> cells per sample were washed twice with FACS buffer containing 0.5% BSA (Sigma-Aldrich) and 0.01% NaN</w:t>
      </w:r>
      <w:r w:rsidRPr="009E2AF4">
        <w:rPr>
          <w:sz w:val="24"/>
          <w:szCs w:val="24"/>
          <w:vertAlign w:val="subscript"/>
          <w:lang w:val="en-US"/>
        </w:rPr>
        <w:t>3</w:t>
      </w:r>
      <w:r w:rsidRPr="009E2AF4">
        <w:rPr>
          <w:sz w:val="24"/>
          <w:szCs w:val="24"/>
          <w:lang w:val="en-US"/>
        </w:rPr>
        <w:t xml:space="preserve"> (Sigma-Aldrich) in DPBS, and labeled with 8 µl PE-conjugated mouse anti-SSEA-4 (BD Biosciences, 560128) or PE-conjugated mouse IgG3 κ Isotype Control (BD Biosciences, 559926), for 30 min on ice. Cells for negative samples were treated similarly, but not labeled. The cells were washed twice and analyzed in FACS buffer. For OCT-3/4 labeling, the cells were fixed with 4% paraformaldehyde (PFA) for 10 min at RT, washed twice with SAP buffer containing 0.1% </w:t>
      </w:r>
      <w:proofErr w:type="spellStart"/>
      <w:r w:rsidRPr="009E2AF4">
        <w:rPr>
          <w:sz w:val="24"/>
          <w:szCs w:val="24"/>
          <w:lang w:val="en-US"/>
        </w:rPr>
        <w:t>Saponin</w:t>
      </w:r>
      <w:proofErr w:type="spellEnd"/>
      <w:r w:rsidRPr="009E2AF4">
        <w:rPr>
          <w:sz w:val="24"/>
          <w:szCs w:val="24"/>
          <w:lang w:val="en-US"/>
        </w:rPr>
        <w:t xml:space="preserve"> (Sigma-Aldrich) and 0.05% NaN</w:t>
      </w:r>
      <w:r w:rsidRPr="009E2AF4">
        <w:rPr>
          <w:sz w:val="24"/>
          <w:szCs w:val="24"/>
          <w:vertAlign w:val="subscript"/>
          <w:lang w:val="en-US"/>
        </w:rPr>
        <w:t>3</w:t>
      </w:r>
      <w:r w:rsidRPr="009E2AF4">
        <w:rPr>
          <w:sz w:val="24"/>
          <w:szCs w:val="24"/>
          <w:lang w:val="en-US"/>
        </w:rPr>
        <w:t xml:space="preserve"> in DPBS, labeled with 10 µl PE-conjugated mouse anti-OCT3/4 (Human Isoform A, BD Biosciences, 561556) or PE-conjugated mouse IgG κ Isotype Control (BD Biosciences, 554680), for 30 minutes at RT, washed and analyzed in SAP buffer. All samples were analyzed with BD </w:t>
      </w:r>
      <w:proofErr w:type="spellStart"/>
      <w:r w:rsidRPr="009E2AF4">
        <w:rPr>
          <w:sz w:val="24"/>
          <w:szCs w:val="24"/>
          <w:lang w:val="en-US"/>
        </w:rPr>
        <w:t>Accuri</w:t>
      </w:r>
      <w:proofErr w:type="spellEnd"/>
      <w:r w:rsidRPr="009E2AF4">
        <w:rPr>
          <w:sz w:val="24"/>
          <w:szCs w:val="24"/>
          <w:lang w:val="en-US"/>
        </w:rPr>
        <w:t xml:space="preserve"> C6 Flow Cytometer and software (BD Biosciences) with acquisition set to at least 10 000 events per sample and gating performed with the unlabeled sample. </w:t>
      </w:r>
    </w:p>
    <w:p w14:paraId="113D5BC1" w14:textId="0CA99B6C" w:rsidR="00CD03E4" w:rsidRPr="009E2AF4" w:rsidRDefault="00CD03E4" w:rsidP="00CD03E4">
      <w:pPr>
        <w:spacing w:after="0" w:line="480" w:lineRule="auto"/>
        <w:rPr>
          <w:b/>
          <w:i/>
          <w:sz w:val="24"/>
          <w:szCs w:val="24"/>
          <w:lang w:val="en-US"/>
        </w:rPr>
      </w:pPr>
      <w:r w:rsidRPr="009E2AF4">
        <w:rPr>
          <w:b/>
          <w:i/>
          <w:sz w:val="24"/>
          <w:szCs w:val="24"/>
          <w:lang w:val="en-US"/>
        </w:rPr>
        <w:t>In Vitro Pluripotency Assay</w:t>
      </w:r>
    </w:p>
    <w:p w14:paraId="79F5A778" w14:textId="6E2C8DB3" w:rsidR="00CD03E4" w:rsidRPr="009E2AF4" w:rsidRDefault="00CD03E4" w:rsidP="00CD03E4">
      <w:pPr>
        <w:spacing w:after="0" w:line="480" w:lineRule="auto"/>
        <w:rPr>
          <w:sz w:val="24"/>
          <w:szCs w:val="24"/>
          <w:lang w:val="en-US"/>
        </w:rPr>
      </w:pPr>
      <w:r w:rsidRPr="009E2AF4">
        <w:rPr>
          <w:sz w:val="24"/>
          <w:szCs w:val="24"/>
          <w:lang w:val="en-US"/>
        </w:rPr>
        <w:t xml:space="preserve">Human PSC pluripotency was verified by spontaneous differentiation as EBs, followed by immunofluorescence labeling for derivative cells of the three embryonic germ lineages. Cells were detached either with TrypLE™ Select Enzyme or by manual scraping, and transferred to Corning® </w:t>
      </w:r>
      <w:r w:rsidRPr="009E2AF4">
        <w:rPr>
          <w:sz w:val="24"/>
          <w:szCs w:val="24"/>
          <w:lang w:val="en-US"/>
        </w:rPr>
        <w:lastRenderedPageBreak/>
        <w:t xml:space="preserve">Costar® Ultra-Low attachment plates in EB-medium: KnockOut™ DMEM supplemented with 10% fetal bovine serum (FBS, Gibco, Thermo Fisher Scientific), 2 mM GlutaMAX™ Supplement, 0.1 mM 2-Mercaptoethanol, 1% MEM Non-Essential Amino Acids Solution, and 50 U/ml Penicillin-Streptomycin. Blebbistatin (5-10 µM) was added for the first 24 h. EB-medium was changed the following day and three times a week there after. After about 14 days of differentiation, the EBs were plated onto VTN-N or </w:t>
      </w:r>
      <w:r w:rsidR="00B266A2" w:rsidRPr="009E2AF4">
        <w:rPr>
          <w:sz w:val="24"/>
          <w:szCs w:val="24"/>
          <w:lang w:val="en-US"/>
        </w:rPr>
        <w:t>LN-521</w:t>
      </w:r>
      <w:r w:rsidRPr="009E2AF4">
        <w:rPr>
          <w:sz w:val="24"/>
          <w:szCs w:val="24"/>
          <w:lang w:val="en-US"/>
        </w:rPr>
        <w:t xml:space="preserve"> coated plates and cultured for 7 days. The cells were then washed, fixed with 4% PFA and labeled similarly to undifferentiated hPSCs as described in </w:t>
      </w:r>
      <w:sdt>
        <w:sdtPr>
          <w:rPr>
            <w:sz w:val="24"/>
            <w:szCs w:val="24"/>
            <w:lang w:val="en-US"/>
          </w:rPr>
          <w:id w:val="433941864"/>
          <w:placeholder>
            <w:docPart w:val="02EAA0B388D146B9A754B44B0BCFE510"/>
          </w:placeholder>
        </w:sdtPr>
        <w:sdtEndPr/>
        <w:sdtContent>
          <w:r w:rsidR="004D42CB" w:rsidRPr="009E2AF4">
            <w:rPr>
              <w:sz w:val="24"/>
              <w:szCs w:val="24"/>
              <w:lang w:val="en-US"/>
            </w:rPr>
            <w:t>[1]</w:t>
          </w:r>
        </w:sdtContent>
      </w:sdt>
      <w:r w:rsidR="007656FD" w:rsidRPr="009E2AF4">
        <w:rPr>
          <w:sz w:val="24"/>
          <w:szCs w:val="24"/>
          <w:lang w:val="en-US"/>
        </w:rPr>
        <w:t>.</w:t>
      </w:r>
      <w:r w:rsidRPr="009E2AF4">
        <w:rPr>
          <w:sz w:val="24"/>
          <w:szCs w:val="24"/>
          <w:lang w:val="en-US"/>
        </w:rPr>
        <w:t xml:space="preserve"> Following</w:t>
      </w:r>
      <w:r w:rsidR="005C3F74" w:rsidRPr="009E2AF4">
        <w:rPr>
          <w:sz w:val="24"/>
          <w:szCs w:val="24"/>
          <w:lang w:val="en-US"/>
        </w:rPr>
        <w:t xml:space="preserve"> primary</w:t>
      </w:r>
      <w:r w:rsidRPr="009E2AF4">
        <w:rPr>
          <w:sz w:val="24"/>
          <w:szCs w:val="24"/>
          <w:lang w:val="en-US"/>
        </w:rPr>
        <w:t xml:space="preserve"> antibodies were used: alpha-smooth muscle actin (SMA, 1:400, R&amp;D Systems, MAB1420) for mesoderm, alpha-fetoprotein (AFP, 1:200</w:t>
      </w:r>
      <w:r w:rsidRPr="009E2AF4">
        <w:rPr>
          <w:lang w:val="en-US"/>
        </w:rPr>
        <w:t xml:space="preserve">, </w:t>
      </w:r>
      <w:r w:rsidRPr="009E2AF4">
        <w:rPr>
          <w:sz w:val="24"/>
          <w:szCs w:val="24"/>
          <w:lang w:val="en-US"/>
        </w:rPr>
        <w:t xml:space="preserve">R&amp;D Systems MAB1369) or SOX17 (1:200, R&amp;D Systems, AF1924) for endoderm, and </w:t>
      </w:r>
      <w:proofErr w:type="spellStart"/>
      <w:r w:rsidRPr="009E2AF4">
        <w:rPr>
          <w:sz w:val="24"/>
          <w:szCs w:val="24"/>
          <w:lang w:val="en-US"/>
        </w:rPr>
        <w:t>nestin</w:t>
      </w:r>
      <w:proofErr w:type="spellEnd"/>
      <w:r w:rsidRPr="009E2AF4">
        <w:rPr>
          <w:sz w:val="24"/>
          <w:szCs w:val="24"/>
          <w:lang w:val="en-US"/>
        </w:rPr>
        <w:t xml:space="preserve"> clone 10C2 (1:1000, Merck Millipore, MAB5326) or OTX2 (1:200, R&amp;D Systems, AF1979) for ectoderm. Primary antibodies were omitted for secondary controls. Images were acquired with Olympus IX51 microscope. </w:t>
      </w:r>
    </w:p>
    <w:p w14:paraId="4327D0E5" w14:textId="495C2C8B" w:rsidR="00CD03E4" w:rsidRPr="009E2AF4" w:rsidRDefault="00CD03E4" w:rsidP="00CD03E4">
      <w:pPr>
        <w:spacing w:after="0" w:line="480" w:lineRule="auto"/>
        <w:rPr>
          <w:b/>
          <w:i/>
          <w:sz w:val="24"/>
          <w:szCs w:val="24"/>
          <w:lang w:val="en-US"/>
        </w:rPr>
      </w:pPr>
      <w:r w:rsidRPr="009E2AF4">
        <w:rPr>
          <w:b/>
          <w:i/>
          <w:sz w:val="24"/>
          <w:szCs w:val="24"/>
          <w:lang w:val="en-US"/>
        </w:rPr>
        <w:t>Karyotyping</w:t>
      </w:r>
    </w:p>
    <w:p w14:paraId="6985B928" w14:textId="48D614E1" w:rsidR="00CD03E4" w:rsidRPr="009E2AF4" w:rsidRDefault="00CD03E4" w:rsidP="00CD03E4">
      <w:pPr>
        <w:spacing w:after="160" w:line="480" w:lineRule="auto"/>
        <w:rPr>
          <w:sz w:val="24"/>
          <w:szCs w:val="24"/>
          <w:lang w:val="en-US"/>
        </w:rPr>
      </w:pPr>
      <w:r w:rsidRPr="009E2AF4">
        <w:rPr>
          <w:sz w:val="24"/>
          <w:szCs w:val="24"/>
          <w:lang w:val="en-US"/>
        </w:rPr>
        <w:t xml:space="preserve">Karyotyping was performed at Finnish Microarray and Sequencing Centre (FMSC), Turku Centre for Biotechnology with the </w:t>
      </w:r>
      <w:proofErr w:type="spellStart"/>
      <w:r w:rsidRPr="009E2AF4">
        <w:rPr>
          <w:sz w:val="24"/>
          <w:szCs w:val="24"/>
          <w:lang w:val="en-US"/>
        </w:rPr>
        <w:t>KaryoLite</w:t>
      </w:r>
      <w:proofErr w:type="spellEnd"/>
      <w:r w:rsidRPr="009E2AF4">
        <w:rPr>
          <w:sz w:val="24"/>
          <w:szCs w:val="24"/>
          <w:lang w:val="en-US"/>
        </w:rPr>
        <w:t xml:space="preserve"> </w:t>
      </w:r>
      <w:proofErr w:type="spellStart"/>
      <w:r w:rsidRPr="009E2AF4">
        <w:rPr>
          <w:sz w:val="24"/>
          <w:szCs w:val="24"/>
          <w:lang w:val="en-US"/>
        </w:rPr>
        <w:t>BoBs</w:t>
      </w:r>
      <w:proofErr w:type="spellEnd"/>
      <w:r w:rsidRPr="009E2AF4">
        <w:rPr>
          <w:sz w:val="24"/>
          <w:szCs w:val="24"/>
          <w:lang w:val="en-US"/>
        </w:rPr>
        <w:t xml:space="preserve"> </w:t>
      </w:r>
      <w:proofErr w:type="gramStart"/>
      <w:r w:rsidRPr="009E2AF4">
        <w:rPr>
          <w:sz w:val="24"/>
          <w:szCs w:val="24"/>
          <w:lang w:val="en-US"/>
        </w:rPr>
        <w:t>assay</w:t>
      </w:r>
      <w:proofErr w:type="gramEnd"/>
      <w:r w:rsidRPr="009E2AF4">
        <w:rPr>
          <w:sz w:val="24"/>
          <w:szCs w:val="24"/>
          <w:lang w:val="en-US"/>
        </w:rPr>
        <w:t xml:space="preserve"> (Perkin Elmer). </w:t>
      </w:r>
    </w:p>
    <w:p w14:paraId="4A1D16D0" w14:textId="77777777" w:rsidR="00CD03E4" w:rsidRPr="009E2AF4" w:rsidRDefault="00CD03E4" w:rsidP="00CD03E4">
      <w:pPr>
        <w:spacing w:after="0" w:line="480" w:lineRule="auto"/>
        <w:rPr>
          <w:b/>
          <w:sz w:val="24"/>
          <w:szCs w:val="24"/>
          <w:lang w:val="en-US"/>
        </w:rPr>
      </w:pPr>
    </w:p>
    <w:p w14:paraId="5900F6E3" w14:textId="77777777" w:rsidR="00CD03E4" w:rsidRPr="009E2AF4" w:rsidRDefault="00CD03E4" w:rsidP="00CD03E4">
      <w:pPr>
        <w:spacing w:after="0" w:line="480" w:lineRule="auto"/>
        <w:rPr>
          <w:b/>
          <w:sz w:val="24"/>
          <w:szCs w:val="24"/>
          <w:lang w:val="en-US"/>
        </w:rPr>
      </w:pPr>
      <w:r w:rsidRPr="009E2AF4">
        <w:rPr>
          <w:b/>
          <w:sz w:val="24"/>
          <w:szCs w:val="24"/>
          <w:lang w:val="en-US"/>
        </w:rPr>
        <w:t xml:space="preserve">Differentiation to Ocular Cells  </w:t>
      </w:r>
    </w:p>
    <w:p w14:paraId="150C4DB1" w14:textId="2F008BAD" w:rsidR="00CD03E4" w:rsidRPr="009E2AF4" w:rsidRDefault="00CD03E4" w:rsidP="00CD03E4">
      <w:pPr>
        <w:spacing w:after="0" w:line="480" w:lineRule="auto"/>
        <w:rPr>
          <w:sz w:val="24"/>
          <w:szCs w:val="24"/>
          <w:lang w:val="en-US"/>
        </w:rPr>
      </w:pPr>
      <w:r w:rsidRPr="009E2AF4">
        <w:rPr>
          <w:sz w:val="24"/>
          <w:szCs w:val="24"/>
          <w:lang w:val="en-US"/>
        </w:rPr>
        <w:t>Differentiation to ocular cells was performed by either manually detaching undifferentiated hPSCs with EDTA followed by gentle scraping with pipette tip, or enzymatically with TrypLE™ Select Enzyme. Diffe</w:t>
      </w:r>
      <w:r w:rsidR="00952D03" w:rsidRPr="009E2AF4">
        <w:rPr>
          <w:sz w:val="24"/>
          <w:szCs w:val="24"/>
          <w:lang w:val="en-US"/>
        </w:rPr>
        <w:t>rentiation was performed in XF-K</w:t>
      </w:r>
      <w:r w:rsidRPr="009E2AF4">
        <w:rPr>
          <w:sz w:val="24"/>
          <w:szCs w:val="24"/>
          <w:lang w:val="en-US"/>
        </w:rPr>
        <w:t xml:space="preserve">o-SR medium: KnockOut™ DMEM supplemented with 15% </w:t>
      </w:r>
      <w:proofErr w:type="spellStart"/>
      <w:r w:rsidRPr="009E2AF4">
        <w:rPr>
          <w:sz w:val="24"/>
          <w:szCs w:val="24"/>
          <w:lang w:val="en-US"/>
        </w:rPr>
        <w:t>KnockOut</w:t>
      </w:r>
      <w:proofErr w:type="spellEnd"/>
      <w:r w:rsidRPr="009E2AF4">
        <w:rPr>
          <w:sz w:val="24"/>
          <w:szCs w:val="24"/>
          <w:lang w:val="en-US"/>
        </w:rPr>
        <w:t xml:space="preserve">™ SR </w:t>
      </w:r>
      <w:proofErr w:type="spellStart"/>
      <w:r w:rsidRPr="009E2AF4">
        <w:rPr>
          <w:sz w:val="24"/>
          <w:szCs w:val="24"/>
          <w:lang w:val="en-US"/>
        </w:rPr>
        <w:t>XenoFree</w:t>
      </w:r>
      <w:proofErr w:type="spellEnd"/>
      <w:r w:rsidRPr="009E2AF4">
        <w:rPr>
          <w:sz w:val="24"/>
          <w:szCs w:val="24"/>
          <w:lang w:val="en-US"/>
        </w:rPr>
        <w:t xml:space="preserve"> CTS™, 2 </w:t>
      </w:r>
      <w:proofErr w:type="spellStart"/>
      <w:r w:rsidRPr="009E2AF4">
        <w:rPr>
          <w:sz w:val="24"/>
          <w:szCs w:val="24"/>
          <w:lang w:val="en-US"/>
        </w:rPr>
        <w:t>mM</w:t>
      </w:r>
      <w:proofErr w:type="spellEnd"/>
      <w:r w:rsidRPr="009E2AF4">
        <w:rPr>
          <w:sz w:val="24"/>
          <w:szCs w:val="24"/>
          <w:lang w:val="en-US"/>
        </w:rPr>
        <w:t xml:space="preserve"> GlutaMAX™, 0.1 mM 2-Mercaptoethanol, 1% MEM Non-Essential Amino Acids Solution, and 50 U/ml Penicillin-Streptomycin (all from Gibco, Thermo Fisher Scientific). Cells were plated onto Corning® Costar® Ultra-Low attachment plates to </w:t>
      </w:r>
      <w:r w:rsidRPr="009E2AF4">
        <w:rPr>
          <w:sz w:val="24"/>
          <w:szCs w:val="24"/>
          <w:lang w:val="en-US"/>
        </w:rPr>
        <w:lastRenderedPageBreak/>
        <w:t xml:space="preserve">induce embryoid body (EB) formation with 5 µM or 10 µM blebbistatin (Sigma-Aldrich) or Rock inhibitor Y-27632 </w:t>
      </w:r>
      <w:proofErr w:type="spellStart"/>
      <w:r w:rsidRPr="009E2AF4">
        <w:rPr>
          <w:sz w:val="24"/>
          <w:szCs w:val="24"/>
          <w:lang w:val="en-US"/>
        </w:rPr>
        <w:t>dihydrochloride</w:t>
      </w:r>
      <w:proofErr w:type="spellEnd"/>
      <w:r w:rsidRPr="009E2AF4">
        <w:rPr>
          <w:sz w:val="24"/>
          <w:szCs w:val="24"/>
          <w:lang w:val="en-US"/>
        </w:rPr>
        <w:t xml:space="preserve"> (R&amp;D Systems), overnight at +37°C. </w:t>
      </w:r>
    </w:p>
    <w:p w14:paraId="140D3002" w14:textId="77777777" w:rsidR="00CD03E4" w:rsidRPr="009E2AF4" w:rsidRDefault="00CD03E4" w:rsidP="00CD03E4">
      <w:pPr>
        <w:spacing w:after="0" w:line="480" w:lineRule="auto"/>
        <w:rPr>
          <w:b/>
          <w:i/>
          <w:sz w:val="24"/>
          <w:szCs w:val="24"/>
          <w:lang w:val="en-US"/>
        </w:rPr>
      </w:pPr>
    </w:p>
    <w:p w14:paraId="58F772C0" w14:textId="77777777" w:rsidR="00CD03E4" w:rsidRPr="009E2AF4" w:rsidRDefault="00CD03E4" w:rsidP="00CD03E4">
      <w:pPr>
        <w:spacing w:after="0" w:line="480" w:lineRule="auto"/>
        <w:rPr>
          <w:i/>
          <w:sz w:val="24"/>
          <w:szCs w:val="24"/>
          <w:lang w:val="en-US"/>
        </w:rPr>
      </w:pPr>
      <w:r w:rsidRPr="009E2AF4">
        <w:rPr>
          <w:b/>
          <w:i/>
          <w:sz w:val="24"/>
          <w:szCs w:val="24"/>
          <w:lang w:val="en-US"/>
        </w:rPr>
        <w:t xml:space="preserve">RPE Differentiation  </w:t>
      </w:r>
    </w:p>
    <w:p w14:paraId="27FA082B" w14:textId="04797B3B" w:rsidR="00CD03E4" w:rsidRPr="009E2AF4" w:rsidRDefault="00CD03E4" w:rsidP="00CD03E4">
      <w:pPr>
        <w:spacing w:after="0" w:line="480" w:lineRule="auto"/>
        <w:rPr>
          <w:sz w:val="24"/>
          <w:szCs w:val="24"/>
          <w:lang w:val="en-US"/>
        </w:rPr>
      </w:pPr>
      <w:r w:rsidRPr="009E2AF4">
        <w:rPr>
          <w:sz w:val="24"/>
          <w:szCs w:val="24"/>
          <w:lang w:val="en-US"/>
        </w:rPr>
        <w:t xml:space="preserve">The following day after EB formation, the medium was changed and </w:t>
      </w:r>
      <w:r w:rsidR="005C3F74" w:rsidRPr="009E2AF4">
        <w:rPr>
          <w:sz w:val="24"/>
          <w:szCs w:val="24"/>
          <w:lang w:val="en-US"/>
        </w:rPr>
        <w:t xml:space="preserve">neuroectodermal </w:t>
      </w:r>
      <w:r w:rsidRPr="009E2AF4">
        <w:rPr>
          <w:sz w:val="24"/>
          <w:szCs w:val="24"/>
          <w:lang w:val="en-US"/>
        </w:rPr>
        <w:t>small molecule induction added to half of the cells</w:t>
      </w:r>
      <w:r w:rsidR="005C3F74" w:rsidRPr="009E2AF4">
        <w:rPr>
          <w:sz w:val="24"/>
          <w:szCs w:val="24"/>
          <w:lang w:val="en-US"/>
        </w:rPr>
        <w:t xml:space="preserve"> (</w:t>
      </w:r>
      <w:r w:rsidRPr="009E2AF4">
        <w:rPr>
          <w:sz w:val="24"/>
          <w:szCs w:val="24"/>
          <w:lang w:val="en-US"/>
        </w:rPr>
        <w:t>+ ind.) while the other half underwent spontaneous differentiation</w:t>
      </w:r>
      <w:r w:rsidR="005C3F74" w:rsidRPr="009E2AF4">
        <w:rPr>
          <w:sz w:val="24"/>
          <w:szCs w:val="24"/>
          <w:lang w:val="en-US"/>
        </w:rPr>
        <w:t xml:space="preserve"> (- </w:t>
      </w:r>
      <w:proofErr w:type="gramStart"/>
      <w:r w:rsidR="005C3F74" w:rsidRPr="009E2AF4">
        <w:rPr>
          <w:sz w:val="24"/>
          <w:szCs w:val="24"/>
          <w:lang w:val="en-US"/>
        </w:rPr>
        <w:t>ind</w:t>
      </w:r>
      <w:proofErr w:type="gramEnd"/>
      <w:r w:rsidR="005C3F74" w:rsidRPr="009E2AF4">
        <w:rPr>
          <w:sz w:val="24"/>
          <w:szCs w:val="24"/>
          <w:lang w:val="en-US"/>
        </w:rPr>
        <w:t>.)</w:t>
      </w:r>
      <w:r w:rsidRPr="009E2AF4">
        <w:rPr>
          <w:sz w:val="24"/>
          <w:szCs w:val="24"/>
          <w:lang w:val="en-US"/>
        </w:rPr>
        <w:t>. 10 µM SB-505124 hydrochloride hydrate (Sigma-Aldrich) and 10 µM Wnt Antagonist II, IWP-2 (Merck Millipore) were used for neuroectodermal induction. During the 3-6 day induction period, the medium was changed daily. At day 4-6 of differentiation the cells were plated down to Corning® CellBIND® 12-well culture plates coated with 0.75 µg/cm</w:t>
      </w:r>
      <w:r w:rsidRPr="009E2AF4">
        <w:rPr>
          <w:sz w:val="24"/>
          <w:szCs w:val="24"/>
          <w:vertAlign w:val="superscript"/>
          <w:lang w:val="en-US"/>
        </w:rPr>
        <w:t>2</w:t>
      </w:r>
      <w:r w:rsidRPr="009E2AF4">
        <w:rPr>
          <w:sz w:val="24"/>
          <w:szCs w:val="24"/>
          <w:lang w:val="en-US"/>
        </w:rPr>
        <w:t xml:space="preserve"> </w:t>
      </w:r>
      <w:r w:rsidR="00B266A2" w:rsidRPr="009E2AF4">
        <w:rPr>
          <w:sz w:val="24"/>
          <w:szCs w:val="24"/>
          <w:lang w:val="en-US"/>
        </w:rPr>
        <w:t>LN-521</w:t>
      </w:r>
      <w:r w:rsidRPr="009E2AF4">
        <w:rPr>
          <w:sz w:val="24"/>
          <w:szCs w:val="24"/>
          <w:lang w:val="en-US"/>
        </w:rPr>
        <w:t xml:space="preserve"> and 10 µg/cm</w:t>
      </w:r>
      <w:r w:rsidRPr="009E2AF4">
        <w:rPr>
          <w:sz w:val="24"/>
          <w:szCs w:val="24"/>
          <w:vertAlign w:val="superscript"/>
          <w:lang w:val="en-US"/>
        </w:rPr>
        <w:t>2</w:t>
      </w:r>
      <w:r w:rsidRPr="009E2AF4">
        <w:rPr>
          <w:sz w:val="24"/>
          <w:szCs w:val="24"/>
          <w:lang w:val="en-US"/>
        </w:rPr>
        <w:t xml:space="preserve"> human placental collagen Type IV (</w:t>
      </w:r>
      <w:r w:rsidR="004E094D" w:rsidRPr="009E2AF4">
        <w:rPr>
          <w:sz w:val="24"/>
          <w:szCs w:val="24"/>
          <w:lang w:val="en-US"/>
        </w:rPr>
        <w:t xml:space="preserve">col IV, </w:t>
      </w:r>
      <w:r w:rsidRPr="009E2AF4">
        <w:rPr>
          <w:sz w:val="24"/>
          <w:szCs w:val="24"/>
          <w:lang w:val="en-US"/>
        </w:rPr>
        <w:t xml:space="preserve">Sigma-Aldrich), overnight at +4°C. The coating was removed, rinsed once with </w:t>
      </w:r>
      <w:r w:rsidR="00952D03" w:rsidRPr="009E2AF4">
        <w:rPr>
          <w:sz w:val="24"/>
          <w:szCs w:val="24"/>
          <w:lang w:val="en-US"/>
        </w:rPr>
        <w:t>DPBS and EBs plated down in XF-K</w:t>
      </w:r>
      <w:r w:rsidRPr="009E2AF4">
        <w:rPr>
          <w:sz w:val="24"/>
          <w:szCs w:val="24"/>
          <w:lang w:val="en-US"/>
        </w:rPr>
        <w:t>o-SR medium. The media were thereafter changed three times a week and cells monitored for appearance of pigmentation. For the first passaging, pigmented foci were manually cut with scalpel, washed twice with DPBS, dissociated with 10-15 min incuba</w:t>
      </w:r>
      <w:r w:rsidR="005C3F74" w:rsidRPr="009E2AF4">
        <w:rPr>
          <w:sz w:val="24"/>
          <w:szCs w:val="24"/>
          <w:lang w:val="en-US"/>
        </w:rPr>
        <w:t>tion with TrypLE™ Select Enzyme,</w:t>
      </w:r>
      <w:r w:rsidR="00766628" w:rsidRPr="009E2AF4">
        <w:rPr>
          <w:sz w:val="24"/>
          <w:szCs w:val="24"/>
          <w:lang w:val="en-US"/>
        </w:rPr>
        <w:t xml:space="preserve"> pelleted by centrifugation</w:t>
      </w:r>
      <w:r w:rsidR="005C3F74" w:rsidRPr="009E2AF4">
        <w:rPr>
          <w:sz w:val="24"/>
          <w:szCs w:val="24"/>
          <w:lang w:val="en-US"/>
        </w:rPr>
        <w:t xml:space="preserve"> and </w:t>
      </w:r>
      <w:r w:rsidRPr="009E2AF4">
        <w:rPr>
          <w:sz w:val="24"/>
          <w:szCs w:val="24"/>
          <w:lang w:val="en-US"/>
        </w:rPr>
        <w:t xml:space="preserve">plated down to new culture wells coated with </w:t>
      </w:r>
      <w:r w:rsidR="00B266A2" w:rsidRPr="009E2AF4">
        <w:rPr>
          <w:sz w:val="24"/>
          <w:szCs w:val="24"/>
          <w:lang w:val="en-US"/>
        </w:rPr>
        <w:t>LN-521</w:t>
      </w:r>
      <w:r w:rsidRPr="009E2AF4">
        <w:rPr>
          <w:sz w:val="24"/>
          <w:szCs w:val="24"/>
          <w:lang w:val="en-US"/>
        </w:rPr>
        <w:t xml:space="preserve"> and </w:t>
      </w:r>
      <w:r w:rsidR="004E094D" w:rsidRPr="009E2AF4">
        <w:rPr>
          <w:sz w:val="24"/>
          <w:szCs w:val="24"/>
          <w:lang w:val="en-US"/>
        </w:rPr>
        <w:t>c</w:t>
      </w:r>
      <w:r w:rsidRPr="009E2AF4">
        <w:rPr>
          <w:sz w:val="24"/>
          <w:szCs w:val="24"/>
          <w:lang w:val="en-US"/>
        </w:rPr>
        <w:t>ol IV</w:t>
      </w:r>
      <w:r w:rsidR="00766628" w:rsidRPr="009E2AF4">
        <w:rPr>
          <w:sz w:val="24"/>
          <w:szCs w:val="24"/>
          <w:lang w:val="en-US"/>
        </w:rPr>
        <w:t xml:space="preserve"> in fresh medium</w:t>
      </w:r>
      <w:r w:rsidRPr="009E2AF4">
        <w:rPr>
          <w:sz w:val="24"/>
          <w:szCs w:val="24"/>
          <w:lang w:val="en-US"/>
        </w:rPr>
        <w:t>. For further passaging, the RPE cells were directly detached with TrypLE™ Select Enzyme as above</w:t>
      </w:r>
      <w:r w:rsidR="00766628" w:rsidRPr="009E2AF4">
        <w:rPr>
          <w:sz w:val="24"/>
          <w:szCs w:val="24"/>
          <w:lang w:val="en-US"/>
        </w:rPr>
        <w:t xml:space="preserve"> and counted</w:t>
      </w:r>
      <w:r w:rsidRPr="009E2AF4">
        <w:rPr>
          <w:sz w:val="24"/>
          <w:szCs w:val="24"/>
          <w:lang w:val="en-US"/>
        </w:rPr>
        <w:t xml:space="preserve">. For final passage, </w:t>
      </w:r>
      <w:r w:rsidR="00766628" w:rsidRPr="009E2AF4">
        <w:rPr>
          <w:sz w:val="24"/>
          <w:szCs w:val="24"/>
          <w:lang w:val="en-US"/>
        </w:rPr>
        <w:t xml:space="preserve">250,000 </w:t>
      </w:r>
      <w:r w:rsidRPr="009E2AF4">
        <w:rPr>
          <w:sz w:val="24"/>
          <w:szCs w:val="24"/>
          <w:lang w:val="en-US"/>
        </w:rPr>
        <w:t>RPE cells</w:t>
      </w:r>
      <w:r w:rsidR="00766628" w:rsidRPr="009E2AF4">
        <w:rPr>
          <w:sz w:val="24"/>
          <w:szCs w:val="24"/>
          <w:lang w:val="en-US"/>
        </w:rPr>
        <w:t xml:space="preserve"> /cm</w:t>
      </w:r>
      <w:r w:rsidR="00766628" w:rsidRPr="009E2AF4">
        <w:rPr>
          <w:sz w:val="24"/>
          <w:szCs w:val="24"/>
          <w:vertAlign w:val="superscript"/>
          <w:lang w:val="en-US"/>
        </w:rPr>
        <w:t>2</w:t>
      </w:r>
      <w:r w:rsidRPr="009E2AF4">
        <w:rPr>
          <w:sz w:val="24"/>
          <w:szCs w:val="24"/>
          <w:lang w:val="en-US"/>
        </w:rPr>
        <w:t xml:space="preserve"> were plated to similarly coated polyethylene terephthalate (PET) hanging cell culture insert with 1.0 µm pore size in a 24-well plate (Merck Millipore). </w:t>
      </w:r>
    </w:p>
    <w:p w14:paraId="3E1819FC" w14:textId="77777777" w:rsidR="00CD03E4" w:rsidRPr="009E2AF4" w:rsidRDefault="00CD03E4" w:rsidP="00CD03E4">
      <w:pPr>
        <w:spacing w:after="0" w:line="480" w:lineRule="auto"/>
        <w:rPr>
          <w:sz w:val="24"/>
          <w:szCs w:val="24"/>
          <w:lang w:val="en-US"/>
        </w:rPr>
      </w:pPr>
    </w:p>
    <w:p w14:paraId="0804DD84" w14:textId="77777777" w:rsidR="00467A84" w:rsidRPr="009E2AF4" w:rsidRDefault="00CD03E4" w:rsidP="00467A84">
      <w:pPr>
        <w:spacing w:after="0" w:line="480" w:lineRule="auto"/>
        <w:rPr>
          <w:sz w:val="24"/>
          <w:szCs w:val="24"/>
          <w:lang w:val="en-US"/>
        </w:rPr>
      </w:pPr>
      <w:r w:rsidRPr="009E2AF4">
        <w:rPr>
          <w:b/>
          <w:i/>
          <w:sz w:val="24"/>
          <w:szCs w:val="24"/>
          <w:lang w:val="en-US"/>
        </w:rPr>
        <w:t>LESC Differentiation</w:t>
      </w:r>
    </w:p>
    <w:p w14:paraId="32586FB3" w14:textId="015C3FC4" w:rsidR="00CD03E4" w:rsidRPr="009E2AF4" w:rsidRDefault="00CD03E4" w:rsidP="00467A84">
      <w:pPr>
        <w:spacing w:after="0" w:line="480" w:lineRule="auto"/>
        <w:rPr>
          <w:sz w:val="24"/>
          <w:szCs w:val="24"/>
          <w:lang w:val="en-US"/>
        </w:rPr>
      </w:pPr>
      <w:r w:rsidRPr="009E2AF4">
        <w:rPr>
          <w:sz w:val="24"/>
          <w:szCs w:val="24"/>
          <w:lang w:val="en-US"/>
        </w:rPr>
        <w:t xml:space="preserve">The following day after EB formation, </w:t>
      </w:r>
      <w:r w:rsidR="00952D03" w:rsidRPr="009E2AF4">
        <w:rPr>
          <w:sz w:val="24"/>
          <w:szCs w:val="24"/>
          <w:lang w:val="en-US"/>
        </w:rPr>
        <w:t>the medium was changed to XF-K</w:t>
      </w:r>
      <w:r w:rsidRPr="009E2AF4">
        <w:rPr>
          <w:sz w:val="24"/>
          <w:szCs w:val="24"/>
          <w:lang w:val="en-US"/>
        </w:rPr>
        <w:t xml:space="preserve">o-SR medium supplemented with 10 µM SB-505124 and </w:t>
      </w:r>
      <w:proofErr w:type="gramStart"/>
      <w:r w:rsidRPr="009E2AF4">
        <w:rPr>
          <w:sz w:val="24"/>
          <w:szCs w:val="24"/>
          <w:lang w:val="en-US"/>
        </w:rPr>
        <w:t>50 ng/ml human basic fibroblast growth factor (</w:t>
      </w:r>
      <w:proofErr w:type="spellStart"/>
      <w:r w:rsidRPr="009E2AF4">
        <w:rPr>
          <w:sz w:val="24"/>
          <w:szCs w:val="24"/>
          <w:lang w:val="en-US"/>
        </w:rPr>
        <w:t>bFGF</w:t>
      </w:r>
      <w:proofErr w:type="spellEnd"/>
      <w:r w:rsidRPr="009E2AF4">
        <w:rPr>
          <w:sz w:val="24"/>
          <w:szCs w:val="24"/>
          <w:lang w:val="en-US"/>
        </w:rPr>
        <w:t>)</w:t>
      </w:r>
      <w:r w:rsidRPr="009E2AF4">
        <w:rPr>
          <w:lang w:val="en-US"/>
        </w:rPr>
        <w:t xml:space="preserve"> </w:t>
      </w:r>
      <w:r w:rsidRPr="009E2AF4">
        <w:rPr>
          <w:sz w:val="24"/>
          <w:szCs w:val="24"/>
          <w:lang w:val="en-US"/>
        </w:rPr>
        <w:lastRenderedPageBreak/>
        <w:t>(</w:t>
      </w:r>
      <w:proofErr w:type="spellStart"/>
      <w:r w:rsidRPr="009E2AF4">
        <w:rPr>
          <w:sz w:val="24"/>
          <w:szCs w:val="24"/>
          <w:lang w:val="en-US"/>
        </w:rPr>
        <w:t>PeproTech</w:t>
      </w:r>
      <w:proofErr w:type="spellEnd"/>
      <w:r w:rsidRPr="009E2AF4">
        <w:rPr>
          <w:sz w:val="24"/>
          <w:szCs w:val="24"/>
          <w:lang w:val="en-US"/>
        </w:rPr>
        <w:t xml:space="preserve"> Inc., Rocky Hill, NJ)</w:t>
      </w:r>
      <w:proofErr w:type="gramEnd"/>
      <w:r w:rsidRPr="009E2AF4">
        <w:rPr>
          <w:sz w:val="24"/>
          <w:szCs w:val="24"/>
          <w:lang w:val="en-US"/>
        </w:rPr>
        <w:t>. For the following two days</w:t>
      </w:r>
      <w:r w:rsidR="00952D03" w:rsidRPr="009E2AF4">
        <w:rPr>
          <w:sz w:val="24"/>
          <w:szCs w:val="24"/>
          <w:lang w:val="en-US"/>
        </w:rPr>
        <w:t>, the medium was changed to XF-K</w:t>
      </w:r>
      <w:r w:rsidRPr="009E2AF4">
        <w:rPr>
          <w:sz w:val="24"/>
          <w:szCs w:val="24"/>
          <w:lang w:val="en-US"/>
        </w:rPr>
        <w:t xml:space="preserve">o-SR medium supplemented </w:t>
      </w:r>
      <w:proofErr w:type="gramStart"/>
      <w:r w:rsidRPr="009E2AF4">
        <w:rPr>
          <w:sz w:val="24"/>
          <w:szCs w:val="24"/>
          <w:lang w:val="en-US"/>
        </w:rPr>
        <w:t>with 25 ng/ml BMP-4 (</w:t>
      </w:r>
      <w:proofErr w:type="spellStart"/>
      <w:r w:rsidRPr="009E2AF4">
        <w:rPr>
          <w:sz w:val="24"/>
          <w:szCs w:val="24"/>
          <w:lang w:val="en-US"/>
        </w:rPr>
        <w:t>PeproTech</w:t>
      </w:r>
      <w:proofErr w:type="spellEnd"/>
      <w:r w:rsidRPr="009E2AF4">
        <w:rPr>
          <w:sz w:val="24"/>
          <w:szCs w:val="24"/>
          <w:lang w:val="en-US"/>
        </w:rPr>
        <w:t xml:space="preserve"> Inc.)</w:t>
      </w:r>
      <w:proofErr w:type="gramEnd"/>
      <w:r w:rsidRPr="009E2AF4">
        <w:rPr>
          <w:sz w:val="24"/>
          <w:szCs w:val="24"/>
          <w:lang w:val="en-US"/>
        </w:rPr>
        <w:t xml:space="preserve">. After a total of 4 days of </w:t>
      </w:r>
      <w:r w:rsidR="005C3F74" w:rsidRPr="009E2AF4">
        <w:rPr>
          <w:sz w:val="24"/>
          <w:szCs w:val="24"/>
          <w:lang w:val="en-US"/>
        </w:rPr>
        <w:t xml:space="preserve">surface ectodermal </w:t>
      </w:r>
      <w:r w:rsidRPr="009E2AF4">
        <w:rPr>
          <w:sz w:val="24"/>
          <w:szCs w:val="24"/>
          <w:lang w:val="en-US"/>
        </w:rPr>
        <w:t>induction in suspension culture, the EBs were plated onto Corning® CellBIND® 12-well culture plates coated with 0.75 µg/cm</w:t>
      </w:r>
      <w:r w:rsidRPr="009E2AF4">
        <w:rPr>
          <w:sz w:val="24"/>
          <w:szCs w:val="24"/>
          <w:vertAlign w:val="superscript"/>
          <w:lang w:val="en-US"/>
        </w:rPr>
        <w:t>2</w:t>
      </w:r>
      <w:r w:rsidRPr="009E2AF4">
        <w:rPr>
          <w:sz w:val="24"/>
          <w:szCs w:val="24"/>
          <w:lang w:val="en-US"/>
        </w:rPr>
        <w:t xml:space="preserve"> </w:t>
      </w:r>
      <w:r w:rsidR="00B266A2" w:rsidRPr="009E2AF4">
        <w:rPr>
          <w:sz w:val="24"/>
          <w:szCs w:val="24"/>
          <w:lang w:val="en-US"/>
        </w:rPr>
        <w:t>LN-521</w:t>
      </w:r>
      <w:r w:rsidRPr="009E2AF4">
        <w:rPr>
          <w:sz w:val="24"/>
          <w:szCs w:val="24"/>
          <w:lang w:val="en-US"/>
        </w:rPr>
        <w:t xml:space="preserve"> and 5 µg/cm</w:t>
      </w:r>
      <w:r w:rsidRPr="009E2AF4">
        <w:rPr>
          <w:sz w:val="24"/>
          <w:szCs w:val="24"/>
          <w:vertAlign w:val="superscript"/>
          <w:lang w:val="en-US"/>
        </w:rPr>
        <w:t>2</w:t>
      </w:r>
      <w:r w:rsidRPr="009E2AF4">
        <w:rPr>
          <w:sz w:val="24"/>
          <w:szCs w:val="24"/>
          <w:lang w:val="en-US"/>
        </w:rPr>
        <w:t xml:space="preserve"> </w:t>
      </w:r>
      <w:r w:rsidR="004E094D" w:rsidRPr="009E2AF4">
        <w:rPr>
          <w:sz w:val="24"/>
          <w:szCs w:val="24"/>
          <w:lang w:val="en-US"/>
        </w:rPr>
        <w:t>c</w:t>
      </w:r>
      <w:r w:rsidRPr="009E2AF4">
        <w:rPr>
          <w:sz w:val="24"/>
          <w:szCs w:val="24"/>
          <w:lang w:val="en-US"/>
        </w:rPr>
        <w:t>ol IV in a defined and serum-free medium CnT-30 (</w:t>
      </w:r>
      <w:proofErr w:type="spellStart"/>
      <w:r w:rsidRPr="009E2AF4">
        <w:rPr>
          <w:sz w:val="24"/>
          <w:szCs w:val="24"/>
          <w:lang w:val="en-US"/>
        </w:rPr>
        <w:t>CELLnTEC</w:t>
      </w:r>
      <w:proofErr w:type="spellEnd"/>
      <w:r w:rsidRPr="009E2AF4">
        <w:rPr>
          <w:sz w:val="24"/>
          <w:szCs w:val="24"/>
          <w:lang w:val="en-US"/>
        </w:rPr>
        <w:t xml:space="preserve"> Advanced Cell Systems AG, Bern, Switzerland) with the density of approx. 50 EBs per well. The cells were thereafter cultured in CnT-30 medium that was changed three times a week.</w:t>
      </w:r>
    </w:p>
    <w:p w14:paraId="05C1E7F8" w14:textId="77777777" w:rsidR="00CD03E4" w:rsidRPr="009E2AF4" w:rsidRDefault="00CD03E4" w:rsidP="00CD03E4">
      <w:pPr>
        <w:spacing w:after="160" w:line="480" w:lineRule="auto"/>
        <w:rPr>
          <w:sz w:val="24"/>
          <w:szCs w:val="24"/>
          <w:lang w:val="en-US"/>
        </w:rPr>
      </w:pPr>
    </w:p>
    <w:p w14:paraId="7AECC292" w14:textId="77777777" w:rsidR="00CD03E4" w:rsidRPr="009E2AF4" w:rsidRDefault="00CD03E4" w:rsidP="00CD03E4">
      <w:pPr>
        <w:spacing w:after="0" w:line="480" w:lineRule="auto"/>
        <w:rPr>
          <w:b/>
          <w:sz w:val="24"/>
          <w:szCs w:val="24"/>
          <w:lang w:val="en-US"/>
        </w:rPr>
      </w:pPr>
      <w:r w:rsidRPr="009E2AF4">
        <w:rPr>
          <w:b/>
          <w:sz w:val="24"/>
          <w:szCs w:val="24"/>
          <w:lang w:val="en-US"/>
        </w:rPr>
        <w:t xml:space="preserve">Characterization of hPSC-RPE Cells </w:t>
      </w:r>
    </w:p>
    <w:p w14:paraId="67F1650E" w14:textId="77777777" w:rsidR="00CD03E4" w:rsidRPr="009E2AF4" w:rsidRDefault="00CD03E4" w:rsidP="00CD03E4">
      <w:pPr>
        <w:spacing w:after="0" w:line="480" w:lineRule="auto"/>
        <w:rPr>
          <w:b/>
          <w:i/>
          <w:sz w:val="24"/>
          <w:szCs w:val="24"/>
          <w:lang w:val="en-US"/>
        </w:rPr>
      </w:pPr>
      <w:r w:rsidRPr="009E2AF4">
        <w:rPr>
          <w:b/>
          <w:i/>
          <w:sz w:val="24"/>
          <w:szCs w:val="24"/>
          <w:lang w:val="en-US"/>
        </w:rPr>
        <w:t xml:space="preserve">Gene Expression Analysis </w:t>
      </w:r>
    </w:p>
    <w:p w14:paraId="32BEBA68" w14:textId="77AC05BC" w:rsidR="00CD03E4" w:rsidRPr="009E2AF4" w:rsidRDefault="00CD03E4" w:rsidP="00CD03E4">
      <w:pPr>
        <w:spacing w:after="0" w:line="480" w:lineRule="auto"/>
        <w:rPr>
          <w:sz w:val="24"/>
          <w:szCs w:val="24"/>
          <w:lang w:val="en-US"/>
        </w:rPr>
      </w:pPr>
      <w:r w:rsidRPr="009E2AF4">
        <w:rPr>
          <w:sz w:val="24"/>
          <w:szCs w:val="24"/>
          <w:lang w:val="en-US"/>
        </w:rPr>
        <w:t xml:space="preserve">RPE-specific gene expression was assessed with reverse transcription polymerase chain reaction (RT-PCR). Undifferentiated hPSC cultured on </w:t>
      </w:r>
      <w:r w:rsidR="00B266A2" w:rsidRPr="009E2AF4">
        <w:rPr>
          <w:sz w:val="24"/>
          <w:szCs w:val="24"/>
          <w:lang w:val="en-US"/>
        </w:rPr>
        <w:t>LN-521</w:t>
      </w:r>
      <w:r w:rsidRPr="009E2AF4">
        <w:rPr>
          <w:sz w:val="24"/>
          <w:szCs w:val="24"/>
          <w:lang w:val="en-US"/>
        </w:rPr>
        <w:t xml:space="preserve"> in E8 medium served as control. Gene expression for retinal pigment epithelium specific protein 65 kDa (</w:t>
      </w:r>
      <w:r w:rsidRPr="009E2AF4">
        <w:rPr>
          <w:i/>
          <w:sz w:val="24"/>
          <w:szCs w:val="24"/>
          <w:lang w:val="en-US"/>
        </w:rPr>
        <w:t>RPE65</w:t>
      </w:r>
      <w:r w:rsidRPr="009E2AF4">
        <w:rPr>
          <w:sz w:val="24"/>
          <w:szCs w:val="24"/>
          <w:lang w:val="en-US"/>
        </w:rPr>
        <w:t>), bestrophin (</w:t>
      </w:r>
      <w:r w:rsidRPr="009E2AF4">
        <w:rPr>
          <w:i/>
          <w:sz w:val="24"/>
          <w:szCs w:val="24"/>
          <w:lang w:val="en-US"/>
        </w:rPr>
        <w:t>BEST</w:t>
      </w:r>
      <w:r w:rsidRPr="009E2AF4">
        <w:rPr>
          <w:sz w:val="24"/>
          <w:szCs w:val="24"/>
          <w:lang w:val="en-US"/>
        </w:rPr>
        <w:t>),</w:t>
      </w:r>
      <w:r w:rsidRPr="009E2AF4">
        <w:rPr>
          <w:lang w:val="en-US"/>
        </w:rPr>
        <w:t xml:space="preserve"> </w:t>
      </w:r>
      <w:proofErr w:type="spellStart"/>
      <w:r w:rsidRPr="009E2AF4">
        <w:rPr>
          <w:sz w:val="24"/>
          <w:szCs w:val="24"/>
          <w:lang w:val="en-US"/>
        </w:rPr>
        <w:t>tyrosinase</w:t>
      </w:r>
      <w:proofErr w:type="spellEnd"/>
      <w:r w:rsidRPr="009E2AF4">
        <w:rPr>
          <w:sz w:val="24"/>
          <w:szCs w:val="24"/>
          <w:lang w:val="en-US"/>
        </w:rPr>
        <w:t xml:space="preserve"> (</w:t>
      </w:r>
      <w:r w:rsidRPr="009E2AF4">
        <w:rPr>
          <w:i/>
          <w:sz w:val="24"/>
          <w:szCs w:val="24"/>
          <w:lang w:val="en-US"/>
        </w:rPr>
        <w:t>TYR</w:t>
      </w:r>
      <w:r w:rsidRPr="009E2AF4">
        <w:rPr>
          <w:sz w:val="24"/>
          <w:szCs w:val="24"/>
          <w:lang w:val="en-US"/>
        </w:rPr>
        <w:t xml:space="preserve">), </w:t>
      </w:r>
      <w:proofErr w:type="spellStart"/>
      <w:r w:rsidRPr="009E2AF4">
        <w:rPr>
          <w:sz w:val="24"/>
          <w:szCs w:val="24"/>
          <w:lang w:val="en-US"/>
        </w:rPr>
        <w:t>premelanosome</w:t>
      </w:r>
      <w:proofErr w:type="spellEnd"/>
      <w:r w:rsidRPr="009E2AF4">
        <w:rPr>
          <w:sz w:val="24"/>
          <w:szCs w:val="24"/>
          <w:lang w:val="en-US"/>
        </w:rPr>
        <w:t xml:space="preserve"> protein (</w:t>
      </w:r>
      <w:r w:rsidRPr="009E2AF4">
        <w:rPr>
          <w:i/>
          <w:sz w:val="24"/>
          <w:szCs w:val="24"/>
          <w:lang w:val="en-US"/>
        </w:rPr>
        <w:t>PMEL</w:t>
      </w:r>
      <w:r w:rsidRPr="009E2AF4">
        <w:rPr>
          <w:sz w:val="24"/>
          <w:szCs w:val="24"/>
          <w:lang w:val="en-US"/>
        </w:rPr>
        <w:t>), and pluripotency marker octamer-binding transcription factor (</w:t>
      </w:r>
      <w:r w:rsidRPr="009E2AF4">
        <w:rPr>
          <w:i/>
          <w:sz w:val="24"/>
          <w:szCs w:val="24"/>
          <w:lang w:val="en-US"/>
        </w:rPr>
        <w:t>OCT-3/4</w:t>
      </w:r>
      <w:r w:rsidRPr="009E2AF4">
        <w:rPr>
          <w:sz w:val="24"/>
          <w:szCs w:val="24"/>
          <w:lang w:val="en-US"/>
        </w:rPr>
        <w:t>) was analyzed. Glyceraldehyde 3-phosphate dehydrogenase (</w:t>
      </w:r>
      <w:r w:rsidRPr="009E2AF4">
        <w:rPr>
          <w:i/>
          <w:sz w:val="24"/>
          <w:szCs w:val="24"/>
          <w:lang w:val="en-US"/>
        </w:rPr>
        <w:t>GAPDH</w:t>
      </w:r>
      <w:r w:rsidRPr="009E2AF4">
        <w:rPr>
          <w:sz w:val="24"/>
          <w:szCs w:val="24"/>
          <w:lang w:val="en-US"/>
        </w:rPr>
        <w:t xml:space="preserve">) was used as an endogenous control. RNA was extracted with </w:t>
      </w:r>
      <w:proofErr w:type="spellStart"/>
      <w:r w:rsidRPr="009E2AF4">
        <w:rPr>
          <w:sz w:val="24"/>
          <w:szCs w:val="24"/>
          <w:lang w:val="en-US"/>
        </w:rPr>
        <w:t>Qiagen</w:t>
      </w:r>
      <w:proofErr w:type="spellEnd"/>
      <w:r w:rsidRPr="009E2AF4">
        <w:rPr>
          <w:sz w:val="24"/>
          <w:szCs w:val="24"/>
          <w:lang w:val="en-US"/>
        </w:rPr>
        <w:t xml:space="preserve"> RNeasy </w:t>
      </w:r>
      <w:proofErr w:type="gramStart"/>
      <w:r w:rsidRPr="009E2AF4">
        <w:rPr>
          <w:sz w:val="24"/>
          <w:szCs w:val="24"/>
          <w:lang w:val="en-US"/>
        </w:rPr>
        <w:t>Plus</w:t>
      </w:r>
      <w:proofErr w:type="gramEnd"/>
      <w:r w:rsidRPr="009E2AF4">
        <w:rPr>
          <w:sz w:val="24"/>
          <w:szCs w:val="24"/>
          <w:lang w:val="en-US"/>
        </w:rPr>
        <w:t xml:space="preserve"> Mini kit (</w:t>
      </w:r>
      <w:proofErr w:type="spellStart"/>
      <w:r w:rsidRPr="009E2AF4">
        <w:rPr>
          <w:sz w:val="24"/>
          <w:szCs w:val="24"/>
          <w:lang w:val="en-US"/>
        </w:rPr>
        <w:t>Qiagen</w:t>
      </w:r>
      <w:proofErr w:type="spellEnd"/>
      <w:r w:rsidRPr="009E2AF4">
        <w:rPr>
          <w:sz w:val="24"/>
          <w:szCs w:val="24"/>
          <w:lang w:val="en-US"/>
        </w:rPr>
        <w:t xml:space="preserve">, Valencia, CA, USA) according to manufacturer's instructions. The RNA concentration and quality were assessed with </w:t>
      </w:r>
      <w:proofErr w:type="spellStart"/>
      <w:r w:rsidRPr="009E2AF4">
        <w:rPr>
          <w:sz w:val="24"/>
          <w:szCs w:val="24"/>
          <w:lang w:val="en-US"/>
        </w:rPr>
        <w:t>NanoDrop</w:t>
      </w:r>
      <w:proofErr w:type="spellEnd"/>
      <w:r w:rsidRPr="009E2AF4">
        <w:rPr>
          <w:sz w:val="24"/>
          <w:szCs w:val="24"/>
          <w:lang w:val="en-US"/>
        </w:rPr>
        <w:t xml:space="preserve"> 1000 spectrophotometer (</w:t>
      </w:r>
      <w:proofErr w:type="spellStart"/>
      <w:r w:rsidRPr="009E2AF4">
        <w:rPr>
          <w:sz w:val="24"/>
          <w:szCs w:val="24"/>
          <w:lang w:val="en-US"/>
        </w:rPr>
        <w:t>NanoDrop</w:t>
      </w:r>
      <w:proofErr w:type="spellEnd"/>
      <w:r w:rsidRPr="009E2AF4">
        <w:rPr>
          <w:sz w:val="24"/>
          <w:szCs w:val="24"/>
          <w:lang w:val="en-US"/>
        </w:rPr>
        <w:t xml:space="preserve"> Technologies, Wilmington, DE, USA). PCR grade water was used as a negative control in RT-PCR analysis. Detailed protocols for cDNA reverse transcription, PCR as well as the primer sequences have been reported </w:t>
      </w:r>
      <w:r w:rsidR="007656FD" w:rsidRPr="009E2AF4">
        <w:rPr>
          <w:sz w:val="24"/>
          <w:szCs w:val="24"/>
          <w:lang w:val="en-US"/>
        </w:rPr>
        <w:t xml:space="preserve">previously </w:t>
      </w:r>
      <w:sdt>
        <w:sdtPr>
          <w:rPr>
            <w:sz w:val="24"/>
            <w:szCs w:val="24"/>
            <w:lang w:val="en-US"/>
          </w:rPr>
          <w:id w:val="369734304"/>
          <w:placeholder>
            <w:docPart w:val="AC33FBE3F3834D50B34BD84912B36D84"/>
          </w:placeholder>
        </w:sdtPr>
        <w:sdtEndPr/>
        <w:sdtContent>
          <w:r w:rsidR="004D42CB" w:rsidRPr="009E2AF4">
            <w:rPr>
              <w:sz w:val="24"/>
              <w:szCs w:val="24"/>
              <w:lang w:val="en-US"/>
            </w:rPr>
            <w:t>[2]</w:t>
          </w:r>
        </w:sdtContent>
      </w:sdt>
      <w:r w:rsidRPr="009E2AF4">
        <w:rPr>
          <w:sz w:val="24"/>
          <w:szCs w:val="24"/>
          <w:lang w:val="en-US"/>
        </w:rPr>
        <w:t>.</w:t>
      </w:r>
    </w:p>
    <w:p w14:paraId="71E845CB" w14:textId="77777777" w:rsidR="00467A84" w:rsidRPr="009E2AF4" w:rsidRDefault="00467A84" w:rsidP="00CD03E4">
      <w:pPr>
        <w:spacing w:after="0" w:line="480" w:lineRule="auto"/>
        <w:rPr>
          <w:b/>
          <w:i/>
          <w:sz w:val="24"/>
          <w:szCs w:val="24"/>
          <w:lang w:val="en-US"/>
        </w:rPr>
      </w:pPr>
    </w:p>
    <w:p w14:paraId="15E05228" w14:textId="31971EAF" w:rsidR="00CD03E4" w:rsidRPr="009E2AF4" w:rsidRDefault="00CD03E4" w:rsidP="00CD03E4">
      <w:pPr>
        <w:spacing w:after="0" w:line="480" w:lineRule="auto"/>
        <w:rPr>
          <w:b/>
          <w:i/>
          <w:sz w:val="24"/>
          <w:szCs w:val="24"/>
          <w:lang w:val="en-US"/>
        </w:rPr>
      </w:pPr>
      <w:r w:rsidRPr="009E2AF4">
        <w:rPr>
          <w:b/>
          <w:i/>
          <w:sz w:val="24"/>
          <w:szCs w:val="24"/>
          <w:lang w:val="en-US"/>
        </w:rPr>
        <w:t>Quantification of Pigmentation</w:t>
      </w:r>
      <w:r w:rsidR="00EB6485" w:rsidRPr="009E2AF4">
        <w:rPr>
          <w:b/>
          <w:i/>
          <w:sz w:val="24"/>
          <w:szCs w:val="24"/>
          <w:lang w:val="en-US"/>
        </w:rPr>
        <w:t xml:space="preserve"> and size</w:t>
      </w:r>
      <w:bookmarkStart w:id="0" w:name="_GoBack"/>
      <w:bookmarkEnd w:id="0"/>
    </w:p>
    <w:p w14:paraId="59BC940F" w14:textId="6ECB405E" w:rsidR="00CD03E4" w:rsidRPr="009E2AF4" w:rsidRDefault="00CD03E4" w:rsidP="00CD03E4">
      <w:pPr>
        <w:spacing w:after="0" w:line="480" w:lineRule="auto"/>
        <w:rPr>
          <w:sz w:val="24"/>
          <w:szCs w:val="24"/>
          <w:lang w:val="en-US"/>
        </w:rPr>
      </w:pPr>
      <w:r w:rsidRPr="009E2AF4">
        <w:rPr>
          <w:sz w:val="24"/>
          <w:szCs w:val="24"/>
          <w:lang w:val="en-US"/>
        </w:rPr>
        <w:lastRenderedPageBreak/>
        <w:t>The degree of pigmentation</w:t>
      </w:r>
      <w:r w:rsidR="00D077A6" w:rsidRPr="009E2AF4">
        <w:rPr>
          <w:sz w:val="24"/>
          <w:szCs w:val="24"/>
          <w:lang w:val="en-US"/>
        </w:rPr>
        <w:t xml:space="preserve"> and cell size were </w:t>
      </w:r>
      <w:r w:rsidRPr="009E2AF4">
        <w:rPr>
          <w:sz w:val="24"/>
          <w:szCs w:val="24"/>
          <w:lang w:val="en-US"/>
        </w:rPr>
        <w:t xml:space="preserve">quantified from randomly-selected images captured </w:t>
      </w:r>
      <w:r w:rsidR="00D077A6" w:rsidRPr="009E2AF4">
        <w:rPr>
          <w:sz w:val="24"/>
          <w:szCs w:val="24"/>
          <w:lang w:val="en-US"/>
        </w:rPr>
        <w:t>of</w:t>
      </w:r>
      <w:r w:rsidRPr="009E2AF4">
        <w:rPr>
          <w:sz w:val="24"/>
          <w:szCs w:val="24"/>
          <w:lang w:val="en-US"/>
        </w:rPr>
        <w:t xml:space="preserve"> hESC</w:t>
      </w:r>
      <w:r w:rsidR="00D077A6" w:rsidRPr="009E2AF4">
        <w:rPr>
          <w:sz w:val="24"/>
          <w:szCs w:val="24"/>
          <w:lang w:val="en-US"/>
        </w:rPr>
        <w:t>1</w:t>
      </w:r>
      <w:r w:rsidRPr="009E2AF4">
        <w:rPr>
          <w:sz w:val="24"/>
          <w:szCs w:val="24"/>
          <w:lang w:val="en-US"/>
        </w:rPr>
        <w:t xml:space="preserve">-RPE </w:t>
      </w:r>
      <w:r w:rsidR="00D077A6" w:rsidRPr="009E2AF4">
        <w:rPr>
          <w:sz w:val="24"/>
          <w:szCs w:val="24"/>
          <w:lang w:val="en-US"/>
        </w:rPr>
        <w:t>after 9 weeks of final culture on inserts for cells cultured without (–ind.) and with neuroectodermal induction (+ ind.).  For quantifying pigmentation level, 20 i</w:t>
      </w:r>
      <w:r w:rsidRPr="009E2AF4">
        <w:rPr>
          <w:sz w:val="24"/>
          <w:szCs w:val="24"/>
          <w:lang w:val="en-US"/>
        </w:rPr>
        <w:t xml:space="preserve">mages </w:t>
      </w:r>
      <w:r w:rsidR="00D077A6" w:rsidRPr="009E2AF4">
        <w:rPr>
          <w:sz w:val="24"/>
          <w:szCs w:val="24"/>
          <w:lang w:val="en-US"/>
        </w:rPr>
        <w:t xml:space="preserve">in total (from two independent differentiation experiments) </w:t>
      </w:r>
      <w:r w:rsidRPr="009E2AF4">
        <w:rPr>
          <w:sz w:val="24"/>
          <w:szCs w:val="24"/>
          <w:lang w:val="en-US"/>
        </w:rPr>
        <w:t xml:space="preserve">were taken with </w:t>
      </w:r>
      <w:proofErr w:type="spellStart"/>
      <w:r w:rsidRPr="009E2AF4">
        <w:rPr>
          <w:sz w:val="24"/>
          <w:szCs w:val="24"/>
          <w:lang w:val="en-US"/>
        </w:rPr>
        <w:t>AxioScope</w:t>
      </w:r>
      <w:proofErr w:type="spellEnd"/>
      <w:r w:rsidRPr="009E2AF4">
        <w:rPr>
          <w:sz w:val="24"/>
          <w:szCs w:val="24"/>
          <w:lang w:val="en-US"/>
        </w:rPr>
        <w:t xml:space="preserve"> A1 fluorescence microscope (Carl Zeiss, Jena, Germany) using a 40x objective. The light exposure settings and illumination were maintained constant between the media. The intensity of the pigmentation was quantified with </w:t>
      </w:r>
      <w:proofErr w:type="spellStart"/>
      <w:r w:rsidRPr="009E2AF4">
        <w:rPr>
          <w:sz w:val="24"/>
          <w:szCs w:val="24"/>
          <w:lang w:val="en-US"/>
        </w:rPr>
        <w:t>ImageJ</w:t>
      </w:r>
      <w:proofErr w:type="spellEnd"/>
      <w:r w:rsidRPr="009E2AF4">
        <w:rPr>
          <w:sz w:val="24"/>
          <w:szCs w:val="24"/>
          <w:lang w:val="en-US"/>
        </w:rPr>
        <w:t xml:space="preserve"> Image Processing and Analysis software (</w:t>
      </w:r>
      <w:proofErr w:type="spellStart"/>
      <w:r w:rsidR="00D077A6" w:rsidRPr="009E2AF4">
        <w:rPr>
          <w:sz w:val="24"/>
          <w:szCs w:val="24"/>
          <w:lang w:val="en-US"/>
        </w:rPr>
        <w:t>ImageJ</w:t>
      </w:r>
      <w:proofErr w:type="spellEnd"/>
      <w:r w:rsidR="00D077A6" w:rsidRPr="009E2AF4">
        <w:rPr>
          <w:sz w:val="24"/>
          <w:szCs w:val="24"/>
          <w:lang w:val="en-US"/>
        </w:rPr>
        <w:t xml:space="preserve">, </w:t>
      </w:r>
      <w:r w:rsidRPr="009E2AF4">
        <w:rPr>
          <w:sz w:val="24"/>
          <w:szCs w:val="24"/>
          <w:lang w:val="en-US"/>
        </w:rPr>
        <w:t>https://imagej.nih.gov/ij/) through pixel intensity normalization. The background pixel intensity of the empty insert was subtracted from each sample set (+/- induction). Pigmentation intensity was presented relative to</w:t>
      </w:r>
      <w:r w:rsidR="00D077A6" w:rsidRPr="009E2AF4">
        <w:rPr>
          <w:sz w:val="24"/>
          <w:szCs w:val="24"/>
          <w:lang w:val="en-US"/>
        </w:rPr>
        <w:t xml:space="preserve"> - ind. condition</w:t>
      </w:r>
      <w:r w:rsidRPr="009E2AF4">
        <w:rPr>
          <w:sz w:val="24"/>
          <w:szCs w:val="24"/>
          <w:lang w:val="en-US"/>
        </w:rPr>
        <w:t>.</w:t>
      </w:r>
      <w:r w:rsidR="00EB6485" w:rsidRPr="009E2AF4">
        <w:rPr>
          <w:sz w:val="24"/>
          <w:szCs w:val="24"/>
          <w:lang w:val="en-US"/>
        </w:rPr>
        <w:t xml:space="preserve"> </w:t>
      </w:r>
      <w:r w:rsidR="00D077A6" w:rsidRPr="009E2AF4">
        <w:rPr>
          <w:sz w:val="24"/>
          <w:szCs w:val="24"/>
          <w:lang w:val="en-US"/>
        </w:rPr>
        <w:t>Size difference q</w:t>
      </w:r>
      <w:r w:rsidR="00EB6485" w:rsidRPr="009E2AF4">
        <w:rPr>
          <w:sz w:val="24"/>
          <w:szCs w:val="24"/>
          <w:lang w:val="en-US"/>
        </w:rPr>
        <w:t xml:space="preserve">uantifications were carried out from </w:t>
      </w:r>
      <w:proofErr w:type="spellStart"/>
      <w:r w:rsidR="00D077A6" w:rsidRPr="009E2AF4">
        <w:rPr>
          <w:sz w:val="24"/>
          <w:szCs w:val="24"/>
          <w:lang w:val="en-US"/>
        </w:rPr>
        <w:t>phalloidin</w:t>
      </w:r>
      <w:proofErr w:type="spellEnd"/>
      <w:r w:rsidR="00D077A6" w:rsidRPr="009E2AF4">
        <w:rPr>
          <w:sz w:val="24"/>
          <w:szCs w:val="24"/>
          <w:lang w:val="en-US"/>
        </w:rPr>
        <w:t>, (</w:t>
      </w:r>
      <w:proofErr w:type="spellStart"/>
      <w:r w:rsidR="00D077A6" w:rsidRPr="009E2AF4">
        <w:rPr>
          <w:sz w:val="24"/>
          <w:szCs w:val="24"/>
          <w:lang w:val="en-US"/>
        </w:rPr>
        <w:t>Tetramethylrhodamine</w:t>
      </w:r>
      <w:proofErr w:type="spellEnd"/>
      <w:r w:rsidR="00D077A6" w:rsidRPr="009E2AF4">
        <w:rPr>
          <w:sz w:val="24"/>
          <w:szCs w:val="24"/>
          <w:lang w:val="en-US"/>
        </w:rPr>
        <w:t xml:space="preserve"> B </w:t>
      </w:r>
      <w:proofErr w:type="spellStart"/>
      <w:r w:rsidR="00D077A6" w:rsidRPr="009E2AF4">
        <w:rPr>
          <w:sz w:val="24"/>
          <w:szCs w:val="24"/>
          <w:lang w:val="en-US"/>
        </w:rPr>
        <w:t>isothiocyanate</w:t>
      </w:r>
      <w:proofErr w:type="spellEnd"/>
      <w:r w:rsidR="00D077A6" w:rsidRPr="009E2AF4">
        <w:rPr>
          <w:sz w:val="24"/>
          <w:szCs w:val="24"/>
          <w:lang w:val="en-US"/>
        </w:rPr>
        <w:t xml:space="preserve">, 1:500 </w:t>
      </w:r>
      <w:proofErr w:type="gramStart"/>
      <w:r w:rsidR="00D077A6" w:rsidRPr="009E2AF4">
        <w:rPr>
          <w:sz w:val="24"/>
          <w:szCs w:val="24"/>
          <w:lang w:val="en-US"/>
        </w:rPr>
        <w:t>dilution</w:t>
      </w:r>
      <w:proofErr w:type="gramEnd"/>
      <w:r w:rsidR="00D077A6" w:rsidRPr="009E2AF4">
        <w:rPr>
          <w:sz w:val="24"/>
          <w:szCs w:val="24"/>
          <w:lang w:val="en-US"/>
        </w:rPr>
        <w:t>, P1951 Sigma) -</w:t>
      </w:r>
      <w:r w:rsidR="00EB6485" w:rsidRPr="009E2AF4">
        <w:rPr>
          <w:sz w:val="24"/>
          <w:szCs w:val="24"/>
          <w:lang w:val="en-US"/>
        </w:rPr>
        <w:t xml:space="preserve">stained images </w:t>
      </w:r>
      <w:r w:rsidR="00D077A6" w:rsidRPr="009E2AF4">
        <w:rPr>
          <w:sz w:val="24"/>
          <w:szCs w:val="24"/>
          <w:lang w:val="en-US"/>
        </w:rPr>
        <w:t>acquired with LSM 700 Confocal microscope (Carl Zeiss, Jena, Germany) using 63× oil immersion objective. Five images</w:t>
      </w:r>
      <w:r w:rsidR="009763A1" w:rsidRPr="009E2AF4">
        <w:rPr>
          <w:sz w:val="24"/>
          <w:szCs w:val="24"/>
          <w:lang w:val="en-US"/>
        </w:rPr>
        <w:t xml:space="preserve"> with&gt; 1000 cells in total</w:t>
      </w:r>
      <w:r w:rsidR="00D077A6" w:rsidRPr="009E2AF4">
        <w:rPr>
          <w:sz w:val="24"/>
          <w:szCs w:val="24"/>
          <w:lang w:val="en-US"/>
        </w:rPr>
        <w:t xml:space="preserve"> were included for both – ind. and + ind. conditions</w:t>
      </w:r>
      <w:r w:rsidR="00EB6485" w:rsidRPr="009E2AF4">
        <w:rPr>
          <w:sz w:val="24"/>
          <w:szCs w:val="24"/>
          <w:lang w:val="en-US"/>
        </w:rPr>
        <w:t>.</w:t>
      </w:r>
      <w:r w:rsidR="009763A1" w:rsidRPr="009E2AF4">
        <w:rPr>
          <w:sz w:val="24"/>
          <w:szCs w:val="24"/>
          <w:lang w:val="en-US"/>
        </w:rPr>
        <w:t xml:space="preserve"> Analyze particles </w:t>
      </w:r>
      <w:proofErr w:type="spellStart"/>
      <w:r w:rsidR="009763A1" w:rsidRPr="009E2AF4">
        <w:rPr>
          <w:sz w:val="24"/>
          <w:szCs w:val="24"/>
          <w:lang w:val="en-US"/>
        </w:rPr>
        <w:t>pluging</w:t>
      </w:r>
      <w:proofErr w:type="spellEnd"/>
      <w:r w:rsidR="009763A1" w:rsidRPr="009E2AF4">
        <w:rPr>
          <w:sz w:val="24"/>
          <w:szCs w:val="24"/>
          <w:lang w:val="en-US"/>
        </w:rPr>
        <w:t xml:space="preserve"> of </w:t>
      </w:r>
      <w:proofErr w:type="spellStart"/>
      <w:r w:rsidR="009763A1" w:rsidRPr="009E2AF4">
        <w:rPr>
          <w:sz w:val="24"/>
          <w:szCs w:val="24"/>
          <w:lang w:val="en-US"/>
        </w:rPr>
        <w:t>ImageJ</w:t>
      </w:r>
      <w:proofErr w:type="spellEnd"/>
      <w:r w:rsidR="009763A1" w:rsidRPr="009E2AF4">
        <w:rPr>
          <w:sz w:val="24"/>
          <w:szCs w:val="24"/>
          <w:lang w:val="en-US"/>
        </w:rPr>
        <w:t xml:space="preserve"> was used.</w:t>
      </w:r>
      <w:r w:rsidR="00EB6485" w:rsidRPr="009E2AF4">
        <w:rPr>
          <w:sz w:val="24"/>
          <w:szCs w:val="24"/>
          <w:lang w:val="en-US"/>
        </w:rPr>
        <w:t xml:space="preserve"> </w:t>
      </w:r>
      <w:r w:rsidR="009763A1" w:rsidRPr="009E2AF4">
        <w:rPr>
          <w:sz w:val="24"/>
          <w:szCs w:val="24"/>
          <w:lang w:val="en-US"/>
        </w:rPr>
        <w:t>I</w:t>
      </w:r>
      <w:r w:rsidR="00EB6485" w:rsidRPr="009E2AF4">
        <w:rPr>
          <w:sz w:val="24"/>
          <w:szCs w:val="24"/>
          <w:lang w:val="en-US"/>
        </w:rPr>
        <w:t xml:space="preserve">mages were converted to binary, and “Watershed” </w:t>
      </w:r>
      <w:r w:rsidR="009763A1" w:rsidRPr="009E2AF4">
        <w:rPr>
          <w:sz w:val="24"/>
          <w:szCs w:val="24"/>
          <w:lang w:val="en-US"/>
        </w:rPr>
        <w:t>c</w:t>
      </w:r>
      <w:r w:rsidR="00EB6485" w:rsidRPr="009E2AF4">
        <w:rPr>
          <w:sz w:val="24"/>
          <w:szCs w:val="24"/>
          <w:lang w:val="en-US"/>
        </w:rPr>
        <w:t xml:space="preserve">ommand was used to separate merged areas. A set of regions of interest (ROIs), representing cell areas, was automatically created based on binary values. Automatic ROI selections were then compared to original images and inaccurate selections were manually corrected. </w:t>
      </w:r>
    </w:p>
    <w:p w14:paraId="34230CEB" w14:textId="77777777" w:rsidR="00467A84" w:rsidRPr="009E2AF4" w:rsidRDefault="00467A84" w:rsidP="00CD03E4">
      <w:pPr>
        <w:spacing w:after="0" w:line="480" w:lineRule="auto"/>
        <w:rPr>
          <w:b/>
          <w:i/>
          <w:sz w:val="24"/>
          <w:szCs w:val="24"/>
          <w:lang w:val="en-US"/>
        </w:rPr>
      </w:pPr>
    </w:p>
    <w:p w14:paraId="48282B59" w14:textId="236D5358" w:rsidR="00CD03E4" w:rsidRPr="009E2AF4" w:rsidRDefault="00CD03E4" w:rsidP="00CD03E4">
      <w:pPr>
        <w:spacing w:after="0" w:line="480" w:lineRule="auto"/>
        <w:rPr>
          <w:b/>
          <w:i/>
          <w:sz w:val="24"/>
          <w:szCs w:val="24"/>
          <w:lang w:val="en-US"/>
        </w:rPr>
      </w:pPr>
      <w:r w:rsidRPr="009E2AF4">
        <w:rPr>
          <w:b/>
          <w:i/>
          <w:sz w:val="24"/>
          <w:szCs w:val="24"/>
          <w:lang w:val="en-US"/>
        </w:rPr>
        <w:t>Immunofluorescence</w:t>
      </w:r>
    </w:p>
    <w:p w14:paraId="4813C8BA" w14:textId="015FDEA0" w:rsidR="00CD03E4" w:rsidRPr="009E2AF4" w:rsidRDefault="00CD03E4" w:rsidP="00CD03E4">
      <w:pPr>
        <w:spacing w:after="0" w:line="480" w:lineRule="auto"/>
        <w:rPr>
          <w:sz w:val="24"/>
          <w:szCs w:val="24"/>
          <w:lang w:val="en-US"/>
        </w:rPr>
      </w:pPr>
      <w:r w:rsidRPr="009E2AF4">
        <w:rPr>
          <w:sz w:val="24"/>
          <w:szCs w:val="24"/>
          <w:lang w:val="en-US"/>
        </w:rPr>
        <w:t xml:space="preserve">Immunofluorescence labeling for hPSC-RPE was done with the protocol described in </w:t>
      </w:r>
      <w:sdt>
        <w:sdtPr>
          <w:rPr>
            <w:sz w:val="24"/>
            <w:szCs w:val="24"/>
            <w:lang w:val="en-US"/>
          </w:rPr>
          <w:id w:val="1234741323"/>
          <w:placeholder>
            <w:docPart w:val="6D13F9EF58FF4BE8A21CC9F9A888744E"/>
          </w:placeholder>
        </w:sdtPr>
        <w:sdtEndPr/>
        <w:sdtContent>
          <w:r w:rsidR="004D42CB" w:rsidRPr="009E2AF4">
            <w:rPr>
              <w:sz w:val="24"/>
              <w:szCs w:val="24"/>
              <w:lang w:val="en-US"/>
            </w:rPr>
            <w:t>[2]</w:t>
          </w:r>
        </w:sdtContent>
      </w:sdt>
      <w:r w:rsidR="007656FD" w:rsidRPr="009E2AF4">
        <w:rPr>
          <w:sz w:val="24"/>
          <w:szCs w:val="24"/>
          <w:lang w:val="en-US"/>
        </w:rPr>
        <w:t>,</w:t>
      </w:r>
      <w:r w:rsidRPr="009E2AF4">
        <w:rPr>
          <w:sz w:val="24"/>
          <w:szCs w:val="24"/>
          <w:lang w:val="en-US"/>
        </w:rPr>
        <w:t xml:space="preserve"> using the following primary antibodies: CRALBP (1:200, Abcam, ab15051), Claudin-19 (1:50, R&amp;D Systems, MAB6970), ZO-1/TJP1 (1:100, 61-7300, Thermo Fisher Scientific), alpha 1 Sodium Potassium ATPase (1:200, Abcam, ab7671), and MERTK (1:50, Abnova, H00010461-M01). Alexa Fluor 568-conjugated goat anti-mouse IgG (A-11004) and 488-conjugated donkey anti-rabbit Ig (A-21206), </w:t>
      </w:r>
      <w:r w:rsidRPr="009E2AF4">
        <w:rPr>
          <w:sz w:val="24"/>
          <w:szCs w:val="24"/>
          <w:lang w:val="en-US"/>
        </w:rPr>
        <w:lastRenderedPageBreak/>
        <w:t>both diluted 1:400, were used as secondary antibodies (both from Thermo Fisher Scientific). Phalloidin</w:t>
      </w:r>
      <w:r w:rsidR="006F71FC" w:rsidRPr="009E2AF4">
        <w:rPr>
          <w:sz w:val="24"/>
          <w:szCs w:val="24"/>
          <w:lang w:val="en-US"/>
        </w:rPr>
        <w:t xml:space="preserve"> (1:500)</w:t>
      </w:r>
      <w:r w:rsidRPr="009E2AF4">
        <w:rPr>
          <w:sz w:val="24"/>
          <w:szCs w:val="24"/>
          <w:lang w:val="en-US"/>
        </w:rPr>
        <w:t xml:space="preserve"> was used for labeling filamentous actin. Nuclei were counterstained with DAPI included in the VECTASHIELD™ Mounting Medium or </w:t>
      </w:r>
      <w:proofErr w:type="spellStart"/>
      <w:r w:rsidRPr="009E2AF4">
        <w:rPr>
          <w:sz w:val="24"/>
          <w:szCs w:val="24"/>
          <w:lang w:val="en-US"/>
        </w:rPr>
        <w:t>ProLong</w:t>
      </w:r>
      <w:proofErr w:type="spellEnd"/>
      <w:r w:rsidRPr="009E2AF4">
        <w:rPr>
          <w:sz w:val="24"/>
          <w:szCs w:val="24"/>
          <w:lang w:val="en-US"/>
        </w:rPr>
        <w:t xml:space="preserve">® Gold </w:t>
      </w:r>
      <w:proofErr w:type="spellStart"/>
      <w:r w:rsidRPr="009E2AF4">
        <w:rPr>
          <w:sz w:val="24"/>
          <w:szCs w:val="24"/>
          <w:lang w:val="en-US"/>
        </w:rPr>
        <w:t>Antifade</w:t>
      </w:r>
      <w:proofErr w:type="spellEnd"/>
      <w:r w:rsidRPr="009E2AF4">
        <w:rPr>
          <w:sz w:val="24"/>
          <w:szCs w:val="24"/>
          <w:lang w:val="en-US"/>
        </w:rPr>
        <w:t xml:space="preserve"> </w:t>
      </w:r>
      <w:proofErr w:type="spellStart"/>
      <w:r w:rsidRPr="009E2AF4">
        <w:rPr>
          <w:sz w:val="24"/>
          <w:szCs w:val="24"/>
          <w:lang w:val="en-US"/>
        </w:rPr>
        <w:t>Mountant</w:t>
      </w:r>
      <w:proofErr w:type="spellEnd"/>
      <w:r w:rsidRPr="009E2AF4">
        <w:rPr>
          <w:sz w:val="24"/>
          <w:szCs w:val="24"/>
          <w:lang w:val="en-US"/>
        </w:rPr>
        <w:t xml:space="preserve"> with DAPI (Thermo Fisher Scientific). Images were captured with LSM 700 Confocal microscope using a 40x objective or </w:t>
      </w:r>
      <w:proofErr w:type="gramStart"/>
      <w:r w:rsidRPr="009E2AF4">
        <w:rPr>
          <w:sz w:val="24"/>
          <w:szCs w:val="24"/>
          <w:lang w:val="en-US"/>
        </w:rPr>
        <w:t>63× oil immersion objective</w:t>
      </w:r>
      <w:proofErr w:type="gramEnd"/>
      <w:r w:rsidRPr="009E2AF4">
        <w:rPr>
          <w:sz w:val="24"/>
          <w:szCs w:val="24"/>
          <w:lang w:val="en-US"/>
        </w:rPr>
        <w:t xml:space="preserve"> and edited using ZEN 2011 Black Edition (Carl Zeiss).</w:t>
      </w:r>
    </w:p>
    <w:p w14:paraId="49574B1E" w14:textId="77777777" w:rsidR="00467A84" w:rsidRPr="009E2AF4" w:rsidRDefault="00467A84" w:rsidP="00CD03E4">
      <w:pPr>
        <w:spacing w:after="0" w:line="480" w:lineRule="auto"/>
        <w:rPr>
          <w:sz w:val="24"/>
          <w:szCs w:val="24"/>
          <w:lang w:val="en-US"/>
        </w:rPr>
      </w:pPr>
    </w:p>
    <w:p w14:paraId="6F821FD2" w14:textId="0D928725" w:rsidR="00CD03E4" w:rsidRPr="009E2AF4" w:rsidRDefault="00CD03E4" w:rsidP="00CD03E4">
      <w:pPr>
        <w:spacing w:after="0" w:line="480" w:lineRule="auto"/>
        <w:rPr>
          <w:b/>
          <w:i/>
          <w:sz w:val="24"/>
          <w:szCs w:val="24"/>
          <w:lang w:val="en-US"/>
        </w:rPr>
      </w:pPr>
      <w:r w:rsidRPr="009E2AF4">
        <w:rPr>
          <w:b/>
          <w:i/>
          <w:sz w:val="24"/>
          <w:szCs w:val="24"/>
          <w:lang w:val="en-US"/>
        </w:rPr>
        <w:t xml:space="preserve">Transepithelial Electrical Resistance </w:t>
      </w:r>
    </w:p>
    <w:p w14:paraId="6E0BB605" w14:textId="3D7E7180" w:rsidR="00CD03E4" w:rsidRPr="009E2AF4" w:rsidRDefault="00CD03E4" w:rsidP="00CD03E4">
      <w:pPr>
        <w:spacing w:after="0" w:line="480" w:lineRule="auto"/>
        <w:rPr>
          <w:sz w:val="24"/>
          <w:szCs w:val="24"/>
          <w:lang w:val="en-US"/>
        </w:rPr>
      </w:pPr>
      <w:r w:rsidRPr="009E2AF4">
        <w:rPr>
          <w:sz w:val="24"/>
          <w:szCs w:val="24"/>
          <w:lang w:val="en-US"/>
        </w:rPr>
        <w:t>Transepithelial electrical resistance (TE</w:t>
      </w:r>
      <w:r w:rsidR="007F5034" w:rsidRPr="009E2AF4">
        <w:rPr>
          <w:sz w:val="24"/>
          <w:szCs w:val="24"/>
          <w:lang w:val="en-US"/>
        </w:rPr>
        <w:t>E</w:t>
      </w:r>
      <w:r w:rsidRPr="009E2AF4">
        <w:rPr>
          <w:sz w:val="24"/>
          <w:szCs w:val="24"/>
          <w:lang w:val="en-US"/>
        </w:rPr>
        <w:t xml:space="preserve">R) was measured with a </w:t>
      </w:r>
      <w:proofErr w:type="spellStart"/>
      <w:r w:rsidRPr="009E2AF4">
        <w:rPr>
          <w:sz w:val="24"/>
          <w:szCs w:val="24"/>
          <w:lang w:val="en-US"/>
        </w:rPr>
        <w:t>Millicell</w:t>
      </w:r>
      <w:proofErr w:type="spellEnd"/>
      <w:r w:rsidRPr="009E2AF4">
        <w:rPr>
          <w:sz w:val="24"/>
          <w:szCs w:val="24"/>
          <w:lang w:val="en-US"/>
        </w:rPr>
        <w:t xml:space="preserve"> electrical resistance system volt-ohm meter (Merck Millipore, </w:t>
      </w:r>
      <w:proofErr w:type="spellStart"/>
      <w:r w:rsidRPr="009E2AF4">
        <w:rPr>
          <w:sz w:val="24"/>
          <w:szCs w:val="24"/>
          <w:lang w:val="en-US"/>
        </w:rPr>
        <w:t>Darmstad</w:t>
      </w:r>
      <w:proofErr w:type="spellEnd"/>
      <w:r w:rsidRPr="009E2AF4">
        <w:rPr>
          <w:sz w:val="24"/>
          <w:szCs w:val="24"/>
          <w:lang w:val="en-US"/>
        </w:rPr>
        <w:t>, Germany) from cell culture inserts without balancing to RT before measuring. TE</w:t>
      </w:r>
      <w:r w:rsidR="007F5034" w:rsidRPr="009E2AF4">
        <w:rPr>
          <w:sz w:val="24"/>
          <w:szCs w:val="24"/>
          <w:lang w:val="en-US"/>
        </w:rPr>
        <w:t>E</w:t>
      </w:r>
      <w:r w:rsidRPr="009E2AF4">
        <w:rPr>
          <w:sz w:val="24"/>
          <w:szCs w:val="24"/>
          <w:lang w:val="en-US"/>
        </w:rPr>
        <w:t>R values (Ω/cm</w:t>
      </w:r>
      <w:r w:rsidRPr="009E2AF4">
        <w:rPr>
          <w:sz w:val="24"/>
          <w:szCs w:val="24"/>
          <w:vertAlign w:val="superscript"/>
          <w:lang w:val="en-US"/>
        </w:rPr>
        <w:t>2</w:t>
      </w:r>
      <w:r w:rsidRPr="009E2AF4">
        <w:rPr>
          <w:sz w:val="24"/>
          <w:szCs w:val="24"/>
          <w:lang w:val="en-US"/>
        </w:rPr>
        <w:t>) were calculated by subtracting the T</w:t>
      </w:r>
      <w:r w:rsidR="007F5034" w:rsidRPr="009E2AF4">
        <w:rPr>
          <w:sz w:val="24"/>
          <w:szCs w:val="24"/>
          <w:lang w:val="en-US"/>
        </w:rPr>
        <w:t>E</w:t>
      </w:r>
      <w:r w:rsidRPr="009E2AF4">
        <w:rPr>
          <w:sz w:val="24"/>
          <w:szCs w:val="24"/>
          <w:lang w:val="en-US"/>
        </w:rPr>
        <w:t>ER value o</w:t>
      </w:r>
      <w:r w:rsidR="00952D03" w:rsidRPr="009E2AF4">
        <w:rPr>
          <w:sz w:val="24"/>
          <w:szCs w:val="24"/>
          <w:lang w:val="en-US"/>
        </w:rPr>
        <w:t>f empty inserts cultured in XF-K</w:t>
      </w:r>
      <w:r w:rsidRPr="009E2AF4">
        <w:rPr>
          <w:sz w:val="24"/>
          <w:szCs w:val="24"/>
          <w:lang w:val="en-US"/>
        </w:rPr>
        <w:t>o-SR medium in the absence of cells, and by multiplying by the surface area of the insert (0.3 cm</w:t>
      </w:r>
      <w:r w:rsidRPr="009E2AF4">
        <w:rPr>
          <w:sz w:val="24"/>
          <w:szCs w:val="24"/>
          <w:vertAlign w:val="superscript"/>
          <w:lang w:val="en-US"/>
        </w:rPr>
        <w:t>2</w:t>
      </w:r>
      <w:r w:rsidRPr="009E2AF4">
        <w:rPr>
          <w:sz w:val="24"/>
          <w:szCs w:val="24"/>
          <w:lang w:val="en-US"/>
        </w:rPr>
        <w:t xml:space="preserve">). </w:t>
      </w:r>
    </w:p>
    <w:p w14:paraId="1E32F4D5" w14:textId="77777777" w:rsidR="00467A84" w:rsidRPr="009E2AF4" w:rsidRDefault="00467A84" w:rsidP="00CD03E4">
      <w:pPr>
        <w:spacing w:after="0" w:line="480" w:lineRule="auto"/>
        <w:rPr>
          <w:b/>
          <w:i/>
          <w:sz w:val="24"/>
          <w:szCs w:val="24"/>
          <w:lang w:val="en-US"/>
        </w:rPr>
      </w:pPr>
    </w:p>
    <w:p w14:paraId="4D6A569A" w14:textId="6FD01E9A" w:rsidR="00CD03E4" w:rsidRPr="009E2AF4" w:rsidRDefault="00CD03E4" w:rsidP="00CD03E4">
      <w:pPr>
        <w:spacing w:after="0" w:line="480" w:lineRule="auto"/>
        <w:rPr>
          <w:b/>
          <w:i/>
          <w:sz w:val="24"/>
          <w:szCs w:val="24"/>
          <w:lang w:val="en-US"/>
        </w:rPr>
      </w:pPr>
      <w:r w:rsidRPr="009E2AF4">
        <w:rPr>
          <w:b/>
          <w:i/>
          <w:sz w:val="24"/>
          <w:szCs w:val="24"/>
          <w:lang w:val="en-US"/>
        </w:rPr>
        <w:t xml:space="preserve">Enzyme-Linked Immunosorbent Assay </w:t>
      </w:r>
    </w:p>
    <w:p w14:paraId="038929EA" w14:textId="59F45B73" w:rsidR="00CD03E4" w:rsidRPr="009E2AF4" w:rsidRDefault="00CD03E4" w:rsidP="00CD03E4">
      <w:pPr>
        <w:spacing w:after="0" w:line="480" w:lineRule="auto"/>
        <w:rPr>
          <w:sz w:val="24"/>
          <w:szCs w:val="24"/>
          <w:lang w:val="en-US"/>
        </w:rPr>
      </w:pPr>
      <w:r w:rsidRPr="009E2AF4">
        <w:rPr>
          <w:sz w:val="24"/>
          <w:szCs w:val="24"/>
          <w:lang w:val="en-US"/>
        </w:rPr>
        <w:t>The capacity of RPE cells differentiated from hESC1</w:t>
      </w:r>
      <w:r w:rsidR="006F71FC" w:rsidRPr="009E2AF4">
        <w:rPr>
          <w:sz w:val="24"/>
          <w:szCs w:val="24"/>
          <w:lang w:val="en-US"/>
        </w:rPr>
        <w:t xml:space="preserve"> and hiPSC1</w:t>
      </w:r>
      <w:r w:rsidRPr="009E2AF4">
        <w:rPr>
          <w:sz w:val="24"/>
          <w:szCs w:val="24"/>
          <w:lang w:val="en-US"/>
        </w:rPr>
        <w:t xml:space="preserve"> to secrete PEDF was studied with Enzyme-linked immunosorbent assay (ELISA). Apical culture media (400 µl) of several replicate cell culture inserts was collected after 19 h incubation at +37°C. The media samples were stored at -70°C until analyzed with Human PEDF ELISA kit (</w:t>
      </w:r>
      <w:proofErr w:type="spellStart"/>
      <w:r w:rsidRPr="009E2AF4">
        <w:rPr>
          <w:sz w:val="24"/>
          <w:szCs w:val="24"/>
          <w:lang w:val="en-US"/>
        </w:rPr>
        <w:t>BioVendor</w:t>
      </w:r>
      <w:proofErr w:type="spellEnd"/>
      <w:r w:rsidRPr="009E2AF4">
        <w:rPr>
          <w:sz w:val="24"/>
          <w:szCs w:val="24"/>
          <w:lang w:val="en-US"/>
        </w:rPr>
        <w:t xml:space="preserve">, </w:t>
      </w:r>
      <w:proofErr w:type="spellStart"/>
      <w:r w:rsidRPr="009E2AF4">
        <w:rPr>
          <w:sz w:val="24"/>
          <w:szCs w:val="24"/>
          <w:lang w:val="en-US"/>
        </w:rPr>
        <w:t>Brno,Czech</w:t>
      </w:r>
      <w:proofErr w:type="spellEnd"/>
      <w:r w:rsidRPr="009E2AF4">
        <w:rPr>
          <w:sz w:val="24"/>
          <w:szCs w:val="24"/>
          <w:lang w:val="en-US"/>
        </w:rPr>
        <w:t xml:space="preserve"> Republic) as instructed by the manufacturer. Media samples incubated without cells were collected for background measurements. Samples were diluted 300x with dilution buffer and measured as duplicates. Optical densities were measured with Perkin Elmer </w:t>
      </w:r>
      <w:proofErr w:type="spellStart"/>
      <w:r w:rsidRPr="009E2AF4">
        <w:rPr>
          <w:sz w:val="24"/>
          <w:szCs w:val="24"/>
          <w:lang w:val="en-US"/>
        </w:rPr>
        <w:t>Wallac</w:t>
      </w:r>
      <w:proofErr w:type="spellEnd"/>
      <w:r w:rsidRPr="009E2AF4">
        <w:rPr>
          <w:sz w:val="24"/>
          <w:szCs w:val="24"/>
          <w:lang w:val="en-US"/>
        </w:rPr>
        <w:t xml:space="preserve"> 1420 VICTOR2™ Microplate Reader (Perkin Elmer-Wallace, Norton, OH, USA). </w:t>
      </w:r>
    </w:p>
    <w:p w14:paraId="7E34ED2E" w14:textId="77777777" w:rsidR="00467A84" w:rsidRPr="009E2AF4" w:rsidRDefault="00467A84" w:rsidP="00CD03E4">
      <w:pPr>
        <w:spacing w:after="0" w:line="480" w:lineRule="auto"/>
        <w:rPr>
          <w:b/>
          <w:i/>
          <w:sz w:val="24"/>
          <w:szCs w:val="24"/>
          <w:lang w:val="en-US"/>
        </w:rPr>
      </w:pPr>
    </w:p>
    <w:p w14:paraId="34F1FB6D" w14:textId="1B4697A9" w:rsidR="00CD03E4" w:rsidRPr="009E2AF4" w:rsidRDefault="00CD03E4" w:rsidP="00CD03E4">
      <w:pPr>
        <w:spacing w:after="0" w:line="480" w:lineRule="auto"/>
        <w:rPr>
          <w:i/>
          <w:color w:val="FF0000"/>
          <w:sz w:val="24"/>
          <w:szCs w:val="24"/>
          <w:lang w:val="en-US"/>
        </w:rPr>
      </w:pPr>
      <w:r w:rsidRPr="009E2AF4">
        <w:rPr>
          <w:b/>
          <w:i/>
          <w:sz w:val="24"/>
          <w:szCs w:val="24"/>
          <w:lang w:val="en-US"/>
        </w:rPr>
        <w:t>In Vitro Phagocytosis Assay</w:t>
      </w:r>
      <w:r w:rsidRPr="009E2AF4">
        <w:rPr>
          <w:i/>
          <w:sz w:val="24"/>
          <w:szCs w:val="24"/>
          <w:lang w:val="en-US"/>
        </w:rPr>
        <w:t xml:space="preserve"> </w:t>
      </w:r>
    </w:p>
    <w:p w14:paraId="42474975" w14:textId="77777777" w:rsidR="00CD03E4" w:rsidRPr="009E2AF4" w:rsidRDefault="00CD03E4" w:rsidP="00CD03E4">
      <w:pPr>
        <w:spacing w:after="0" w:line="480" w:lineRule="auto"/>
        <w:rPr>
          <w:sz w:val="24"/>
          <w:szCs w:val="24"/>
          <w:lang w:val="en-US"/>
        </w:rPr>
      </w:pPr>
      <w:r w:rsidRPr="009E2AF4">
        <w:rPr>
          <w:sz w:val="24"/>
          <w:szCs w:val="24"/>
          <w:lang w:val="en-US"/>
        </w:rPr>
        <w:lastRenderedPageBreak/>
        <w:t xml:space="preserve">The functional capacity of the hPSC-RPE to phagocytose porcine photoreceptor outer segments (POS) was assessed </w:t>
      </w:r>
      <w:r w:rsidRPr="009E2AF4">
        <w:rPr>
          <w:i/>
          <w:sz w:val="24"/>
          <w:szCs w:val="24"/>
          <w:lang w:val="en-US"/>
        </w:rPr>
        <w:t>in vitro</w:t>
      </w:r>
      <w:r w:rsidRPr="009E2AF4">
        <w:rPr>
          <w:sz w:val="24"/>
          <w:szCs w:val="24"/>
          <w:lang w:val="en-US"/>
        </w:rPr>
        <w:t xml:space="preserve">. Porcine POS were isolated from porcine eyes, collected to cold AMES' medium (Sigma- Aldrich) with 0.5 % Penicillin-Streptomycin immediately after slaughter and kept on ice, protected from light until POS extraction approximately 2 h later. The retinas were removed using scissors, blades and tweezers in a dark room under red light. Retinas were homogenized with gentle shaking in 0.73 M sucrose phosphate buffer, filtered twice through a gauze and cell types separated in sucrose gradient (0.75 M, 1.0 M, 1.25 M, 1.5 M, 1.75 M) by ultracentrifugation (Optima ultracentrifuge, Beckman Coulter, Inc., Brea, CA) 112,400g for 48 min at +4°C. The faint pink POS layer was collected in phosphate buffer, washed twice with centrifugation 3000 g for 10 min at +4°C, and stored as aliquots in 73 mM sucrose phosphate buffer at -70°C. For phagocytosis assay, POS were defrosted, centrifuged 5400 rpm, 4 min (Eppendorf Centrifuge 5415 R) washed with DPBS, centrifuged again and suspended into the medium containing 10% FBS. POS were added to the apical side of the hPSC-RPE inserts and incubated protected from light for 4 h at +37°C, or at +4°C for negative controls. The inserts were washed several times with DPBS and fixed with 4% PFA for 15 min at RT followed by DPBS washes. Cells were permeabilized with 0.1% Triton-X (Sigma-Aldrich) in DPBS for 15 min at RT, followed by DPBS washes, and blocked with 3% BSA (Sigma-Aldrich) in DPBS for 1 hour at RT, followed by DPBS washes. The cells were then labeled with monoclonal anti-opsin antibody (Sigma 04886), diluted 1:200 in 0.5 % BSA, in PBS overnight at +4°C. After DPBS washes the cells were labeled with 1:400 dilution of Alexa Fluor 488-conjugated donkey anti-mouse IgG (A-21202) and 1:500 Phalloidin in 0.5 % BSA in DPBS for 1 hour at RT. After several DPBS washes the cells were mounted with VECTASHIELD™ Mounting Medium containing DAPI. Z-stack images were acquired with confocal microscope to visualize internalized POS (LSM 700, Carl Zeiss, </w:t>
      </w:r>
      <w:proofErr w:type="gramStart"/>
      <w:r w:rsidRPr="009E2AF4">
        <w:rPr>
          <w:sz w:val="24"/>
          <w:szCs w:val="24"/>
          <w:lang w:val="en-US"/>
        </w:rPr>
        <w:t>63× oil immersion objective</w:t>
      </w:r>
      <w:proofErr w:type="gramEnd"/>
      <w:r w:rsidRPr="009E2AF4">
        <w:rPr>
          <w:sz w:val="24"/>
          <w:szCs w:val="24"/>
          <w:lang w:val="en-US"/>
        </w:rPr>
        <w:t>).</w:t>
      </w:r>
    </w:p>
    <w:p w14:paraId="4307A5D2" w14:textId="77777777" w:rsidR="00467A84" w:rsidRPr="009E2AF4" w:rsidRDefault="00467A84" w:rsidP="00CD03E4">
      <w:pPr>
        <w:spacing w:after="0" w:line="480" w:lineRule="auto"/>
        <w:rPr>
          <w:b/>
          <w:i/>
          <w:sz w:val="24"/>
          <w:szCs w:val="24"/>
          <w:lang w:val="en-US"/>
        </w:rPr>
      </w:pPr>
    </w:p>
    <w:p w14:paraId="1922916E" w14:textId="5B756DF1" w:rsidR="00CD03E4" w:rsidRPr="009E2AF4" w:rsidRDefault="00CD03E4" w:rsidP="00CD03E4">
      <w:pPr>
        <w:spacing w:after="0" w:line="480" w:lineRule="auto"/>
        <w:rPr>
          <w:b/>
          <w:i/>
          <w:sz w:val="24"/>
          <w:szCs w:val="24"/>
          <w:lang w:val="en-US"/>
        </w:rPr>
      </w:pPr>
      <w:r w:rsidRPr="009E2AF4">
        <w:rPr>
          <w:b/>
          <w:i/>
          <w:sz w:val="24"/>
          <w:szCs w:val="24"/>
          <w:lang w:val="en-US"/>
        </w:rPr>
        <w:lastRenderedPageBreak/>
        <w:t xml:space="preserve">Western Blot </w:t>
      </w:r>
    </w:p>
    <w:p w14:paraId="5E31DB03" w14:textId="4025E8A2" w:rsidR="00CD03E4" w:rsidRPr="009E2AF4" w:rsidRDefault="00CD03E4" w:rsidP="00CD03E4">
      <w:pPr>
        <w:spacing w:after="0" w:line="480" w:lineRule="auto"/>
        <w:rPr>
          <w:sz w:val="24"/>
          <w:szCs w:val="24"/>
          <w:lang w:val="en-US"/>
        </w:rPr>
      </w:pPr>
      <w:proofErr w:type="gramStart"/>
      <w:r w:rsidRPr="009E2AF4">
        <w:rPr>
          <w:sz w:val="24"/>
          <w:szCs w:val="24"/>
          <w:lang w:val="en-US"/>
        </w:rPr>
        <w:t>RPE65,</w:t>
      </w:r>
      <w:proofErr w:type="gramEnd"/>
      <w:r w:rsidRPr="009E2AF4">
        <w:rPr>
          <w:sz w:val="24"/>
          <w:szCs w:val="24"/>
          <w:lang w:val="en-US"/>
        </w:rPr>
        <w:t xml:space="preserve"> and Bestrophin protein expression levels were studied with Western blotting with protocol previously described in</w:t>
      </w:r>
      <w:r w:rsidR="007656FD" w:rsidRPr="009E2AF4">
        <w:rPr>
          <w:sz w:val="24"/>
          <w:szCs w:val="24"/>
          <w:lang w:val="en-US"/>
        </w:rPr>
        <w:t xml:space="preserve"> </w:t>
      </w:r>
      <w:sdt>
        <w:sdtPr>
          <w:rPr>
            <w:sz w:val="24"/>
            <w:szCs w:val="24"/>
            <w:lang w:val="en-US"/>
          </w:rPr>
          <w:id w:val="-1096931604"/>
          <w:placeholder>
            <w:docPart w:val="817D6865162A4A89B1886D0CDE61D851"/>
          </w:placeholder>
        </w:sdtPr>
        <w:sdtEndPr/>
        <w:sdtContent>
          <w:r w:rsidR="004D42CB" w:rsidRPr="009E2AF4">
            <w:rPr>
              <w:sz w:val="24"/>
              <w:szCs w:val="24"/>
              <w:lang w:val="en-US"/>
            </w:rPr>
            <w:t>[3]</w:t>
          </w:r>
        </w:sdtContent>
      </w:sdt>
      <w:r w:rsidRPr="009E2AF4">
        <w:rPr>
          <w:sz w:val="24"/>
          <w:szCs w:val="24"/>
          <w:lang w:val="en-US"/>
        </w:rPr>
        <w:t>. Primary antibodies 1:5000</w:t>
      </w:r>
      <w:r w:rsidRPr="009E2AF4">
        <w:rPr>
          <w:lang w:val="en-US"/>
        </w:rPr>
        <w:t xml:space="preserve"> </w:t>
      </w:r>
      <w:r w:rsidRPr="009E2AF4">
        <w:rPr>
          <w:sz w:val="24"/>
          <w:szCs w:val="24"/>
          <w:lang w:val="en-US"/>
        </w:rPr>
        <w:t xml:space="preserve">Anti-RPE65 </w:t>
      </w:r>
      <w:r w:rsidRPr="009E2AF4">
        <w:rPr>
          <w:lang w:val="en-US"/>
        </w:rPr>
        <w:t>(</w:t>
      </w:r>
      <w:r w:rsidRPr="009E2AF4">
        <w:rPr>
          <w:sz w:val="24"/>
          <w:szCs w:val="24"/>
          <w:lang w:val="en-US"/>
        </w:rPr>
        <w:t xml:space="preserve">MAB5428, Merck Millipore) and 1:1000 Anti-Bestrophin (ab14928, Abcam) were used. After stripping the membranes, 1:2000 β-Actin Antibody (sc-47778, Santa Cruz Biotechnology) was used as loading control. 1:3000 HRP-conjugated goat anti-mouse IgG (sc-2005, Santa Cruz) and 1:2000 HRP-conjugated polyclonal swine anti-rabbit IgG (P0217 </w:t>
      </w:r>
      <w:proofErr w:type="spellStart"/>
      <w:r w:rsidRPr="009E2AF4">
        <w:rPr>
          <w:sz w:val="24"/>
          <w:szCs w:val="24"/>
          <w:lang w:val="en-US"/>
        </w:rPr>
        <w:t>Dako</w:t>
      </w:r>
      <w:proofErr w:type="spellEnd"/>
      <w:r w:rsidRPr="009E2AF4">
        <w:rPr>
          <w:sz w:val="24"/>
          <w:szCs w:val="24"/>
          <w:lang w:val="en-US"/>
        </w:rPr>
        <w:t xml:space="preserve">) were used as secondary antibodies. </w:t>
      </w:r>
    </w:p>
    <w:p w14:paraId="39ABE8D1" w14:textId="77777777" w:rsidR="00CD03E4" w:rsidRPr="009E2AF4" w:rsidRDefault="00CD03E4" w:rsidP="00CD03E4">
      <w:pPr>
        <w:spacing w:after="0" w:line="480" w:lineRule="auto"/>
        <w:rPr>
          <w:sz w:val="24"/>
          <w:szCs w:val="24"/>
          <w:lang w:val="en-US"/>
        </w:rPr>
      </w:pPr>
    </w:p>
    <w:p w14:paraId="130F74E4" w14:textId="77777777" w:rsidR="00CD03E4" w:rsidRPr="009E2AF4" w:rsidRDefault="00CD03E4" w:rsidP="00CD03E4">
      <w:pPr>
        <w:spacing w:after="0" w:line="480" w:lineRule="auto"/>
        <w:rPr>
          <w:b/>
          <w:sz w:val="24"/>
          <w:szCs w:val="24"/>
          <w:lang w:val="en-US"/>
        </w:rPr>
      </w:pPr>
      <w:r w:rsidRPr="009E2AF4">
        <w:rPr>
          <w:b/>
          <w:sz w:val="24"/>
          <w:szCs w:val="24"/>
          <w:lang w:val="en-US"/>
        </w:rPr>
        <w:t>Characterization of hPSC-LESC Cells</w:t>
      </w:r>
    </w:p>
    <w:p w14:paraId="530415EF" w14:textId="77777777" w:rsidR="00CD03E4" w:rsidRPr="009E2AF4" w:rsidRDefault="00CD03E4" w:rsidP="00CD03E4">
      <w:pPr>
        <w:spacing w:after="0" w:line="480" w:lineRule="auto"/>
        <w:rPr>
          <w:b/>
          <w:i/>
          <w:sz w:val="24"/>
          <w:szCs w:val="24"/>
          <w:lang w:val="en-US"/>
        </w:rPr>
      </w:pPr>
      <w:r w:rsidRPr="009E2AF4">
        <w:rPr>
          <w:b/>
          <w:i/>
          <w:sz w:val="24"/>
          <w:szCs w:val="24"/>
          <w:lang w:val="en-US"/>
        </w:rPr>
        <w:t xml:space="preserve">Gene Expression Analysis </w:t>
      </w:r>
    </w:p>
    <w:p w14:paraId="5ECA5A1F" w14:textId="5E554676" w:rsidR="00CD03E4" w:rsidRPr="009E2AF4" w:rsidRDefault="00CD03E4" w:rsidP="00CD03E4">
      <w:pPr>
        <w:spacing w:after="0" w:line="480" w:lineRule="auto"/>
        <w:rPr>
          <w:sz w:val="24"/>
          <w:szCs w:val="24"/>
          <w:lang w:val="en-US"/>
        </w:rPr>
      </w:pPr>
      <w:r w:rsidRPr="009E2AF4">
        <w:rPr>
          <w:sz w:val="24"/>
          <w:szCs w:val="24"/>
          <w:lang w:val="en-US"/>
        </w:rPr>
        <w:t xml:space="preserve">Relative gene expression during early LESC differentiation was assessed with quantitative PCR (qPCR) analysis. Relative expression of </w:t>
      </w:r>
      <w:r w:rsidRPr="009E2AF4">
        <w:rPr>
          <w:i/>
          <w:sz w:val="24"/>
          <w:szCs w:val="24"/>
          <w:lang w:val="en-US"/>
        </w:rPr>
        <w:t>OCT-3/4</w:t>
      </w:r>
      <w:r w:rsidRPr="009E2AF4">
        <w:rPr>
          <w:sz w:val="24"/>
          <w:szCs w:val="24"/>
          <w:lang w:val="en-US"/>
        </w:rPr>
        <w:t xml:space="preserve">, </w:t>
      </w:r>
      <w:r w:rsidRPr="009E2AF4">
        <w:rPr>
          <w:i/>
          <w:sz w:val="24"/>
          <w:szCs w:val="24"/>
          <w:lang w:val="en-US"/>
        </w:rPr>
        <w:t>PAX6</w:t>
      </w:r>
      <w:r w:rsidRPr="009E2AF4">
        <w:rPr>
          <w:sz w:val="24"/>
          <w:szCs w:val="24"/>
          <w:lang w:val="en-US"/>
        </w:rPr>
        <w:t>, ATP-binding cassette sub-family G member 2 (</w:t>
      </w:r>
      <w:r w:rsidRPr="009E2AF4">
        <w:rPr>
          <w:i/>
          <w:sz w:val="24"/>
          <w:szCs w:val="24"/>
          <w:lang w:val="en-US"/>
        </w:rPr>
        <w:t>ABCG2</w:t>
      </w:r>
      <w:r w:rsidRPr="009E2AF4">
        <w:rPr>
          <w:sz w:val="24"/>
          <w:szCs w:val="24"/>
          <w:lang w:val="en-US"/>
        </w:rPr>
        <w:t xml:space="preserve">), </w:t>
      </w:r>
      <w:r w:rsidRPr="009E2AF4">
        <w:rPr>
          <w:i/>
          <w:sz w:val="24"/>
          <w:szCs w:val="24"/>
          <w:lang w:val="en-US"/>
        </w:rPr>
        <w:t>BMP-4</w:t>
      </w:r>
      <w:r w:rsidRPr="009E2AF4">
        <w:rPr>
          <w:sz w:val="24"/>
          <w:szCs w:val="24"/>
          <w:lang w:val="en-US"/>
        </w:rPr>
        <w:t xml:space="preserve">, and pituitary </w:t>
      </w:r>
      <w:proofErr w:type="spellStart"/>
      <w:r w:rsidRPr="009E2AF4">
        <w:rPr>
          <w:sz w:val="24"/>
          <w:szCs w:val="24"/>
          <w:lang w:val="en-US"/>
        </w:rPr>
        <w:t>homeobox</w:t>
      </w:r>
      <w:proofErr w:type="spellEnd"/>
      <w:r w:rsidRPr="009E2AF4">
        <w:rPr>
          <w:sz w:val="24"/>
          <w:szCs w:val="24"/>
          <w:lang w:val="en-US"/>
        </w:rPr>
        <w:t xml:space="preserve"> 2 (</w:t>
      </w:r>
      <w:r w:rsidRPr="009E2AF4">
        <w:rPr>
          <w:i/>
          <w:sz w:val="24"/>
          <w:szCs w:val="24"/>
          <w:lang w:val="en-US"/>
        </w:rPr>
        <w:t>PITX2</w:t>
      </w:r>
      <w:r w:rsidRPr="009E2AF4">
        <w:rPr>
          <w:sz w:val="24"/>
          <w:szCs w:val="24"/>
          <w:lang w:val="en-US"/>
        </w:rPr>
        <w:t>) was studied during 7-day induction with 10 µM SB-505124, 10 µM IWP-2, and 50 ng/ml bFGF for hESC1 cultured on both hFF feeder cells in standard hESC medium and for cells cultured on</w:t>
      </w:r>
      <w:r w:rsidRPr="009E2AF4">
        <w:rPr>
          <w:color w:val="FF0000"/>
          <w:sz w:val="24"/>
          <w:szCs w:val="24"/>
          <w:lang w:val="en-US"/>
        </w:rPr>
        <w:t xml:space="preserve"> </w:t>
      </w:r>
      <w:r w:rsidR="00B266A2" w:rsidRPr="009E2AF4">
        <w:rPr>
          <w:sz w:val="24"/>
          <w:szCs w:val="24"/>
          <w:lang w:val="en-US"/>
        </w:rPr>
        <w:t>LN-521</w:t>
      </w:r>
      <w:r w:rsidRPr="009E2AF4">
        <w:rPr>
          <w:sz w:val="24"/>
          <w:szCs w:val="24"/>
          <w:lang w:val="en-US"/>
        </w:rPr>
        <w:t xml:space="preserve"> in E8 medium.  For cells cultured on hFF, samples were collected from undifferentiated (UD) cells, overnight blebbistatin treatment to form EBs, and on day 7, after six days of treatment with induction medium. For feeder-free hPSCs, the samples were collected from UD cells, after 72 h blebbistatin treatment, and on day 7, after four days of treatment with induction medium. For RNA extraction, cDNA synthesis, and sequence-specific </w:t>
      </w:r>
      <w:proofErr w:type="spellStart"/>
      <w:r w:rsidRPr="009E2AF4">
        <w:rPr>
          <w:sz w:val="24"/>
          <w:szCs w:val="24"/>
          <w:lang w:val="en-US"/>
        </w:rPr>
        <w:t>TaqMan</w:t>
      </w:r>
      <w:proofErr w:type="spellEnd"/>
      <w:r w:rsidRPr="009E2AF4">
        <w:rPr>
          <w:sz w:val="24"/>
          <w:szCs w:val="24"/>
          <w:lang w:val="en-US"/>
        </w:rPr>
        <w:t xml:space="preserve"> Gene Expression Assays (Applied </w:t>
      </w:r>
      <w:proofErr w:type="spellStart"/>
      <w:r w:rsidRPr="009E2AF4">
        <w:rPr>
          <w:sz w:val="24"/>
          <w:szCs w:val="24"/>
          <w:lang w:val="en-US"/>
        </w:rPr>
        <w:t>Biosystems</w:t>
      </w:r>
      <w:proofErr w:type="spellEnd"/>
      <w:r w:rsidRPr="009E2AF4">
        <w:rPr>
          <w:sz w:val="24"/>
          <w:szCs w:val="24"/>
          <w:lang w:val="en-US"/>
        </w:rPr>
        <w:t xml:space="preserve">), refer to </w:t>
      </w:r>
      <w:sdt>
        <w:sdtPr>
          <w:rPr>
            <w:sz w:val="24"/>
            <w:szCs w:val="24"/>
            <w:lang w:val="en-US"/>
          </w:rPr>
          <w:id w:val="-1230773328"/>
          <w:placeholder>
            <w:docPart w:val="9CD77E307FF347D988A3F9D0671AF0B2"/>
          </w:placeholder>
        </w:sdtPr>
        <w:sdtEndPr/>
        <w:sdtContent>
          <w:r w:rsidR="004D42CB" w:rsidRPr="009E2AF4">
            <w:rPr>
              <w:sz w:val="24"/>
              <w:szCs w:val="24"/>
              <w:lang w:val="en-US"/>
            </w:rPr>
            <w:t>[4]</w:t>
          </w:r>
        </w:sdtContent>
      </w:sdt>
      <w:r w:rsidR="007656FD" w:rsidRPr="009E2AF4">
        <w:rPr>
          <w:sz w:val="24"/>
          <w:szCs w:val="24"/>
          <w:lang w:val="en-US"/>
        </w:rPr>
        <w:t>.</w:t>
      </w:r>
      <w:r w:rsidRPr="009E2AF4">
        <w:rPr>
          <w:color w:val="FF0000"/>
          <w:sz w:val="24"/>
          <w:szCs w:val="24"/>
          <w:lang w:val="en-US"/>
        </w:rPr>
        <w:t xml:space="preserve"> </w:t>
      </w:r>
      <w:r w:rsidRPr="009E2AF4">
        <w:rPr>
          <w:sz w:val="24"/>
          <w:szCs w:val="24"/>
          <w:lang w:val="en-US"/>
        </w:rPr>
        <w:t xml:space="preserve">All samples and controls were run as triplicate reactions with the 7300 Real-Time PCR system and results analyzed with the 7300 System SDS Software (Applied </w:t>
      </w:r>
      <w:proofErr w:type="spellStart"/>
      <w:r w:rsidRPr="009E2AF4">
        <w:rPr>
          <w:sz w:val="24"/>
          <w:szCs w:val="24"/>
          <w:lang w:val="en-US"/>
        </w:rPr>
        <w:t>Biosystems</w:t>
      </w:r>
      <w:proofErr w:type="spellEnd"/>
      <w:r w:rsidRPr="009E2AF4">
        <w:rPr>
          <w:sz w:val="24"/>
          <w:szCs w:val="24"/>
          <w:lang w:val="en-US"/>
        </w:rPr>
        <w:t>) based on the cycle threshold (CT) values. Relative quantification of each gene was calculated by applying the -2</w:t>
      </w:r>
      <w:r w:rsidRPr="009E2AF4">
        <w:rPr>
          <w:sz w:val="24"/>
          <w:szCs w:val="24"/>
          <w:vertAlign w:val="superscript"/>
          <w:lang w:val="en-US"/>
        </w:rPr>
        <w:t>∆∆Ct</w:t>
      </w:r>
      <w:r w:rsidRPr="009E2AF4">
        <w:rPr>
          <w:sz w:val="24"/>
          <w:szCs w:val="24"/>
          <w:lang w:val="en-US"/>
        </w:rPr>
        <w:t xml:space="preserve"> method. Results were </w:t>
      </w:r>
      <w:r w:rsidRPr="009E2AF4">
        <w:rPr>
          <w:sz w:val="24"/>
          <w:szCs w:val="24"/>
          <w:lang w:val="en-US"/>
        </w:rPr>
        <w:lastRenderedPageBreak/>
        <w:t xml:space="preserve">normalized to </w:t>
      </w:r>
      <w:r w:rsidRPr="009E2AF4">
        <w:rPr>
          <w:i/>
          <w:sz w:val="24"/>
          <w:szCs w:val="24"/>
          <w:lang w:val="en-US"/>
        </w:rPr>
        <w:t>GAPDH</w:t>
      </w:r>
      <w:r w:rsidRPr="009E2AF4">
        <w:rPr>
          <w:sz w:val="24"/>
          <w:szCs w:val="24"/>
          <w:lang w:val="en-US"/>
        </w:rPr>
        <w:t xml:space="preserve"> expression with the undifferentiated hESCs as the calibrator (set as one) for both culture methods separately.</w:t>
      </w:r>
    </w:p>
    <w:p w14:paraId="13F05179" w14:textId="77777777" w:rsidR="00CD03E4" w:rsidRPr="009E2AF4" w:rsidRDefault="00CD03E4" w:rsidP="00CD03E4">
      <w:pPr>
        <w:spacing w:after="0" w:line="480" w:lineRule="auto"/>
        <w:rPr>
          <w:sz w:val="24"/>
          <w:szCs w:val="24"/>
          <w:lang w:val="en-US"/>
        </w:rPr>
      </w:pPr>
    </w:p>
    <w:p w14:paraId="05724C41" w14:textId="77777777" w:rsidR="00CD03E4" w:rsidRPr="009E2AF4" w:rsidRDefault="00CD03E4" w:rsidP="00CD03E4">
      <w:pPr>
        <w:spacing w:after="0" w:line="480" w:lineRule="auto"/>
        <w:rPr>
          <w:b/>
          <w:i/>
          <w:sz w:val="24"/>
          <w:szCs w:val="24"/>
          <w:lang w:val="en-US"/>
        </w:rPr>
      </w:pPr>
      <w:r w:rsidRPr="009E2AF4">
        <w:rPr>
          <w:b/>
          <w:i/>
          <w:sz w:val="24"/>
          <w:szCs w:val="24"/>
          <w:lang w:val="en-US"/>
        </w:rPr>
        <w:t>Immunofluorescence</w:t>
      </w:r>
    </w:p>
    <w:p w14:paraId="0CE3FD0F" w14:textId="5CA0DAE1" w:rsidR="00CD03E4" w:rsidRPr="009E2AF4" w:rsidRDefault="00CD03E4" w:rsidP="00CD03E4">
      <w:pPr>
        <w:spacing w:after="0" w:line="480" w:lineRule="auto"/>
        <w:rPr>
          <w:color w:val="FF0000"/>
          <w:sz w:val="24"/>
          <w:szCs w:val="24"/>
          <w:lang w:val="en-US"/>
        </w:rPr>
      </w:pPr>
      <w:r w:rsidRPr="009E2AF4">
        <w:rPr>
          <w:sz w:val="24"/>
          <w:szCs w:val="24"/>
          <w:lang w:val="en-US"/>
        </w:rPr>
        <w:t>The hPSC-LESC cells were characterized with immunofluorescence labeling after 24 days of differentiation, and after recovery from cryopreservation (day 26-28 and day 34). Immunofluorescence labeling for the hPSC-LESC was conducted as described in</w:t>
      </w:r>
      <w:r w:rsidR="007656FD" w:rsidRPr="009E2AF4">
        <w:rPr>
          <w:sz w:val="24"/>
          <w:szCs w:val="24"/>
          <w:lang w:val="en-US"/>
        </w:rPr>
        <w:t xml:space="preserve"> </w:t>
      </w:r>
      <w:sdt>
        <w:sdtPr>
          <w:rPr>
            <w:sz w:val="24"/>
            <w:szCs w:val="24"/>
            <w:lang w:val="en-US"/>
          </w:rPr>
          <w:id w:val="1662112042"/>
          <w:placeholder>
            <w:docPart w:val="F91AA1690D4B41ADA1232D321A4DFC8C"/>
          </w:placeholder>
        </w:sdtPr>
        <w:sdtEndPr/>
        <w:sdtContent>
          <w:r w:rsidR="004D42CB" w:rsidRPr="009E2AF4">
            <w:rPr>
              <w:sz w:val="24"/>
              <w:szCs w:val="24"/>
              <w:lang w:val="en-US"/>
            </w:rPr>
            <w:t>[4]</w:t>
          </w:r>
        </w:sdtContent>
      </w:sdt>
      <w:r w:rsidRPr="009E2AF4">
        <w:rPr>
          <w:sz w:val="24"/>
          <w:szCs w:val="24"/>
          <w:lang w:val="en-US"/>
        </w:rPr>
        <w:t xml:space="preserve">. The following primary antibodies and dilutions were used: rabbit anti-PAX6 (1:200, Sigma-Aldrich, HPA030775), mouse anti-p40 (1:100, </w:t>
      </w:r>
      <w:proofErr w:type="spellStart"/>
      <w:r w:rsidRPr="009E2AF4">
        <w:rPr>
          <w:sz w:val="24"/>
          <w:szCs w:val="24"/>
          <w:lang w:val="en-US"/>
        </w:rPr>
        <w:t>BioCare</w:t>
      </w:r>
      <w:proofErr w:type="spellEnd"/>
      <w:r w:rsidRPr="009E2AF4">
        <w:rPr>
          <w:sz w:val="24"/>
          <w:szCs w:val="24"/>
          <w:lang w:val="en-US"/>
        </w:rPr>
        <w:t xml:space="preserve"> Medical, ACI3066A), p63α (1:200,</w:t>
      </w:r>
      <w:r w:rsidR="006A2E7E" w:rsidRPr="009E2AF4">
        <w:rPr>
          <w:sz w:val="24"/>
          <w:szCs w:val="24"/>
          <w:lang w:val="en-US"/>
        </w:rPr>
        <w:t>Cell Signaling Technology</w:t>
      </w:r>
      <w:r w:rsidRPr="009E2AF4">
        <w:rPr>
          <w:sz w:val="24"/>
          <w:szCs w:val="24"/>
          <w:lang w:val="en-US"/>
        </w:rPr>
        <w:t xml:space="preserve">, 4892), cytokeratin 15 Ab-1 (1:200, Thermo Fisher Scientific, MS-1068-P), cytokeratin 14 (1:300, R&amp;D Systems, MAB3164), anti-cytokeratin 3 [AE5] (1:200, Abcam, ab77869) and cytokeratin 12 [L-20] (1:200, </w:t>
      </w:r>
      <w:proofErr w:type="spellStart"/>
      <w:r w:rsidRPr="009E2AF4">
        <w:rPr>
          <w:sz w:val="24"/>
          <w:szCs w:val="24"/>
          <w:lang w:val="en-US"/>
        </w:rPr>
        <w:t>SantaCruz</w:t>
      </w:r>
      <w:proofErr w:type="spellEnd"/>
      <w:r w:rsidRPr="009E2AF4">
        <w:rPr>
          <w:sz w:val="24"/>
          <w:szCs w:val="24"/>
          <w:lang w:val="en-US"/>
        </w:rPr>
        <w:t xml:space="preserve">, sc-17099). Alexa Fluor 568-conjugated donkey anti-goat Ig (A-11057) and donkey anti-mouse Ig (A-10037) as well as Alexa Fluor 488-conjugated donkey anti-rabbit Ig (A-21206) and donkey anti-mouse Ig (A-21202), all diluted at 1:800, </w:t>
      </w:r>
      <w:proofErr w:type="gramStart"/>
      <w:r w:rsidRPr="009E2AF4">
        <w:rPr>
          <w:sz w:val="24"/>
          <w:szCs w:val="24"/>
          <w:lang w:val="en-US"/>
        </w:rPr>
        <w:t>were</w:t>
      </w:r>
      <w:proofErr w:type="gramEnd"/>
      <w:r w:rsidRPr="009E2AF4">
        <w:rPr>
          <w:sz w:val="24"/>
          <w:szCs w:val="24"/>
          <w:lang w:val="en-US"/>
        </w:rPr>
        <w:t xml:space="preserve"> used as secondary antibodies (all from Thermo Fisher Scientific). Samples were mounted with VECTASHIELD™ Mounting Medium with DAPI, and images were acquired with Olympus IX51 microscope. </w:t>
      </w:r>
    </w:p>
    <w:p w14:paraId="216FD8B5" w14:textId="77777777" w:rsidR="00CD03E4" w:rsidRPr="009E2AF4" w:rsidRDefault="00CD03E4" w:rsidP="00CD03E4">
      <w:pPr>
        <w:spacing w:after="0" w:line="480" w:lineRule="auto"/>
        <w:rPr>
          <w:b/>
          <w:i/>
          <w:sz w:val="24"/>
          <w:szCs w:val="24"/>
          <w:lang w:val="en-US"/>
        </w:rPr>
      </w:pPr>
    </w:p>
    <w:p w14:paraId="5AD94A54" w14:textId="77777777" w:rsidR="00CD03E4" w:rsidRPr="009E2AF4" w:rsidRDefault="00CD03E4" w:rsidP="00CD03E4">
      <w:pPr>
        <w:spacing w:after="0" w:line="480" w:lineRule="auto"/>
        <w:rPr>
          <w:b/>
          <w:i/>
          <w:sz w:val="24"/>
          <w:szCs w:val="24"/>
          <w:lang w:val="en-US"/>
        </w:rPr>
      </w:pPr>
      <w:r w:rsidRPr="009E2AF4">
        <w:rPr>
          <w:b/>
          <w:i/>
          <w:sz w:val="24"/>
          <w:szCs w:val="24"/>
          <w:lang w:val="en-US"/>
        </w:rPr>
        <w:t xml:space="preserve">Quantification of p40, p63α, and PAX6 Expression </w:t>
      </w:r>
      <w:r w:rsidRPr="009E2AF4">
        <w:rPr>
          <w:b/>
          <w:i/>
          <w:sz w:val="24"/>
          <w:szCs w:val="24"/>
          <w:lang w:val="en-US"/>
        </w:rPr>
        <w:tab/>
      </w:r>
    </w:p>
    <w:p w14:paraId="5D0569A8" w14:textId="171C9CDE" w:rsidR="00CD03E4" w:rsidRPr="009E2AF4" w:rsidRDefault="00CD03E4" w:rsidP="00CD03E4">
      <w:pPr>
        <w:spacing w:after="0" w:line="480" w:lineRule="auto"/>
        <w:rPr>
          <w:sz w:val="24"/>
          <w:szCs w:val="24"/>
          <w:lang w:val="en-US"/>
        </w:rPr>
      </w:pPr>
      <w:r w:rsidRPr="009E2AF4">
        <w:rPr>
          <w:sz w:val="24"/>
          <w:szCs w:val="24"/>
          <w:lang w:val="en-US"/>
        </w:rPr>
        <w:t xml:space="preserve">Quantification of p40 and p63α was performed from double-stained </w:t>
      </w:r>
      <w:proofErr w:type="spellStart"/>
      <w:r w:rsidRPr="009E2AF4">
        <w:rPr>
          <w:sz w:val="24"/>
          <w:szCs w:val="24"/>
          <w:lang w:val="en-US"/>
        </w:rPr>
        <w:t>cytospin</w:t>
      </w:r>
      <w:proofErr w:type="spellEnd"/>
      <w:r w:rsidRPr="009E2AF4">
        <w:rPr>
          <w:sz w:val="24"/>
          <w:szCs w:val="24"/>
          <w:lang w:val="en-US"/>
        </w:rPr>
        <w:t xml:space="preserve"> samples labeled with respective antibodies at the time point of day 24. </w:t>
      </w:r>
      <w:proofErr w:type="spellStart"/>
      <w:r w:rsidRPr="009E2AF4">
        <w:rPr>
          <w:sz w:val="24"/>
          <w:szCs w:val="24"/>
          <w:lang w:val="en-US"/>
        </w:rPr>
        <w:t>Cytospin</w:t>
      </w:r>
      <w:proofErr w:type="spellEnd"/>
      <w:r w:rsidRPr="009E2AF4">
        <w:rPr>
          <w:sz w:val="24"/>
          <w:szCs w:val="24"/>
          <w:lang w:val="en-US"/>
        </w:rPr>
        <w:t xml:space="preserve"> samples were prepared as described in </w:t>
      </w:r>
      <w:sdt>
        <w:sdtPr>
          <w:rPr>
            <w:sz w:val="24"/>
            <w:szCs w:val="24"/>
            <w:lang w:val="en-US"/>
          </w:rPr>
          <w:id w:val="318317124"/>
          <w:placeholder>
            <w:docPart w:val="4CD49DCED85F4AB7A77F14B63DF54D8A"/>
          </w:placeholder>
        </w:sdtPr>
        <w:sdtEndPr/>
        <w:sdtContent>
          <w:r w:rsidR="004D42CB" w:rsidRPr="009E2AF4">
            <w:rPr>
              <w:sz w:val="24"/>
              <w:szCs w:val="24"/>
              <w:lang w:val="en-US"/>
            </w:rPr>
            <w:t>[4]</w:t>
          </w:r>
        </w:sdtContent>
      </w:sdt>
      <w:r w:rsidRPr="009E2AF4">
        <w:rPr>
          <w:sz w:val="24"/>
          <w:szCs w:val="24"/>
          <w:lang w:val="en-US"/>
        </w:rPr>
        <w:t xml:space="preserve">. For cell counting, 10 images in total were captured with 10x magnification from randomly selected locations in two separate slides. Quantification of p40 and PAX6 was performed from samples fixed and double-stained with respective antibodies directly in the culture vessels at the time points of 26-28 and 34 days.  For cell counting, 10 images in total were captured with 10x </w:t>
      </w:r>
      <w:r w:rsidRPr="009E2AF4">
        <w:rPr>
          <w:sz w:val="24"/>
          <w:szCs w:val="24"/>
          <w:lang w:val="en-US"/>
        </w:rPr>
        <w:lastRenderedPageBreak/>
        <w:t xml:space="preserve">magnification from the middle and each cardinal point area of two wells. Cells were counted with </w:t>
      </w:r>
      <w:proofErr w:type="spellStart"/>
      <w:r w:rsidRPr="009E2AF4">
        <w:rPr>
          <w:sz w:val="24"/>
          <w:szCs w:val="24"/>
          <w:lang w:val="en-US"/>
        </w:rPr>
        <w:t>ImageJ</w:t>
      </w:r>
      <w:proofErr w:type="spellEnd"/>
      <w:r w:rsidRPr="009E2AF4">
        <w:rPr>
          <w:sz w:val="24"/>
          <w:szCs w:val="24"/>
          <w:lang w:val="en-US"/>
        </w:rPr>
        <w:t xml:space="preserve"> Image Processing and Analysis software tools. Region of interests (ROIs) were highlighted by </w:t>
      </w:r>
      <w:proofErr w:type="spellStart"/>
      <w:r w:rsidRPr="009E2AF4">
        <w:rPr>
          <w:sz w:val="24"/>
          <w:szCs w:val="24"/>
          <w:lang w:val="en-US"/>
        </w:rPr>
        <w:t>thresholding</w:t>
      </w:r>
      <w:proofErr w:type="spellEnd"/>
      <w:r w:rsidRPr="009E2AF4">
        <w:rPr>
          <w:sz w:val="24"/>
          <w:szCs w:val="24"/>
          <w:lang w:val="en-US"/>
        </w:rPr>
        <w:t xml:space="preserve"> and thereafter grayscale image was converted to binary. Binary processing tools “Dilate”, “Fill holes” and “Watershed” were selectively used to promote more accurate selection. Lastly, each set of ROIs was evaluated against the original grayscale image and inaccurate selections were manually corrected. For each image, percentages of p40 or p63α and PAX6 or p40 positively stained nuclei were calculated against DAPI stained nuclei. For the </w:t>
      </w:r>
      <w:proofErr w:type="spellStart"/>
      <w:r w:rsidRPr="009E2AF4">
        <w:rPr>
          <w:sz w:val="24"/>
          <w:szCs w:val="24"/>
          <w:lang w:val="en-US"/>
        </w:rPr>
        <w:t>cytospin</w:t>
      </w:r>
      <w:proofErr w:type="spellEnd"/>
      <w:r w:rsidRPr="009E2AF4">
        <w:rPr>
          <w:sz w:val="24"/>
          <w:szCs w:val="24"/>
          <w:lang w:val="en-US"/>
        </w:rPr>
        <w:t xml:space="preserve"> samples, 1986 individual cells were analyzed. For quantification of p40 and PAX6, a minimum of 2205 individual cells per time point were analyzed. </w:t>
      </w:r>
    </w:p>
    <w:p w14:paraId="33B33683" w14:textId="77777777" w:rsidR="00CD03E4" w:rsidRPr="009E2AF4" w:rsidRDefault="00CD03E4" w:rsidP="00CD03E4">
      <w:pPr>
        <w:spacing w:after="0" w:line="480" w:lineRule="auto"/>
        <w:rPr>
          <w:sz w:val="24"/>
          <w:szCs w:val="24"/>
          <w:lang w:val="en-US"/>
        </w:rPr>
      </w:pPr>
    </w:p>
    <w:p w14:paraId="7D3F0951" w14:textId="77777777" w:rsidR="00CD03E4" w:rsidRPr="009E2AF4" w:rsidRDefault="00CD03E4" w:rsidP="00CD03E4">
      <w:pPr>
        <w:spacing w:after="0" w:line="480" w:lineRule="auto"/>
        <w:rPr>
          <w:b/>
          <w:sz w:val="24"/>
          <w:szCs w:val="24"/>
          <w:lang w:val="en-US"/>
        </w:rPr>
      </w:pPr>
      <w:r w:rsidRPr="009E2AF4">
        <w:rPr>
          <w:b/>
          <w:i/>
          <w:sz w:val="24"/>
          <w:szCs w:val="24"/>
          <w:lang w:val="en-US"/>
        </w:rPr>
        <w:t>In Vitro</w:t>
      </w:r>
      <w:r w:rsidRPr="009E2AF4">
        <w:rPr>
          <w:b/>
          <w:sz w:val="24"/>
          <w:szCs w:val="24"/>
          <w:lang w:val="en-US"/>
        </w:rPr>
        <w:t xml:space="preserve"> Stratification Assay </w:t>
      </w:r>
    </w:p>
    <w:p w14:paraId="76555E6F" w14:textId="28789679" w:rsidR="00CD03E4" w:rsidRPr="009E2AF4" w:rsidRDefault="00CD03E4" w:rsidP="00CD03E4">
      <w:pPr>
        <w:spacing w:after="0" w:line="480" w:lineRule="auto"/>
        <w:rPr>
          <w:sz w:val="24"/>
          <w:szCs w:val="24"/>
          <w:lang w:val="en-US"/>
        </w:rPr>
      </w:pPr>
      <w:r w:rsidRPr="009E2AF4">
        <w:rPr>
          <w:sz w:val="24"/>
          <w:szCs w:val="24"/>
          <w:lang w:val="en-US"/>
        </w:rPr>
        <w:t>Stratification of hPSC-LESC derived epithelium was carried out with cryop</w:t>
      </w:r>
      <w:r w:rsidR="00A32BDF" w:rsidRPr="009E2AF4">
        <w:rPr>
          <w:sz w:val="24"/>
          <w:szCs w:val="24"/>
          <w:lang w:val="en-US"/>
        </w:rPr>
        <w:t>reserved hiPSC2-LESC</w:t>
      </w:r>
      <w:r w:rsidRPr="009E2AF4">
        <w:rPr>
          <w:sz w:val="24"/>
          <w:szCs w:val="24"/>
          <w:lang w:val="en-US"/>
        </w:rPr>
        <w:t xml:space="preserve">. The cells were thawed onto </w:t>
      </w:r>
      <w:r w:rsidRPr="009E2AF4">
        <w:rPr>
          <w:rFonts w:ascii="Cambria Math" w:hAnsi="Cambria Math" w:cs="Cambria Math"/>
          <w:sz w:val="24"/>
          <w:szCs w:val="24"/>
          <w:lang w:val="en-US"/>
        </w:rPr>
        <w:t>⌀</w:t>
      </w:r>
      <w:r w:rsidRPr="009E2AF4">
        <w:rPr>
          <w:sz w:val="24"/>
          <w:szCs w:val="24"/>
          <w:lang w:val="en-US"/>
        </w:rPr>
        <w:t>10 mm transparent LinkCell-100 membrane (</w:t>
      </w:r>
      <w:proofErr w:type="spellStart"/>
      <w:r w:rsidRPr="009E2AF4">
        <w:rPr>
          <w:sz w:val="24"/>
          <w:szCs w:val="24"/>
          <w:lang w:val="en-US"/>
        </w:rPr>
        <w:t>LinkoCare</w:t>
      </w:r>
      <w:proofErr w:type="spellEnd"/>
      <w:r w:rsidRPr="009E2AF4">
        <w:rPr>
          <w:sz w:val="24"/>
          <w:szCs w:val="24"/>
          <w:lang w:val="en-US"/>
        </w:rPr>
        <w:t xml:space="preserve"> Life Sciences Ltd, Sweden) in CnT-30 medium supplemented with 50 U/ml Penicillin-Streptomycin (Gibco, Thermo Fisher Scientific), in the density of 100 000 cells per membrane. Stratification was induced from confluent cultures by using 0.1 mM calcium chloride supplementation (Lonza) for one day and air-liquid interface culturing for three subsequent days, or alternatively without air-lifting by co-culturing hPSC-LESC indirectly with 3T3 mouse embryonic fibroblast feeder cells in 1% fetal bovine serum (FBS, Gibco) and 0.1 mM calcium chloride enriched CnT-30 media for nine days. During air-lifting media was changed daily, otherwise three times a week.  The membranes were then washed with DPBS and fixed with 4% PFA for 20 min at RT, followed by DPBS washes. Immunofluorescence labeling against mouse anti-p40 and </w:t>
      </w:r>
      <w:r w:rsidR="00CF47F8" w:rsidRPr="009E2AF4">
        <w:rPr>
          <w:sz w:val="24"/>
          <w:szCs w:val="24"/>
          <w:lang w:val="en-US"/>
        </w:rPr>
        <w:t>rabbit anti-</w:t>
      </w:r>
      <w:r w:rsidRPr="009E2AF4">
        <w:rPr>
          <w:sz w:val="24"/>
          <w:szCs w:val="24"/>
          <w:lang w:val="en-US"/>
        </w:rPr>
        <w:t xml:space="preserve">ZO1 (1:100, Invitrogen, 61-7300) antibodies were carried out as for characterization of </w:t>
      </w:r>
      <w:proofErr w:type="spellStart"/>
      <w:r w:rsidRPr="009E2AF4">
        <w:rPr>
          <w:sz w:val="24"/>
          <w:szCs w:val="24"/>
          <w:lang w:val="en-US"/>
        </w:rPr>
        <w:t>hPSC</w:t>
      </w:r>
      <w:proofErr w:type="spellEnd"/>
      <w:r w:rsidRPr="009E2AF4">
        <w:rPr>
          <w:sz w:val="24"/>
          <w:szCs w:val="24"/>
          <w:lang w:val="en-US"/>
        </w:rPr>
        <w:t xml:space="preserve">-LESC, but using </w:t>
      </w:r>
      <w:proofErr w:type="spellStart"/>
      <w:r w:rsidRPr="009E2AF4">
        <w:rPr>
          <w:sz w:val="24"/>
          <w:szCs w:val="24"/>
          <w:lang w:val="en-US"/>
        </w:rPr>
        <w:t>ProLong</w:t>
      </w:r>
      <w:proofErr w:type="spellEnd"/>
      <w:r w:rsidRPr="009E2AF4">
        <w:rPr>
          <w:sz w:val="24"/>
          <w:szCs w:val="24"/>
          <w:lang w:val="en-US"/>
        </w:rPr>
        <w:t xml:space="preserve">® Gold </w:t>
      </w:r>
      <w:proofErr w:type="spellStart"/>
      <w:r w:rsidRPr="009E2AF4">
        <w:rPr>
          <w:sz w:val="24"/>
          <w:szCs w:val="24"/>
          <w:lang w:val="en-US"/>
        </w:rPr>
        <w:t>Antifade</w:t>
      </w:r>
      <w:proofErr w:type="spellEnd"/>
      <w:r w:rsidRPr="009E2AF4">
        <w:rPr>
          <w:sz w:val="24"/>
          <w:szCs w:val="24"/>
          <w:lang w:val="en-US"/>
        </w:rPr>
        <w:t xml:space="preserve"> with DAPI as mounting medium. Z-stack images of the samples were acquired with </w:t>
      </w:r>
      <w:r w:rsidRPr="009E2AF4">
        <w:rPr>
          <w:sz w:val="24"/>
          <w:szCs w:val="24"/>
          <w:lang w:val="en-US"/>
        </w:rPr>
        <w:lastRenderedPageBreak/>
        <w:t>confocal microscope to visualize the layered structure and tight junctions of the formed epithelia (LSM 700, Carl Zeiss, 63× oil immersion objective).</w:t>
      </w:r>
    </w:p>
    <w:p w14:paraId="4414CBD3" w14:textId="77777777" w:rsidR="00CD03E4" w:rsidRPr="009E2AF4" w:rsidRDefault="00CD03E4" w:rsidP="00CD03E4">
      <w:pPr>
        <w:spacing w:after="0" w:line="480" w:lineRule="auto"/>
        <w:rPr>
          <w:sz w:val="24"/>
          <w:szCs w:val="24"/>
          <w:lang w:val="en-US"/>
        </w:rPr>
      </w:pPr>
    </w:p>
    <w:p w14:paraId="6CDC2F19" w14:textId="77777777" w:rsidR="00CD03E4" w:rsidRPr="009E2AF4" w:rsidRDefault="00CD03E4" w:rsidP="00CD03E4">
      <w:pPr>
        <w:spacing w:after="0" w:line="480" w:lineRule="auto"/>
        <w:rPr>
          <w:b/>
          <w:sz w:val="24"/>
          <w:szCs w:val="24"/>
          <w:lang w:val="en-US"/>
        </w:rPr>
      </w:pPr>
      <w:r w:rsidRPr="009E2AF4">
        <w:rPr>
          <w:b/>
          <w:sz w:val="24"/>
          <w:szCs w:val="24"/>
          <w:lang w:val="en-US"/>
        </w:rPr>
        <w:t>Statistical Analysis and Software</w:t>
      </w:r>
    </w:p>
    <w:p w14:paraId="6D694F12" w14:textId="645A9130" w:rsidR="00467A84" w:rsidRPr="009E2AF4" w:rsidRDefault="00CD03E4" w:rsidP="00DB418C">
      <w:pPr>
        <w:spacing w:after="0" w:line="480" w:lineRule="auto"/>
        <w:rPr>
          <w:b/>
          <w:caps/>
          <w:sz w:val="24"/>
          <w:szCs w:val="24"/>
          <w:lang w:val="en-US"/>
        </w:rPr>
      </w:pPr>
      <w:r w:rsidRPr="009E2AF4">
        <w:rPr>
          <w:sz w:val="24"/>
          <w:szCs w:val="24"/>
          <w:lang w:val="en-US"/>
        </w:rPr>
        <w:t>Statistical significance was tested using the non-parametric Mann–Whitney U-test in IBM SPSS Statistics software. P-values &lt;0.05 were considered statistically significant. Bar charts were created with Microsoft Excel 201</w:t>
      </w:r>
      <w:r w:rsidR="00685716" w:rsidRPr="009E2AF4">
        <w:rPr>
          <w:sz w:val="24"/>
          <w:szCs w:val="24"/>
          <w:lang w:val="en-US"/>
        </w:rPr>
        <w:t>6</w:t>
      </w:r>
      <w:r w:rsidRPr="009E2AF4">
        <w:rPr>
          <w:sz w:val="24"/>
          <w:szCs w:val="24"/>
          <w:lang w:val="en-US"/>
        </w:rPr>
        <w:t xml:space="preserve">, and Adobe Photoshop CC 2017 and </w:t>
      </w:r>
      <w:proofErr w:type="spellStart"/>
      <w:r w:rsidRPr="009E2AF4">
        <w:rPr>
          <w:sz w:val="24"/>
          <w:szCs w:val="24"/>
          <w:lang w:val="en-US"/>
        </w:rPr>
        <w:t>CorelDRAW</w:t>
      </w:r>
      <w:proofErr w:type="spellEnd"/>
      <w:r w:rsidRPr="009E2AF4">
        <w:rPr>
          <w:sz w:val="24"/>
          <w:szCs w:val="24"/>
          <w:lang w:val="en-US"/>
        </w:rPr>
        <w:t xml:space="preserve"> X7 were used to edit and create images. </w:t>
      </w:r>
      <w:r w:rsidR="00467A84" w:rsidRPr="009E2AF4">
        <w:rPr>
          <w:b/>
          <w:caps/>
          <w:sz w:val="24"/>
          <w:szCs w:val="24"/>
          <w:lang w:val="en-US"/>
        </w:rPr>
        <w:br w:type="page"/>
      </w:r>
    </w:p>
    <w:p w14:paraId="66D46073" w14:textId="1884BED5" w:rsidR="00473FF2" w:rsidRPr="009E2AF4" w:rsidRDefault="007656FD" w:rsidP="004A4602">
      <w:pPr>
        <w:spacing w:after="0" w:line="480" w:lineRule="auto"/>
        <w:rPr>
          <w:b/>
          <w:sz w:val="28"/>
          <w:szCs w:val="28"/>
          <w:lang w:val="en-US"/>
        </w:rPr>
      </w:pPr>
      <w:r w:rsidRPr="009E2AF4">
        <w:rPr>
          <w:b/>
          <w:sz w:val="28"/>
          <w:szCs w:val="28"/>
          <w:lang w:val="en-US"/>
        </w:rPr>
        <w:lastRenderedPageBreak/>
        <w:t>R</w:t>
      </w:r>
      <w:r w:rsidR="006F4985" w:rsidRPr="009E2AF4">
        <w:rPr>
          <w:b/>
          <w:sz w:val="28"/>
          <w:szCs w:val="28"/>
          <w:lang w:val="en-US"/>
        </w:rPr>
        <w:t>eferences</w:t>
      </w:r>
    </w:p>
    <w:sdt>
      <w:sdtPr>
        <w:rPr>
          <w:b/>
          <w:sz w:val="24"/>
          <w:szCs w:val="24"/>
          <w:lang w:val="en-US"/>
        </w:rPr>
        <w:id w:val="1063752623"/>
        <w:placeholder>
          <w:docPart w:val="95C4CEE906244C2C8BD80C5F836A7759"/>
        </w:placeholder>
      </w:sdtPr>
      <w:sdtEndPr/>
      <w:sdtContent>
        <w:p w14:paraId="3F0EB17C" w14:textId="1C78825A" w:rsidR="004D42CB" w:rsidRPr="009E2AF4" w:rsidRDefault="004D42CB" w:rsidP="007656FD">
          <w:pPr>
            <w:spacing w:after="0" w:line="480" w:lineRule="auto"/>
            <w:rPr>
              <w:b/>
              <w:sz w:val="24"/>
              <w:szCs w:val="24"/>
            </w:rPr>
          </w:pPr>
          <w:r w:rsidRPr="009E2AF4">
            <w:rPr>
              <w:sz w:val="24"/>
              <w:szCs w:val="24"/>
            </w:rPr>
            <w:t>1</w:t>
          </w:r>
          <w:r w:rsidR="00EC58FD" w:rsidRPr="009E2AF4">
            <w:rPr>
              <w:sz w:val="24"/>
              <w:szCs w:val="24"/>
            </w:rPr>
            <w:t>.</w:t>
          </w:r>
          <w:r w:rsidRPr="009E2AF4">
            <w:rPr>
              <w:sz w:val="24"/>
              <w:szCs w:val="24"/>
            </w:rPr>
            <w:t xml:space="preserve"> Hakala H, Rajala K, Ojala M</w:t>
          </w:r>
          <w:r w:rsidR="00473FF2" w:rsidRPr="009E2AF4">
            <w:rPr>
              <w:sz w:val="24"/>
              <w:szCs w:val="24"/>
            </w:rPr>
            <w:t>, Panula S, Areva S, Kellomäki M,</w:t>
          </w:r>
          <w:r w:rsidRPr="009E2AF4">
            <w:rPr>
              <w:sz w:val="24"/>
              <w:szCs w:val="24"/>
            </w:rPr>
            <w:t xml:space="preserve"> et al. </w:t>
          </w:r>
          <w:r w:rsidRPr="009E2AF4">
            <w:rPr>
              <w:sz w:val="24"/>
              <w:szCs w:val="24"/>
              <w:lang w:val="en-US"/>
            </w:rPr>
            <w:t xml:space="preserve">Comparison of biomaterials and extracellular matrices as a culture platform for multiple, independently derived human embryonic stem cell lines. </w:t>
          </w:r>
          <w:r w:rsidRPr="009E2AF4">
            <w:rPr>
              <w:sz w:val="24"/>
              <w:szCs w:val="24"/>
            </w:rPr>
            <w:t>T</w:t>
          </w:r>
          <w:r w:rsidR="00473FF2" w:rsidRPr="009E2AF4">
            <w:rPr>
              <w:sz w:val="24"/>
              <w:szCs w:val="24"/>
            </w:rPr>
            <w:t>issue Eng Part A 2009;15:1775-</w:t>
          </w:r>
          <w:r w:rsidRPr="009E2AF4">
            <w:rPr>
              <w:sz w:val="24"/>
              <w:szCs w:val="24"/>
            </w:rPr>
            <w:t>85.</w:t>
          </w:r>
        </w:p>
        <w:p w14:paraId="53809A89" w14:textId="5BCFDE4A" w:rsidR="00473FF2" w:rsidRPr="009E2AF4" w:rsidRDefault="004D42CB" w:rsidP="004D42CB">
          <w:pPr>
            <w:spacing w:after="0" w:line="480" w:lineRule="auto"/>
            <w:rPr>
              <w:sz w:val="24"/>
              <w:szCs w:val="24"/>
              <w:lang w:val="en-US"/>
            </w:rPr>
          </w:pPr>
          <w:r w:rsidRPr="009E2AF4">
            <w:rPr>
              <w:sz w:val="24"/>
              <w:szCs w:val="24"/>
            </w:rPr>
            <w:t>2</w:t>
          </w:r>
          <w:r w:rsidR="00EC58FD" w:rsidRPr="009E2AF4">
            <w:rPr>
              <w:sz w:val="24"/>
              <w:szCs w:val="24"/>
            </w:rPr>
            <w:t>.</w:t>
          </w:r>
          <w:r w:rsidRPr="009E2AF4">
            <w:rPr>
              <w:sz w:val="24"/>
              <w:szCs w:val="24"/>
            </w:rPr>
            <w:t xml:space="preserve"> </w:t>
          </w:r>
          <w:r w:rsidR="00473FF2" w:rsidRPr="009E2AF4">
            <w:rPr>
              <w:sz w:val="24"/>
              <w:szCs w:val="24"/>
            </w:rPr>
            <w:t xml:space="preserve">Vaajasaari H, Ilmarinen T, Juuti-Uusitalo K, Rajala K, Onnela N, Narkilahti S, et al. </w:t>
          </w:r>
          <w:r w:rsidR="00473FF2" w:rsidRPr="009E2AF4">
            <w:rPr>
              <w:sz w:val="24"/>
              <w:szCs w:val="24"/>
              <w:lang w:val="en-US"/>
            </w:rPr>
            <w:t>Toward the defined and xeno-free differentiation of functional human pluripotent stem cell-derived retinal pigment epithelial cells. Mol. Vis. 2011</w:t>
          </w:r>
          <w:proofErr w:type="gramStart"/>
          <w:r w:rsidR="00473FF2" w:rsidRPr="009E2AF4">
            <w:rPr>
              <w:sz w:val="24"/>
              <w:szCs w:val="24"/>
              <w:lang w:val="en-US"/>
            </w:rPr>
            <w:t>;17:558</w:t>
          </w:r>
          <w:proofErr w:type="gramEnd"/>
          <w:r w:rsidR="00473FF2" w:rsidRPr="009E2AF4">
            <w:rPr>
              <w:sz w:val="24"/>
              <w:szCs w:val="24"/>
              <w:lang w:val="en-US"/>
            </w:rPr>
            <w:t>-75.</w:t>
          </w:r>
        </w:p>
        <w:p w14:paraId="2A07B7B4" w14:textId="17EF20AB" w:rsidR="004D42CB" w:rsidRPr="009E2AF4" w:rsidRDefault="004D42CB" w:rsidP="00473FF2">
          <w:pPr>
            <w:shd w:val="clear" w:color="auto" w:fill="FFFFFF"/>
            <w:spacing w:after="0" w:line="480" w:lineRule="auto"/>
            <w:rPr>
              <w:rFonts w:cs="Arial"/>
              <w:color w:val="000000"/>
              <w:sz w:val="24"/>
              <w:szCs w:val="24"/>
              <w:lang w:val="en-US"/>
            </w:rPr>
          </w:pPr>
          <w:r w:rsidRPr="009E2AF4">
            <w:rPr>
              <w:sz w:val="24"/>
              <w:szCs w:val="24"/>
              <w:lang w:val="en-US"/>
            </w:rPr>
            <w:t>3</w:t>
          </w:r>
          <w:r w:rsidR="00EC58FD" w:rsidRPr="009E2AF4">
            <w:rPr>
              <w:sz w:val="24"/>
              <w:szCs w:val="24"/>
              <w:lang w:val="en-US"/>
            </w:rPr>
            <w:t>.</w:t>
          </w:r>
          <w:r w:rsidRPr="009E2AF4">
            <w:rPr>
              <w:sz w:val="24"/>
              <w:szCs w:val="24"/>
              <w:lang w:val="en-US"/>
            </w:rPr>
            <w:t xml:space="preserve"> </w:t>
          </w:r>
          <w:r w:rsidR="00473FF2" w:rsidRPr="009E2AF4">
            <w:rPr>
              <w:rFonts w:cs="Arial"/>
              <w:color w:val="000000"/>
              <w:sz w:val="24"/>
              <w:szCs w:val="24"/>
              <w:lang w:val="en-US"/>
            </w:rPr>
            <w:t xml:space="preserve">Sorkio A, Hongisto H, Kaarniranta K, Uusitalo H, Juuti-Uusitalo K, Skottman H. Structure and barrier properties of human embryonic stem cell-derived retinal pigment epithelial cells are affected by extracellular matrix protein coating. Tissue </w:t>
          </w:r>
          <w:proofErr w:type="spellStart"/>
          <w:r w:rsidR="00473FF2" w:rsidRPr="009E2AF4">
            <w:rPr>
              <w:rFonts w:cs="Arial"/>
              <w:color w:val="000000"/>
              <w:sz w:val="24"/>
              <w:szCs w:val="24"/>
              <w:lang w:val="en-US"/>
            </w:rPr>
            <w:t>Eng</w:t>
          </w:r>
          <w:proofErr w:type="spellEnd"/>
          <w:r w:rsidR="00473FF2" w:rsidRPr="009E2AF4">
            <w:rPr>
              <w:rFonts w:cs="Arial"/>
              <w:color w:val="000000"/>
              <w:sz w:val="24"/>
              <w:szCs w:val="24"/>
              <w:lang w:val="en-US"/>
            </w:rPr>
            <w:t xml:space="preserve"> Part A. 2014</w:t>
          </w:r>
          <w:proofErr w:type="gramStart"/>
          <w:r w:rsidR="00473FF2" w:rsidRPr="009E2AF4">
            <w:rPr>
              <w:rFonts w:cs="Arial"/>
              <w:color w:val="000000"/>
              <w:sz w:val="24"/>
              <w:szCs w:val="24"/>
              <w:lang w:val="en-US"/>
            </w:rPr>
            <w:t>;20</w:t>
          </w:r>
          <w:proofErr w:type="gramEnd"/>
          <w:r w:rsidR="00473FF2" w:rsidRPr="009E2AF4">
            <w:rPr>
              <w:rFonts w:cs="Arial"/>
              <w:color w:val="000000"/>
              <w:sz w:val="24"/>
              <w:szCs w:val="24"/>
              <w:lang w:val="en-US"/>
            </w:rPr>
            <w:t>(3-4):622-34.</w:t>
          </w:r>
        </w:p>
        <w:p w14:paraId="70659795" w14:textId="53C15529" w:rsidR="004A4602" w:rsidRPr="00EC58FD" w:rsidRDefault="004D42CB" w:rsidP="00473FF2">
          <w:pPr>
            <w:shd w:val="clear" w:color="auto" w:fill="FFFFFF"/>
            <w:spacing w:after="0" w:line="480" w:lineRule="auto"/>
            <w:rPr>
              <w:rFonts w:cs="Arial"/>
              <w:color w:val="000000"/>
              <w:sz w:val="24"/>
              <w:szCs w:val="24"/>
              <w:lang w:val="en-US"/>
            </w:rPr>
          </w:pPr>
          <w:r w:rsidRPr="009E2AF4">
            <w:rPr>
              <w:sz w:val="24"/>
              <w:szCs w:val="24"/>
              <w:lang w:val="en-US"/>
            </w:rPr>
            <w:t>4</w:t>
          </w:r>
          <w:r w:rsidR="00EC58FD" w:rsidRPr="009E2AF4">
            <w:rPr>
              <w:sz w:val="24"/>
              <w:szCs w:val="24"/>
              <w:lang w:val="en-US"/>
            </w:rPr>
            <w:t>.</w:t>
          </w:r>
          <w:r w:rsidRPr="009E2AF4">
            <w:rPr>
              <w:sz w:val="24"/>
              <w:szCs w:val="24"/>
              <w:lang w:val="en-US"/>
            </w:rPr>
            <w:t xml:space="preserve"> </w:t>
          </w:r>
          <w:r w:rsidR="00473FF2" w:rsidRPr="009E2AF4">
            <w:rPr>
              <w:rFonts w:cs="Arial"/>
              <w:color w:val="000000"/>
              <w:sz w:val="24"/>
              <w:szCs w:val="24"/>
              <w:lang w:val="en-US"/>
            </w:rPr>
            <w:t>Mikhailova A, Ilmarinen T, Uusitalo H, Skottman H. Small-molecule induction promotes corneal epithelial cell differentiation from human induced pluripotent stem cells. Stem Cell Reports. 2014</w:t>
          </w:r>
          <w:proofErr w:type="gramStart"/>
          <w:r w:rsidR="00473FF2" w:rsidRPr="009E2AF4">
            <w:rPr>
              <w:rFonts w:cs="Arial"/>
              <w:color w:val="000000"/>
              <w:sz w:val="24"/>
              <w:szCs w:val="24"/>
              <w:lang w:val="en-US"/>
            </w:rPr>
            <w:t>;2</w:t>
          </w:r>
          <w:proofErr w:type="gramEnd"/>
          <w:r w:rsidR="00473FF2" w:rsidRPr="009E2AF4">
            <w:rPr>
              <w:rFonts w:cs="Arial"/>
              <w:color w:val="000000"/>
              <w:sz w:val="24"/>
              <w:szCs w:val="24"/>
              <w:lang w:val="en-US"/>
            </w:rPr>
            <w:t>(2):219-31.</w:t>
          </w:r>
        </w:p>
      </w:sdtContent>
    </w:sdt>
    <w:sectPr w:rsidR="004A4602" w:rsidRPr="00EC58FD" w:rsidSect="00473FF2">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418"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A373F" w14:textId="77777777" w:rsidR="00D90EB8" w:rsidRDefault="00D90EB8" w:rsidP="0038785B">
      <w:pPr>
        <w:spacing w:after="0" w:line="240" w:lineRule="auto"/>
      </w:pPr>
      <w:r>
        <w:separator/>
      </w:r>
    </w:p>
  </w:endnote>
  <w:endnote w:type="continuationSeparator" w:id="0">
    <w:p w14:paraId="43743006" w14:textId="77777777" w:rsidR="00D90EB8" w:rsidRDefault="00D90EB8" w:rsidP="0038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OT1ef757c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4D9EF" w14:textId="77777777" w:rsidR="00973CC6" w:rsidRDefault="00973C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295916"/>
      <w:docPartObj>
        <w:docPartGallery w:val="Page Numbers (Bottom of Page)"/>
        <w:docPartUnique/>
      </w:docPartObj>
    </w:sdtPr>
    <w:sdtEndPr>
      <w:rPr>
        <w:noProof/>
      </w:rPr>
    </w:sdtEndPr>
    <w:sdtContent>
      <w:p w14:paraId="03C78A80" w14:textId="6487C488" w:rsidR="00973CC6" w:rsidRDefault="00973CC6">
        <w:pPr>
          <w:pStyle w:val="Footer"/>
          <w:jc w:val="center"/>
        </w:pPr>
        <w:r>
          <w:fldChar w:fldCharType="begin"/>
        </w:r>
        <w:r>
          <w:instrText xml:space="preserve"> PAGE   \* MERGEFORMAT </w:instrText>
        </w:r>
        <w:r>
          <w:fldChar w:fldCharType="separate"/>
        </w:r>
        <w:r w:rsidR="009E2AF4">
          <w:rPr>
            <w:noProof/>
          </w:rPr>
          <w:t>7</w:t>
        </w:r>
        <w:r>
          <w:rPr>
            <w:noProof/>
          </w:rPr>
          <w:fldChar w:fldCharType="end"/>
        </w:r>
      </w:p>
    </w:sdtContent>
  </w:sdt>
  <w:p w14:paraId="604D45B0" w14:textId="77777777" w:rsidR="00D90EB8" w:rsidRDefault="00D90E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79C90" w14:textId="77777777" w:rsidR="00973CC6" w:rsidRDefault="00973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4367F" w14:textId="77777777" w:rsidR="00D90EB8" w:rsidRDefault="00D90EB8" w:rsidP="0038785B">
      <w:pPr>
        <w:spacing w:after="0" w:line="240" w:lineRule="auto"/>
      </w:pPr>
      <w:r>
        <w:separator/>
      </w:r>
    </w:p>
  </w:footnote>
  <w:footnote w:type="continuationSeparator" w:id="0">
    <w:p w14:paraId="134023FF" w14:textId="77777777" w:rsidR="00D90EB8" w:rsidRDefault="00D90EB8" w:rsidP="00387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F2428" w14:textId="77777777" w:rsidR="00973CC6" w:rsidRDefault="00973C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915AF" w14:textId="77777777" w:rsidR="00973CC6" w:rsidRDefault="00973C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8CCBF" w14:textId="77777777" w:rsidR="00973CC6" w:rsidRDefault="00973C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498"/>
    <w:multiLevelType w:val="hybridMultilevel"/>
    <w:tmpl w:val="F7C61D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0F990B10"/>
    <w:multiLevelType w:val="hybridMultilevel"/>
    <w:tmpl w:val="022226A4"/>
    <w:lvl w:ilvl="0" w:tplc="8242ACF0">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56F0065"/>
    <w:multiLevelType w:val="hybridMultilevel"/>
    <w:tmpl w:val="0C3CD416"/>
    <w:lvl w:ilvl="0" w:tplc="7832A2B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16200F88"/>
    <w:multiLevelType w:val="hybridMultilevel"/>
    <w:tmpl w:val="3CFE3F6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203D6AB2"/>
    <w:multiLevelType w:val="hybridMultilevel"/>
    <w:tmpl w:val="1D14EB30"/>
    <w:lvl w:ilvl="0" w:tplc="5120CBCE">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235706D8"/>
    <w:multiLevelType w:val="hybridMultilevel"/>
    <w:tmpl w:val="861A0E34"/>
    <w:lvl w:ilvl="0" w:tplc="3D9CEBAC">
      <w:start w:val="1"/>
      <w:numFmt w:val="bullet"/>
      <w:lvlText w:val="•"/>
      <w:lvlJc w:val="left"/>
      <w:pPr>
        <w:tabs>
          <w:tab w:val="num" w:pos="720"/>
        </w:tabs>
        <w:ind w:left="720" w:hanging="360"/>
      </w:pPr>
      <w:rPr>
        <w:rFonts w:ascii="Arial" w:hAnsi="Arial" w:hint="default"/>
      </w:rPr>
    </w:lvl>
    <w:lvl w:ilvl="1" w:tplc="AAA292B8">
      <w:start w:val="1"/>
      <w:numFmt w:val="bullet"/>
      <w:lvlText w:val="•"/>
      <w:lvlJc w:val="left"/>
      <w:pPr>
        <w:tabs>
          <w:tab w:val="num" w:pos="1440"/>
        </w:tabs>
        <w:ind w:left="1440" w:hanging="360"/>
      </w:pPr>
      <w:rPr>
        <w:rFonts w:ascii="Arial" w:hAnsi="Arial" w:hint="default"/>
      </w:rPr>
    </w:lvl>
    <w:lvl w:ilvl="2" w:tplc="14C886B4" w:tentative="1">
      <w:start w:val="1"/>
      <w:numFmt w:val="bullet"/>
      <w:lvlText w:val="•"/>
      <w:lvlJc w:val="left"/>
      <w:pPr>
        <w:tabs>
          <w:tab w:val="num" w:pos="2160"/>
        </w:tabs>
        <w:ind w:left="2160" w:hanging="360"/>
      </w:pPr>
      <w:rPr>
        <w:rFonts w:ascii="Arial" w:hAnsi="Arial" w:hint="default"/>
      </w:rPr>
    </w:lvl>
    <w:lvl w:ilvl="3" w:tplc="30160840" w:tentative="1">
      <w:start w:val="1"/>
      <w:numFmt w:val="bullet"/>
      <w:lvlText w:val="•"/>
      <w:lvlJc w:val="left"/>
      <w:pPr>
        <w:tabs>
          <w:tab w:val="num" w:pos="2880"/>
        </w:tabs>
        <w:ind w:left="2880" w:hanging="360"/>
      </w:pPr>
      <w:rPr>
        <w:rFonts w:ascii="Arial" w:hAnsi="Arial" w:hint="default"/>
      </w:rPr>
    </w:lvl>
    <w:lvl w:ilvl="4" w:tplc="DD00F5DC" w:tentative="1">
      <w:start w:val="1"/>
      <w:numFmt w:val="bullet"/>
      <w:lvlText w:val="•"/>
      <w:lvlJc w:val="left"/>
      <w:pPr>
        <w:tabs>
          <w:tab w:val="num" w:pos="3600"/>
        </w:tabs>
        <w:ind w:left="3600" w:hanging="360"/>
      </w:pPr>
      <w:rPr>
        <w:rFonts w:ascii="Arial" w:hAnsi="Arial" w:hint="default"/>
      </w:rPr>
    </w:lvl>
    <w:lvl w:ilvl="5" w:tplc="C004DC02" w:tentative="1">
      <w:start w:val="1"/>
      <w:numFmt w:val="bullet"/>
      <w:lvlText w:val="•"/>
      <w:lvlJc w:val="left"/>
      <w:pPr>
        <w:tabs>
          <w:tab w:val="num" w:pos="4320"/>
        </w:tabs>
        <w:ind w:left="4320" w:hanging="360"/>
      </w:pPr>
      <w:rPr>
        <w:rFonts w:ascii="Arial" w:hAnsi="Arial" w:hint="default"/>
      </w:rPr>
    </w:lvl>
    <w:lvl w:ilvl="6" w:tplc="C6C0605C" w:tentative="1">
      <w:start w:val="1"/>
      <w:numFmt w:val="bullet"/>
      <w:lvlText w:val="•"/>
      <w:lvlJc w:val="left"/>
      <w:pPr>
        <w:tabs>
          <w:tab w:val="num" w:pos="5040"/>
        </w:tabs>
        <w:ind w:left="5040" w:hanging="360"/>
      </w:pPr>
      <w:rPr>
        <w:rFonts w:ascii="Arial" w:hAnsi="Arial" w:hint="default"/>
      </w:rPr>
    </w:lvl>
    <w:lvl w:ilvl="7" w:tplc="16DA1878" w:tentative="1">
      <w:start w:val="1"/>
      <w:numFmt w:val="bullet"/>
      <w:lvlText w:val="•"/>
      <w:lvlJc w:val="left"/>
      <w:pPr>
        <w:tabs>
          <w:tab w:val="num" w:pos="5760"/>
        </w:tabs>
        <w:ind w:left="5760" w:hanging="360"/>
      </w:pPr>
      <w:rPr>
        <w:rFonts w:ascii="Arial" w:hAnsi="Arial" w:hint="default"/>
      </w:rPr>
    </w:lvl>
    <w:lvl w:ilvl="8" w:tplc="0C709422" w:tentative="1">
      <w:start w:val="1"/>
      <w:numFmt w:val="bullet"/>
      <w:lvlText w:val="•"/>
      <w:lvlJc w:val="left"/>
      <w:pPr>
        <w:tabs>
          <w:tab w:val="num" w:pos="6480"/>
        </w:tabs>
        <w:ind w:left="6480" w:hanging="360"/>
      </w:pPr>
      <w:rPr>
        <w:rFonts w:ascii="Arial" w:hAnsi="Arial" w:hint="default"/>
      </w:rPr>
    </w:lvl>
  </w:abstractNum>
  <w:abstractNum w:abstractNumId="6">
    <w:nsid w:val="2461436B"/>
    <w:multiLevelType w:val="multilevel"/>
    <w:tmpl w:val="1F64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0266B0"/>
    <w:multiLevelType w:val="hybridMultilevel"/>
    <w:tmpl w:val="03EE342E"/>
    <w:lvl w:ilvl="0" w:tplc="17C0729C">
      <w:start w:val="10"/>
      <w:numFmt w:val="bullet"/>
      <w:lvlText w:val=""/>
      <w:lvlJc w:val="left"/>
      <w:pPr>
        <w:ind w:left="2384" w:hanging="360"/>
      </w:pPr>
      <w:rPr>
        <w:rFonts w:ascii="Wingdings" w:eastAsiaTheme="minorHAnsi" w:hAnsi="Wingdings" w:cstheme="minorBidi" w:hint="default"/>
      </w:rPr>
    </w:lvl>
    <w:lvl w:ilvl="1" w:tplc="040B0003" w:tentative="1">
      <w:start w:val="1"/>
      <w:numFmt w:val="bullet"/>
      <w:lvlText w:val="o"/>
      <w:lvlJc w:val="left"/>
      <w:pPr>
        <w:ind w:left="3104" w:hanging="360"/>
      </w:pPr>
      <w:rPr>
        <w:rFonts w:ascii="Courier New" w:hAnsi="Courier New" w:cs="Courier New" w:hint="default"/>
      </w:rPr>
    </w:lvl>
    <w:lvl w:ilvl="2" w:tplc="040B0005" w:tentative="1">
      <w:start w:val="1"/>
      <w:numFmt w:val="bullet"/>
      <w:lvlText w:val=""/>
      <w:lvlJc w:val="left"/>
      <w:pPr>
        <w:ind w:left="3824" w:hanging="360"/>
      </w:pPr>
      <w:rPr>
        <w:rFonts w:ascii="Wingdings" w:hAnsi="Wingdings" w:hint="default"/>
      </w:rPr>
    </w:lvl>
    <w:lvl w:ilvl="3" w:tplc="040B0001" w:tentative="1">
      <w:start w:val="1"/>
      <w:numFmt w:val="bullet"/>
      <w:lvlText w:val=""/>
      <w:lvlJc w:val="left"/>
      <w:pPr>
        <w:ind w:left="4544" w:hanging="360"/>
      </w:pPr>
      <w:rPr>
        <w:rFonts w:ascii="Symbol" w:hAnsi="Symbol" w:hint="default"/>
      </w:rPr>
    </w:lvl>
    <w:lvl w:ilvl="4" w:tplc="040B0003" w:tentative="1">
      <w:start w:val="1"/>
      <w:numFmt w:val="bullet"/>
      <w:lvlText w:val="o"/>
      <w:lvlJc w:val="left"/>
      <w:pPr>
        <w:ind w:left="5264" w:hanging="360"/>
      </w:pPr>
      <w:rPr>
        <w:rFonts w:ascii="Courier New" w:hAnsi="Courier New" w:cs="Courier New" w:hint="default"/>
      </w:rPr>
    </w:lvl>
    <w:lvl w:ilvl="5" w:tplc="040B0005" w:tentative="1">
      <w:start w:val="1"/>
      <w:numFmt w:val="bullet"/>
      <w:lvlText w:val=""/>
      <w:lvlJc w:val="left"/>
      <w:pPr>
        <w:ind w:left="5984" w:hanging="360"/>
      </w:pPr>
      <w:rPr>
        <w:rFonts w:ascii="Wingdings" w:hAnsi="Wingdings" w:hint="default"/>
      </w:rPr>
    </w:lvl>
    <w:lvl w:ilvl="6" w:tplc="040B0001" w:tentative="1">
      <w:start w:val="1"/>
      <w:numFmt w:val="bullet"/>
      <w:lvlText w:val=""/>
      <w:lvlJc w:val="left"/>
      <w:pPr>
        <w:ind w:left="6704" w:hanging="360"/>
      </w:pPr>
      <w:rPr>
        <w:rFonts w:ascii="Symbol" w:hAnsi="Symbol" w:hint="default"/>
      </w:rPr>
    </w:lvl>
    <w:lvl w:ilvl="7" w:tplc="040B0003" w:tentative="1">
      <w:start w:val="1"/>
      <w:numFmt w:val="bullet"/>
      <w:lvlText w:val="o"/>
      <w:lvlJc w:val="left"/>
      <w:pPr>
        <w:ind w:left="7424" w:hanging="360"/>
      </w:pPr>
      <w:rPr>
        <w:rFonts w:ascii="Courier New" w:hAnsi="Courier New" w:cs="Courier New" w:hint="default"/>
      </w:rPr>
    </w:lvl>
    <w:lvl w:ilvl="8" w:tplc="040B0005" w:tentative="1">
      <w:start w:val="1"/>
      <w:numFmt w:val="bullet"/>
      <w:lvlText w:val=""/>
      <w:lvlJc w:val="left"/>
      <w:pPr>
        <w:ind w:left="8144" w:hanging="360"/>
      </w:pPr>
      <w:rPr>
        <w:rFonts w:ascii="Wingdings" w:hAnsi="Wingdings" w:hint="default"/>
      </w:rPr>
    </w:lvl>
  </w:abstractNum>
  <w:abstractNum w:abstractNumId="8">
    <w:nsid w:val="2CA3163E"/>
    <w:multiLevelType w:val="hybridMultilevel"/>
    <w:tmpl w:val="89A030BE"/>
    <w:lvl w:ilvl="0" w:tplc="11229BDA">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2D5F47DA"/>
    <w:multiLevelType w:val="hybridMultilevel"/>
    <w:tmpl w:val="DB6EC14C"/>
    <w:lvl w:ilvl="0" w:tplc="CC30F0EA">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2F046175"/>
    <w:multiLevelType w:val="hybridMultilevel"/>
    <w:tmpl w:val="5C185F26"/>
    <w:lvl w:ilvl="0" w:tplc="FF0025D2">
      <w:numFmt w:val="bullet"/>
      <w:lvlText w:val="-"/>
      <w:lvlJc w:val="left"/>
      <w:pPr>
        <w:ind w:left="720" w:hanging="360"/>
      </w:pPr>
      <w:rPr>
        <w:rFonts w:ascii="AdvOT1ef757c0" w:eastAsiaTheme="minorHAnsi" w:hAnsi="AdvOT1ef757c0" w:cs="AdvOT1ef757c0" w:hint="default"/>
        <w:sz w:val="19"/>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30351102"/>
    <w:multiLevelType w:val="hybridMultilevel"/>
    <w:tmpl w:val="65ACCE26"/>
    <w:lvl w:ilvl="0" w:tplc="94E69F94">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nsid w:val="331C7520"/>
    <w:multiLevelType w:val="multilevel"/>
    <w:tmpl w:val="2BEA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75F6D57"/>
    <w:multiLevelType w:val="hybridMultilevel"/>
    <w:tmpl w:val="0EE4B9A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nsid w:val="39C217A9"/>
    <w:multiLevelType w:val="hybridMultilevel"/>
    <w:tmpl w:val="774E5128"/>
    <w:lvl w:ilvl="0" w:tplc="2904E13C">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3A3D7BDA"/>
    <w:multiLevelType w:val="hybridMultilevel"/>
    <w:tmpl w:val="621EAB96"/>
    <w:lvl w:ilvl="0" w:tplc="199CB960">
      <w:start w:val="1"/>
      <w:numFmt w:val="bullet"/>
      <w:lvlText w:val="•"/>
      <w:lvlJc w:val="left"/>
      <w:pPr>
        <w:tabs>
          <w:tab w:val="num" w:pos="720"/>
        </w:tabs>
        <w:ind w:left="720" w:hanging="360"/>
      </w:pPr>
      <w:rPr>
        <w:rFonts w:ascii="Arial" w:hAnsi="Arial" w:hint="default"/>
      </w:rPr>
    </w:lvl>
    <w:lvl w:ilvl="1" w:tplc="0F5A6D78">
      <w:start w:val="1"/>
      <w:numFmt w:val="bullet"/>
      <w:lvlText w:val="•"/>
      <w:lvlJc w:val="left"/>
      <w:pPr>
        <w:tabs>
          <w:tab w:val="num" w:pos="1440"/>
        </w:tabs>
        <w:ind w:left="1440" w:hanging="360"/>
      </w:pPr>
      <w:rPr>
        <w:rFonts w:ascii="Arial" w:hAnsi="Arial" w:hint="default"/>
      </w:rPr>
    </w:lvl>
    <w:lvl w:ilvl="2" w:tplc="2A568F88">
      <w:start w:val="84"/>
      <w:numFmt w:val="bullet"/>
      <w:lvlText w:val="•"/>
      <w:lvlJc w:val="left"/>
      <w:pPr>
        <w:tabs>
          <w:tab w:val="num" w:pos="2160"/>
        </w:tabs>
        <w:ind w:left="2160" w:hanging="360"/>
      </w:pPr>
      <w:rPr>
        <w:rFonts w:ascii="Arial" w:hAnsi="Arial" w:hint="default"/>
      </w:rPr>
    </w:lvl>
    <w:lvl w:ilvl="3" w:tplc="D1C89752">
      <w:start w:val="1"/>
      <w:numFmt w:val="bullet"/>
      <w:lvlText w:val="•"/>
      <w:lvlJc w:val="left"/>
      <w:pPr>
        <w:tabs>
          <w:tab w:val="num" w:pos="2880"/>
        </w:tabs>
        <w:ind w:left="2880" w:hanging="360"/>
      </w:pPr>
      <w:rPr>
        <w:rFonts w:ascii="Arial" w:hAnsi="Arial" w:hint="default"/>
      </w:rPr>
    </w:lvl>
    <w:lvl w:ilvl="4" w:tplc="CA584F5E" w:tentative="1">
      <w:start w:val="1"/>
      <w:numFmt w:val="bullet"/>
      <w:lvlText w:val="•"/>
      <w:lvlJc w:val="left"/>
      <w:pPr>
        <w:tabs>
          <w:tab w:val="num" w:pos="3600"/>
        </w:tabs>
        <w:ind w:left="3600" w:hanging="360"/>
      </w:pPr>
      <w:rPr>
        <w:rFonts w:ascii="Arial" w:hAnsi="Arial" w:hint="default"/>
      </w:rPr>
    </w:lvl>
    <w:lvl w:ilvl="5" w:tplc="571897D6" w:tentative="1">
      <w:start w:val="1"/>
      <w:numFmt w:val="bullet"/>
      <w:lvlText w:val="•"/>
      <w:lvlJc w:val="left"/>
      <w:pPr>
        <w:tabs>
          <w:tab w:val="num" w:pos="4320"/>
        </w:tabs>
        <w:ind w:left="4320" w:hanging="360"/>
      </w:pPr>
      <w:rPr>
        <w:rFonts w:ascii="Arial" w:hAnsi="Arial" w:hint="default"/>
      </w:rPr>
    </w:lvl>
    <w:lvl w:ilvl="6" w:tplc="64EC0F44" w:tentative="1">
      <w:start w:val="1"/>
      <w:numFmt w:val="bullet"/>
      <w:lvlText w:val="•"/>
      <w:lvlJc w:val="left"/>
      <w:pPr>
        <w:tabs>
          <w:tab w:val="num" w:pos="5040"/>
        </w:tabs>
        <w:ind w:left="5040" w:hanging="360"/>
      </w:pPr>
      <w:rPr>
        <w:rFonts w:ascii="Arial" w:hAnsi="Arial" w:hint="default"/>
      </w:rPr>
    </w:lvl>
    <w:lvl w:ilvl="7" w:tplc="F724AAE8" w:tentative="1">
      <w:start w:val="1"/>
      <w:numFmt w:val="bullet"/>
      <w:lvlText w:val="•"/>
      <w:lvlJc w:val="left"/>
      <w:pPr>
        <w:tabs>
          <w:tab w:val="num" w:pos="5760"/>
        </w:tabs>
        <w:ind w:left="5760" w:hanging="360"/>
      </w:pPr>
      <w:rPr>
        <w:rFonts w:ascii="Arial" w:hAnsi="Arial" w:hint="default"/>
      </w:rPr>
    </w:lvl>
    <w:lvl w:ilvl="8" w:tplc="2D1CF3C0" w:tentative="1">
      <w:start w:val="1"/>
      <w:numFmt w:val="bullet"/>
      <w:lvlText w:val="•"/>
      <w:lvlJc w:val="left"/>
      <w:pPr>
        <w:tabs>
          <w:tab w:val="num" w:pos="6480"/>
        </w:tabs>
        <w:ind w:left="6480" w:hanging="360"/>
      </w:pPr>
      <w:rPr>
        <w:rFonts w:ascii="Arial" w:hAnsi="Arial" w:hint="default"/>
      </w:rPr>
    </w:lvl>
  </w:abstractNum>
  <w:abstractNum w:abstractNumId="16">
    <w:nsid w:val="47247263"/>
    <w:multiLevelType w:val="hybridMultilevel"/>
    <w:tmpl w:val="174035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nsid w:val="473154AE"/>
    <w:multiLevelType w:val="multilevel"/>
    <w:tmpl w:val="CB42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C7F78"/>
    <w:multiLevelType w:val="hybridMultilevel"/>
    <w:tmpl w:val="F986453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4FCD24CE"/>
    <w:multiLevelType w:val="hybridMultilevel"/>
    <w:tmpl w:val="7CE4943C"/>
    <w:lvl w:ilvl="0" w:tplc="040B0001">
      <w:start w:val="1"/>
      <w:numFmt w:val="bullet"/>
      <w:lvlText w:val=""/>
      <w:lvlJc w:val="left"/>
      <w:pPr>
        <w:ind w:left="2744" w:hanging="360"/>
      </w:pPr>
      <w:rPr>
        <w:rFonts w:ascii="Symbol" w:hAnsi="Symbol" w:hint="default"/>
      </w:rPr>
    </w:lvl>
    <w:lvl w:ilvl="1" w:tplc="040B0003" w:tentative="1">
      <w:start w:val="1"/>
      <w:numFmt w:val="bullet"/>
      <w:lvlText w:val="o"/>
      <w:lvlJc w:val="left"/>
      <w:pPr>
        <w:ind w:left="3464" w:hanging="360"/>
      </w:pPr>
      <w:rPr>
        <w:rFonts w:ascii="Courier New" w:hAnsi="Courier New" w:cs="Courier New" w:hint="default"/>
      </w:rPr>
    </w:lvl>
    <w:lvl w:ilvl="2" w:tplc="040B0005" w:tentative="1">
      <w:start w:val="1"/>
      <w:numFmt w:val="bullet"/>
      <w:lvlText w:val=""/>
      <w:lvlJc w:val="left"/>
      <w:pPr>
        <w:ind w:left="4184" w:hanging="360"/>
      </w:pPr>
      <w:rPr>
        <w:rFonts w:ascii="Wingdings" w:hAnsi="Wingdings" w:hint="default"/>
      </w:rPr>
    </w:lvl>
    <w:lvl w:ilvl="3" w:tplc="040B0001" w:tentative="1">
      <w:start w:val="1"/>
      <w:numFmt w:val="bullet"/>
      <w:lvlText w:val=""/>
      <w:lvlJc w:val="left"/>
      <w:pPr>
        <w:ind w:left="4904" w:hanging="360"/>
      </w:pPr>
      <w:rPr>
        <w:rFonts w:ascii="Symbol" w:hAnsi="Symbol" w:hint="default"/>
      </w:rPr>
    </w:lvl>
    <w:lvl w:ilvl="4" w:tplc="040B0003" w:tentative="1">
      <w:start w:val="1"/>
      <w:numFmt w:val="bullet"/>
      <w:lvlText w:val="o"/>
      <w:lvlJc w:val="left"/>
      <w:pPr>
        <w:ind w:left="5624" w:hanging="360"/>
      </w:pPr>
      <w:rPr>
        <w:rFonts w:ascii="Courier New" w:hAnsi="Courier New" w:cs="Courier New" w:hint="default"/>
      </w:rPr>
    </w:lvl>
    <w:lvl w:ilvl="5" w:tplc="040B0005" w:tentative="1">
      <w:start w:val="1"/>
      <w:numFmt w:val="bullet"/>
      <w:lvlText w:val=""/>
      <w:lvlJc w:val="left"/>
      <w:pPr>
        <w:ind w:left="6344" w:hanging="360"/>
      </w:pPr>
      <w:rPr>
        <w:rFonts w:ascii="Wingdings" w:hAnsi="Wingdings" w:hint="default"/>
      </w:rPr>
    </w:lvl>
    <w:lvl w:ilvl="6" w:tplc="040B0001" w:tentative="1">
      <w:start w:val="1"/>
      <w:numFmt w:val="bullet"/>
      <w:lvlText w:val=""/>
      <w:lvlJc w:val="left"/>
      <w:pPr>
        <w:ind w:left="7064" w:hanging="360"/>
      </w:pPr>
      <w:rPr>
        <w:rFonts w:ascii="Symbol" w:hAnsi="Symbol" w:hint="default"/>
      </w:rPr>
    </w:lvl>
    <w:lvl w:ilvl="7" w:tplc="040B0003" w:tentative="1">
      <w:start w:val="1"/>
      <w:numFmt w:val="bullet"/>
      <w:lvlText w:val="o"/>
      <w:lvlJc w:val="left"/>
      <w:pPr>
        <w:ind w:left="7784" w:hanging="360"/>
      </w:pPr>
      <w:rPr>
        <w:rFonts w:ascii="Courier New" w:hAnsi="Courier New" w:cs="Courier New" w:hint="default"/>
      </w:rPr>
    </w:lvl>
    <w:lvl w:ilvl="8" w:tplc="040B0005" w:tentative="1">
      <w:start w:val="1"/>
      <w:numFmt w:val="bullet"/>
      <w:lvlText w:val=""/>
      <w:lvlJc w:val="left"/>
      <w:pPr>
        <w:ind w:left="8504" w:hanging="360"/>
      </w:pPr>
      <w:rPr>
        <w:rFonts w:ascii="Wingdings" w:hAnsi="Wingdings" w:hint="default"/>
      </w:rPr>
    </w:lvl>
  </w:abstractNum>
  <w:abstractNum w:abstractNumId="20">
    <w:nsid w:val="511258E9"/>
    <w:multiLevelType w:val="hybridMultilevel"/>
    <w:tmpl w:val="FB10346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nsid w:val="56CD30CF"/>
    <w:multiLevelType w:val="hybridMultilevel"/>
    <w:tmpl w:val="EDECFBC8"/>
    <w:lvl w:ilvl="0" w:tplc="E0FE217C">
      <w:start w:val="1"/>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nsid w:val="57797A7E"/>
    <w:multiLevelType w:val="hybridMultilevel"/>
    <w:tmpl w:val="7044763E"/>
    <w:lvl w:ilvl="0" w:tplc="D47E7CE8">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nsid w:val="581140CE"/>
    <w:multiLevelType w:val="hybridMultilevel"/>
    <w:tmpl w:val="C7A0D444"/>
    <w:lvl w:ilvl="0" w:tplc="3A1258B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nsid w:val="5E0C2E7C"/>
    <w:multiLevelType w:val="hybridMultilevel"/>
    <w:tmpl w:val="A2E22060"/>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5">
    <w:nsid w:val="5EA7007E"/>
    <w:multiLevelType w:val="multilevel"/>
    <w:tmpl w:val="410A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BA0E3E"/>
    <w:multiLevelType w:val="hybridMultilevel"/>
    <w:tmpl w:val="01708B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nsid w:val="735C638D"/>
    <w:multiLevelType w:val="multilevel"/>
    <w:tmpl w:val="EE86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4E25199"/>
    <w:multiLevelType w:val="hybridMultilevel"/>
    <w:tmpl w:val="1F54212C"/>
    <w:lvl w:ilvl="0" w:tplc="FFA4CC1E">
      <w:start w:val="1"/>
      <w:numFmt w:val="bullet"/>
      <w:lvlText w:val="•"/>
      <w:lvlJc w:val="left"/>
      <w:pPr>
        <w:tabs>
          <w:tab w:val="num" w:pos="720"/>
        </w:tabs>
        <w:ind w:left="720" w:hanging="360"/>
      </w:pPr>
      <w:rPr>
        <w:rFonts w:ascii="Arial" w:hAnsi="Arial" w:hint="default"/>
      </w:rPr>
    </w:lvl>
    <w:lvl w:ilvl="1" w:tplc="1986B3FA">
      <w:start w:val="1"/>
      <w:numFmt w:val="bullet"/>
      <w:lvlText w:val="•"/>
      <w:lvlJc w:val="left"/>
      <w:pPr>
        <w:tabs>
          <w:tab w:val="num" w:pos="1440"/>
        </w:tabs>
        <w:ind w:left="1440" w:hanging="360"/>
      </w:pPr>
      <w:rPr>
        <w:rFonts w:ascii="Arial" w:hAnsi="Arial" w:hint="default"/>
      </w:rPr>
    </w:lvl>
    <w:lvl w:ilvl="2" w:tplc="17FA4FB0">
      <w:start w:val="84"/>
      <w:numFmt w:val="bullet"/>
      <w:lvlText w:val="•"/>
      <w:lvlJc w:val="left"/>
      <w:pPr>
        <w:tabs>
          <w:tab w:val="num" w:pos="2160"/>
        </w:tabs>
        <w:ind w:left="2160" w:hanging="360"/>
      </w:pPr>
      <w:rPr>
        <w:rFonts w:ascii="Arial" w:hAnsi="Arial" w:hint="default"/>
      </w:rPr>
    </w:lvl>
    <w:lvl w:ilvl="3" w:tplc="901AD6A8" w:tentative="1">
      <w:start w:val="1"/>
      <w:numFmt w:val="bullet"/>
      <w:lvlText w:val="•"/>
      <w:lvlJc w:val="left"/>
      <w:pPr>
        <w:tabs>
          <w:tab w:val="num" w:pos="2880"/>
        </w:tabs>
        <w:ind w:left="2880" w:hanging="360"/>
      </w:pPr>
      <w:rPr>
        <w:rFonts w:ascii="Arial" w:hAnsi="Arial" w:hint="default"/>
      </w:rPr>
    </w:lvl>
    <w:lvl w:ilvl="4" w:tplc="71AE7EFA" w:tentative="1">
      <w:start w:val="1"/>
      <w:numFmt w:val="bullet"/>
      <w:lvlText w:val="•"/>
      <w:lvlJc w:val="left"/>
      <w:pPr>
        <w:tabs>
          <w:tab w:val="num" w:pos="3600"/>
        </w:tabs>
        <w:ind w:left="3600" w:hanging="360"/>
      </w:pPr>
      <w:rPr>
        <w:rFonts w:ascii="Arial" w:hAnsi="Arial" w:hint="default"/>
      </w:rPr>
    </w:lvl>
    <w:lvl w:ilvl="5" w:tplc="BAC6BC34" w:tentative="1">
      <w:start w:val="1"/>
      <w:numFmt w:val="bullet"/>
      <w:lvlText w:val="•"/>
      <w:lvlJc w:val="left"/>
      <w:pPr>
        <w:tabs>
          <w:tab w:val="num" w:pos="4320"/>
        </w:tabs>
        <w:ind w:left="4320" w:hanging="360"/>
      </w:pPr>
      <w:rPr>
        <w:rFonts w:ascii="Arial" w:hAnsi="Arial" w:hint="default"/>
      </w:rPr>
    </w:lvl>
    <w:lvl w:ilvl="6" w:tplc="B7442CCA" w:tentative="1">
      <w:start w:val="1"/>
      <w:numFmt w:val="bullet"/>
      <w:lvlText w:val="•"/>
      <w:lvlJc w:val="left"/>
      <w:pPr>
        <w:tabs>
          <w:tab w:val="num" w:pos="5040"/>
        </w:tabs>
        <w:ind w:left="5040" w:hanging="360"/>
      </w:pPr>
      <w:rPr>
        <w:rFonts w:ascii="Arial" w:hAnsi="Arial" w:hint="default"/>
      </w:rPr>
    </w:lvl>
    <w:lvl w:ilvl="7" w:tplc="91503A98" w:tentative="1">
      <w:start w:val="1"/>
      <w:numFmt w:val="bullet"/>
      <w:lvlText w:val="•"/>
      <w:lvlJc w:val="left"/>
      <w:pPr>
        <w:tabs>
          <w:tab w:val="num" w:pos="5760"/>
        </w:tabs>
        <w:ind w:left="5760" w:hanging="360"/>
      </w:pPr>
      <w:rPr>
        <w:rFonts w:ascii="Arial" w:hAnsi="Arial" w:hint="default"/>
      </w:rPr>
    </w:lvl>
    <w:lvl w:ilvl="8" w:tplc="27567842" w:tentative="1">
      <w:start w:val="1"/>
      <w:numFmt w:val="bullet"/>
      <w:lvlText w:val="•"/>
      <w:lvlJc w:val="left"/>
      <w:pPr>
        <w:tabs>
          <w:tab w:val="num" w:pos="6480"/>
        </w:tabs>
        <w:ind w:left="6480" w:hanging="360"/>
      </w:pPr>
      <w:rPr>
        <w:rFonts w:ascii="Arial" w:hAnsi="Arial" w:hint="default"/>
      </w:rPr>
    </w:lvl>
  </w:abstractNum>
  <w:abstractNum w:abstractNumId="29">
    <w:nsid w:val="7BFF3862"/>
    <w:multiLevelType w:val="hybridMultilevel"/>
    <w:tmpl w:val="AB3A58F4"/>
    <w:lvl w:ilvl="0" w:tplc="04FEE194">
      <w:start w:val="1"/>
      <w:numFmt w:val="bullet"/>
      <w:lvlText w:val="•"/>
      <w:lvlJc w:val="left"/>
      <w:pPr>
        <w:tabs>
          <w:tab w:val="num" w:pos="720"/>
        </w:tabs>
        <w:ind w:left="720" w:hanging="360"/>
      </w:pPr>
      <w:rPr>
        <w:rFonts w:ascii="Arial" w:hAnsi="Arial" w:hint="default"/>
      </w:rPr>
    </w:lvl>
    <w:lvl w:ilvl="1" w:tplc="AD540816" w:tentative="1">
      <w:start w:val="1"/>
      <w:numFmt w:val="bullet"/>
      <w:lvlText w:val="•"/>
      <w:lvlJc w:val="left"/>
      <w:pPr>
        <w:tabs>
          <w:tab w:val="num" w:pos="1440"/>
        </w:tabs>
        <w:ind w:left="1440" w:hanging="360"/>
      </w:pPr>
      <w:rPr>
        <w:rFonts w:ascii="Arial" w:hAnsi="Arial" w:hint="default"/>
      </w:rPr>
    </w:lvl>
    <w:lvl w:ilvl="2" w:tplc="A8D45056">
      <w:start w:val="84"/>
      <w:numFmt w:val="bullet"/>
      <w:lvlText w:val="•"/>
      <w:lvlJc w:val="left"/>
      <w:pPr>
        <w:tabs>
          <w:tab w:val="num" w:pos="2160"/>
        </w:tabs>
        <w:ind w:left="2160" w:hanging="360"/>
      </w:pPr>
      <w:rPr>
        <w:rFonts w:ascii="Arial" w:hAnsi="Arial" w:hint="default"/>
      </w:rPr>
    </w:lvl>
    <w:lvl w:ilvl="3" w:tplc="76B217D8">
      <w:start w:val="1"/>
      <w:numFmt w:val="bullet"/>
      <w:lvlText w:val="•"/>
      <w:lvlJc w:val="left"/>
      <w:pPr>
        <w:tabs>
          <w:tab w:val="num" w:pos="2880"/>
        </w:tabs>
        <w:ind w:left="2880" w:hanging="360"/>
      </w:pPr>
      <w:rPr>
        <w:rFonts w:ascii="Arial" w:hAnsi="Arial" w:hint="default"/>
      </w:rPr>
    </w:lvl>
    <w:lvl w:ilvl="4" w:tplc="FEDCC67E" w:tentative="1">
      <w:start w:val="1"/>
      <w:numFmt w:val="bullet"/>
      <w:lvlText w:val="•"/>
      <w:lvlJc w:val="left"/>
      <w:pPr>
        <w:tabs>
          <w:tab w:val="num" w:pos="3600"/>
        </w:tabs>
        <w:ind w:left="3600" w:hanging="360"/>
      </w:pPr>
      <w:rPr>
        <w:rFonts w:ascii="Arial" w:hAnsi="Arial" w:hint="default"/>
      </w:rPr>
    </w:lvl>
    <w:lvl w:ilvl="5" w:tplc="6E30B686" w:tentative="1">
      <w:start w:val="1"/>
      <w:numFmt w:val="bullet"/>
      <w:lvlText w:val="•"/>
      <w:lvlJc w:val="left"/>
      <w:pPr>
        <w:tabs>
          <w:tab w:val="num" w:pos="4320"/>
        </w:tabs>
        <w:ind w:left="4320" w:hanging="360"/>
      </w:pPr>
      <w:rPr>
        <w:rFonts w:ascii="Arial" w:hAnsi="Arial" w:hint="default"/>
      </w:rPr>
    </w:lvl>
    <w:lvl w:ilvl="6" w:tplc="BED211A6" w:tentative="1">
      <w:start w:val="1"/>
      <w:numFmt w:val="bullet"/>
      <w:lvlText w:val="•"/>
      <w:lvlJc w:val="left"/>
      <w:pPr>
        <w:tabs>
          <w:tab w:val="num" w:pos="5040"/>
        </w:tabs>
        <w:ind w:left="5040" w:hanging="360"/>
      </w:pPr>
      <w:rPr>
        <w:rFonts w:ascii="Arial" w:hAnsi="Arial" w:hint="default"/>
      </w:rPr>
    </w:lvl>
    <w:lvl w:ilvl="7" w:tplc="86CCD74E" w:tentative="1">
      <w:start w:val="1"/>
      <w:numFmt w:val="bullet"/>
      <w:lvlText w:val="•"/>
      <w:lvlJc w:val="left"/>
      <w:pPr>
        <w:tabs>
          <w:tab w:val="num" w:pos="5760"/>
        </w:tabs>
        <w:ind w:left="5760" w:hanging="360"/>
      </w:pPr>
      <w:rPr>
        <w:rFonts w:ascii="Arial" w:hAnsi="Arial" w:hint="default"/>
      </w:rPr>
    </w:lvl>
    <w:lvl w:ilvl="8" w:tplc="73FA999E"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8"/>
  </w:num>
  <w:num w:numId="3">
    <w:abstractNumId w:val="29"/>
  </w:num>
  <w:num w:numId="4">
    <w:abstractNumId w:val="5"/>
  </w:num>
  <w:num w:numId="5">
    <w:abstractNumId w:val="26"/>
  </w:num>
  <w:num w:numId="6">
    <w:abstractNumId w:val="27"/>
  </w:num>
  <w:num w:numId="7">
    <w:abstractNumId w:val="12"/>
  </w:num>
  <w:num w:numId="8">
    <w:abstractNumId w:val="25"/>
  </w:num>
  <w:num w:numId="9">
    <w:abstractNumId w:val="6"/>
  </w:num>
  <w:num w:numId="10">
    <w:abstractNumId w:val="23"/>
  </w:num>
  <w:num w:numId="11">
    <w:abstractNumId w:val="3"/>
  </w:num>
  <w:num w:numId="12">
    <w:abstractNumId w:val="0"/>
  </w:num>
  <w:num w:numId="13">
    <w:abstractNumId w:val="2"/>
  </w:num>
  <w:num w:numId="14">
    <w:abstractNumId w:val="18"/>
  </w:num>
  <w:num w:numId="15">
    <w:abstractNumId w:val="21"/>
  </w:num>
  <w:num w:numId="16">
    <w:abstractNumId w:val="10"/>
  </w:num>
  <w:num w:numId="17">
    <w:abstractNumId w:val="20"/>
  </w:num>
  <w:num w:numId="18">
    <w:abstractNumId w:val="13"/>
  </w:num>
  <w:num w:numId="19">
    <w:abstractNumId w:val="7"/>
  </w:num>
  <w:num w:numId="20">
    <w:abstractNumId w:val="19"/>
  </w:num>
  <w:num w:numId="21">
    <w:abstractNumId w:val="24"/>
  </w:num>
  <w:num w:numId="22">
    <w:abstractNumId w:val="16"/>
  </w:num>
  <w:num w:numId="23">
    <w:abstractNumId w:val="22"/>
  </w:num>
  <w:num w:numId="24">
    <w:abstractNumId w:val="17"/>
  </w:num>
  <w:num w:numId="25">
    <w:abstractNumId w:val="1"/>
  </w:num>
  <w:num w:numId="26">
    <w:abstractNumId w:val="8"/>
  </w:num>
  <w:num w:numId="27">
    <w:abstractNumId w:val="14"/>
  </w:num>
  <w:num w:numId="28">
    <w:abstractNumId w:val="9"/>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B3"/>
    <w:rsid w:val="00000BD1"/>
    <w:rsid w:val="00003FC0"/>
    <w:rsid w:val="00004052"/>
    <w:rsid w:val="00004417"/>
    <w:rsid w:val="000048A9"/>
    <w:rsid w:val="00004E73"/>
    <w:rsid w:val="00005921"/>
    <w:rsid w:val="0000593F"/>
    <w:rsid w:val="000059E0"/>
    <w:rsid w:val="00005AE9"/>
    <w:rsid w:val="00006F05"/>
    <w:rsid w:val="00007EC7"/>
    <w:rsid w:val="0001195F"/>
    <w:rsid w:val="0001240C"/>
    <w:rsid w:val="00012C89"/>
    <w:rsid w:val="00016749"/>
    <w:rsid w:val="000171B7"/>
    <w:rsid w:val="000200D6"/>
    <w:rsid w:val="0002068B"/>
    <w:rsid w:val="000223C7"/>
    <w:rsid w:val="00022876"/>
    <w:rsid w:val="0003186F"/>
    <w:rsid w:val="00032E43"/>
    <w:rsid w:val="00034BA9"/>
    <w:rsid w:val="000354B7"/>
    <w:rsid w:val="000354C6"/>
    <w:rsid w:val="00036C94"/>
    <w:rsid w:val="000411D8"/>
    <w:rsid w:val="00041D36"/>
    <w:rsid w:val="00044566"/>
    <w:rsid w:val="00044872"/>
    <w:rsid w:val="00046DD2"/>
    <w:rsid w:val="00047508"/>
    <w:rsid w:val="0005121C"/>
    <w:rsid w:val="00051E97"/>
    <w:rsid w:val="00052603"/>
    <w:rsid w:val="00053997"/>
    <w:rsid w:val="00054A28"/>
    <w:rsid w:val="000557BE"/>
    <w:rsid w:val="0005705B"/>
    <w:rsid w:val="000571AA"/>
    <w:rsid w:val="00057A8A"/>
    <w:rsid w:val="0006014C"/>
    <w:rsid w:val="000609D7"/>
    <w:rsid w:val="0006167E"/>
    <w:rsid w:val="00063FB6"/>
    <w:rsid w:val="00064DC2"/>
    <w:rsid w:val="00071354"/>
    <w:rsid w:val="00071F2E"/>
    <w:rsid w:val="00072AA1"/>
    <w:rsid w:val="000732C0"/>
    <w:rsid w:val="00073E3C"/>
    <w:rsid w:val="00075E48"/>
    <w:rsid w:val="000777FB"/>
    <w:rsid w:val="0008392E"/>
    <w:rsid w:val="00084592"/>
    <w:rsid w:val="00084CE8"/>
    <w:rsid w:val="00087602"/>
    <w:rsid w:val="00087733"/>
    <w:rsid w:val="00092305"/>
    <w:rsid w:val="00093DE0"/>
    <w:rsid w:val="0009401B"/>
    <w:rsid w:val="00094450"/>
    <w:rsid w:val="00095B52"/>
    <w:rsid w:val="00096C3F"/>
    <w:rsid w:val="000A04E2"/>
    <w:rsid w:val="000A1330"/>
    <w:rsid w:val="000A2A4B"/>
    <w:rsid w:val="000A30EB"/>
    <w:rsid w:val="000A3195"/>
    <w:rsid w:val="000A44D4"/>
    <w:rsid w:val="000B1FD1"/>
    <w:rsid w:val="000B21E3"/>
    <w:rsid w:val="000B2D82"/>
    <w:rsid w:val="000B3445"/>
    <w:rsid w:val="000B61C2"/>
    <w:rsid w:val="000B7107"/>
    <w:rsid w:val="000C29C0"/>
    <w:rsid w:val="000C3D05"/>
    <w:rsid w:val="000C52A0"/>
    <w:rsid w:val="000C5DD3"/>
    <w:rsid w:val="000C5E9D"/>
    <w:rsid w:val="000D17AC"/>
    <w:rsid w:val="000D1B88"/>
    <w:rsid w:val="000D1FB7"/>
    <w:rsid w:val="000D380D"/>
    <w:rsid w:val="000D754B"/>
    <w:rsid w:val="000D7FF6"/>
    <w:rsid w:val="000E0309"/>
    <w:rsid w:val="000E123D"/>
    <w:rsid w:val="000E1B2D"/>
    <w:rsid w:val="000E22D9"/>
    <w:rsid w:val="000E3498"/>
    <w:rsid w:val="000E3F2A"/>
    <w:rsid w:val="000E48AD"/>
    <w:rsid w:val="000E4928"/>
    <w:rsid w:val="000E5A21"/>
    <w:rsid w:val="000E7DC6"/>
    <w:rsid w:val="000F0905"/>
    <w:rsid w:val="000F0CFC"/>
    <w:rsid w:val="000F1B05"/>
    <w:rsid w:val="000F3C31"/>
    <w:rsid w:val="000F60C0"/>
    <w:rsid w:val="000F63B9"/>
    <w:rsid w:val="000F67D6"/>
    <w:rsid w:val="000F751D"/>
    <w:rsid w:val="00101E67"/>
    <w:rsid w:val="001032C1"/>
    <w:rsid w:val="001060C6"/>
    <w:rsid w:val="001077CF"/>
    <w:rsid w:val="00113CDA"/>
    <w:rsid w:val="00120975"/>
    <w:rsid w:val="00120BB8"/>
    <w:rsid w:val="001216CE"/>
    <w:rsid w:val="0012283D"/>
    <w:rsid w:val="00123094"/>
    <w:rsid w:val="00125883"/>
    <w:rsid w:val="001258B2"/>
    <w:rsid w:val="00126412"/>
    <w:rsid w:val="00133461"/>
    <w:rsid w:val="00133CC4"/>
    <w:rsid w:val="00135408"/>
    <w:rsid w:val="0013716E"/>
    <w:rsid w:val="00137777"/>
    <w:rsid w:val="0014005E"/>
    <w:rsid w:val="00141A79"/>
    <w:rsid w:val="00143998"/>
    <w:rsid w:val="001448E0"/>
    <w:rsid w:val="00144F98"/>
    <w:rsid w:val="00146096"/>
    <w:rsid w:val="00146B01"/>
    <w:rsid w:val="00147C27"/>
    <w:rsid w:val="00147D01"/>
    <w:rsid w:val="00152E3E"/>
    <w:rsid w:val="001534AD"/>
    <w:rsid w:val="00153E31"/>
    <w:rsid w:val="00153E9D"/>
    <w:rsid w:val="00154989"/>
    <w:rsid w:val="00155758"/>
    <w:rsid w:val="00155C60"/>
    <w:rsid w:val="0015669F"/>
    <w:rsid w:val="00160131"/>
    <w:rsid w:val="00161037"/>
    <w:rsid w:val="00161B43"/>
    <w:rsid w:val="00162AC3"/>
    <w:rsid w:val="00163A12"/>
    <w:rsid w:val="00166896"/>
    <w:rsid w:val="00170DFE"/>
    <w:rsid w:val="00172122"/>
    <w:rsid w:val="00175C2C"/>
    <w:rsid w:val="001775C2"/>
    <w:rsid w:val="001779ED"/>
    <w:rsid w:val="00177A5F"/>
    <w:rsid w:val="00180515"/>
    <w:rsid w:val="001811A7"/>
    <w:rsid w:val="001866DA"/>
    <w:rsid w:val="00190764"/>
    <w:rsid w:val="001918FC"/>
    <w:rsid w:val="001925D1"/>
    <w:rsid w:val="00193259"/>
    <w:rsid w:val="00193C03"/>
    <w:rsid w:val="00195970"/>
    <w:rsid w:val="00196F16"/>
    <w:rsid w:val="001A1328"/>
    <w:rsid w:val="001A1583"/>
    <w:rsid w:val="001A17A2"/>
    <w:rsid w:val="001A2352"/>
    <w:rsid w:val="001A43F2"/>
    <w:rsid w:val="001A44C0"/>
    <w:rsid w:val="001A4589"/>
    <w:rsid w:val="001A4F06"/>
    <w:rsid w:val="001A645F"/>
    <w:rsid w:val="001A7617"/>
    <w:rsid w:val="001A76F0"/>
    <w:rsid w:val="001A7A6B"/>
    <w:rsid w:val="001B0D73"/>
    <w:rsid w:val="001B1F5C"/>
    <w:rsid w:val="001B25DC"/>
    <w:rsid w:val="001B3CA0"/>
    <w:rsid w:val="001B534B"/>
    <w:rsid w:val="001B555A"/>
    <w:rsid w:val="001B592F"/>
    <w:rsid w:val="001B7D57"/>
    <w:rsid w:val="001C0584"/>
    <w:rsid w:val="001C0671"/>
    <w:rsid w:val="001C121F"/>
    <w:rsid w:val="001C1675"/>
    <w:rsid w:val="001C2396"/>
    <w:rsid w:val="001C24C6"/>
    <w:rsid w:val="001C2E88"/>
    <w:rsid w:val="001C426B"/>
    <w:rsid w:val="001C48B6"/>
    <w:rsid w:val="001C4F15"/>
    <w:rsid w:val="001C5A43"/>
    <w:rsid w:val="001C759F"/>
    <w:rsid w:val="001C75CD"/>
    <w:rsid w:val="001D0789"/>
    <w:rsid w:val="001D0E73"/>
    <w:rsid w:val="001D2910"/>
    <w:rsid w:val="001D378B"/>
    <w:rsid w:val="001D73A8"/>
    <w:rsid w:val="001D7B4D"/>
    <w:rsid w:val="001E13D2"/>
    <w:rsid w:val="001E1905"/>
    <w:rsid w:val="001E240F"/>
    <w:rsid w:val="001E2726"/>
    <w:rsid w:val="001E3BEA"/>
    <w:rsid w:val="001E5A7E"/>
    <w:rsid w:val="001E5BBB"/>
    <w:rsid w:val="001F0988"/>
    <w:rsid w:val="001F09F9"/>
    <w:rsid w:val="001F0EA9"/>
    <w:rsid w:val="001F310E"/>
    <w:rsid w:val="001F357B"/>
    <w:rsid w:val="001F4EFC"/>
    <w:rsid w:val="001F5958"/>
    <w:rsid w:val="001F5F1F"/>
    <w:rsid w:val="001F728F"/>
    <w:rsid w:val="001F7E29"/>
    <w:rsid w:val="00201B55"/>
    <w:rsid w:val="00201DA0"/>
    <w:rsid w:val="00202233"/>
    <w:rsid w:val="00202625"/>
    <w:rsid w:val="00206D85"/>
    <w:rsid w:val="00207228"/>
    <w:rsid w:val="00207FEF"/>
    <w:rsid w:val="002108A3"/>
    <w:rsid w:val="00210E8C"/>
    <w:rsid w:val="002134CD"/>
    <w:rsid w:val="00214843"/>
    <w:rsid w:val="00215A9E"/>
    <w:rsid w:val="00217101"/>
    <w:rsid w:val="0021726C"/>
    <w:rsid w:val="00217B44"/>
    <w:rsid w:val="00220C6C"/>
    <w:rsid w:val="00221CA1"/>
    <w:rsid w:val="00223511"/>
    <w:rsid w:val="00223913"/>
    <w:rsid w:val="0022449D"/>
    <w:rsid w:val="00224510"/>
    <w:rsid w:val="00225E42"/>
    <w:rsid w:val="00227A31"/>
    <w:rsid w:val="00230EB9"/>
    <w:rsid w:val="00231105"/>
    <w:rsid w:val="00231DC7"/>
    <w:rsid w:val="002322FF"/>
    <w:rsid w:val="00232EF0"/>
    <w:rsid w:val="00235D27"/>
    <w:rsid w:val="00236BAD"/>
    <w:rsid w:val="0024096F"/>
    <w:rsid w:val="00240B7C"/>
    <w:rsid w:val="00240DB7"/>
    <w:rsid w:val="00240DD6"/>
    <w:rsid w:val="00241C1A"/>
    <w:rsid w:val="0024255A"/>
    <w:rsid w:val="0024376A"/>
    <w:rsid w:val="002439C1"/>
    <w:rsid w:val="00243E79"/>
    <w:rsid w:val="00245B52"/>
    <w:rsid w:val="00246575"/>
    <w:rsid w:val="002502AF"/>
    <w:rsid w:val="00250467"/>
    <w:rsid w:val="00250539"/>
    <w:rsid w:val="00252EA2"/>
    <w:rsid w:val="002614CE"/>
    <w:rsid w:val="00261826"/>
    <w:rsid w:val="00262EBD"/>
    <w:rsid w:val="00262F00"/>
    <w:rsid w:val="00265035"/>
    <w:rsid w:val="00265776"/>
    <w:rsid w:val="00265B84"/>
    <w:rsid w:val="00265BE8"/>
    <w:rsid w:val="00265FB1"/>
    <w:rsid w:val="00266340"/>
    <w:rsid w:val="00271F8F"/>
    <w:rsid w:val="00271FB9"/>
    <w:rsid w:val="0027396B"/>
    <w:rsid w:val="0027464C"/>
    <w:rsid w:val="002748C7"/>
    <w:rsid w:val="00274D44"/>
    <w:rsid w:val="0027624E"/>
    <w:rsid w:val="002762F9"/>
    <w:rsid w:val="00276D0C"/>
    <w:rsid w:val="00277414"/>
    <w:rsid w:val="0027757F"/>
    <w:rsid w:val="0028020B"/>
    <w:rsid w:val="00281647"/>
    <w:rsid w:val="00283ACA"/>
    <w:rsid w:val="00283F04"/>
    <w:rsid w:val="00284B32"/>
    <w:rsid w:val="0028592A"/>
    <w:rsid w:val="00290225"/>
    <w:rsid w:val="0029026E"/>
    <w:rsid w:val="00290493"/>
    <w:rsid w:val="002910DF"/>
    <w:rsid w:val="00295E8E"/>
    <w:rsid w:val="00296262"/>
    <w:rsid w:val="002963E5"/>
    <w:rsid w:val="002978C1"/>
    <w:rsid w:val="002A0042"/>
    <w:rsid w:val="002A0BA9"/>
    <w:rsid w:val="002A0EA3"/>
    <w:rsid w:val="002A3007"/>
    <w:rsid w:val="002A317C"/>
    <w:rsid w:val="002A4C38"/>
    <w:rsid w:val="002A4D79"/>
    <w:rsid w:val="002A695B"/>
    <w:rsid w:val="002B052B"/>
    <w:rsid w:val="002B2465"/>
    <w:rsid w:val="002B4A62"/>
    <w:rsid w:val="002B6043"/>
    <w:rsid w:val="002B728C"/>
    <w:rsid w:val="002B782E"/>
    <w:rsid w:val="002C06FA"/>
    <w:rsid w:val="002C1729"/>
    <w:rsid w:val="002C3719"/>
    <w:rsid w:val="002C3F63"/>
    <w:rsid w:val="002C4461"/>
    <w:rsid w:val="002C6063"/>
    <w:rsid w:val="002C691A"/>
    <w:rsid w:val="002C6D29"/>
    <w:rsid w:val="002C6E10"/>
    <w:rsid w:val="002C70CB"/>
    <w:rsid w:val="002D131E"/>
    <w:rsid w:val="002D188B"/>
    <w:rsid w:val="002D2EF0"/>
    <w:rsid w:val="002D30AF"/>
    <w:rsid w:val="002D36BA"/>
    <w:rsid w:val="002D3B47"/>
    <w:rsid w:val="002D4854"/>
    <w:rsid w:val="002D6B69"/>
    <w:rsid w:val="002D72AA"/>
    <w:rsid w:val="002D7F05"/>
    <w:rsid w:val="002E10F9"/>
    <w:rsid w:val="002E1D33"/>
    <w:rsid w:val="002E2CC1"/>
    <w:rsid w:val="002E2EFB"/>
    <w:rsid w:val="002E3CFC"/>
    <w:rsid w:val="002E3F7E"/>
    <w:rsid w:val="002E47F6"/>
    <w:rsid w:val="002E49B8"/>
    <w:rsid w:val="002E5F6D"/>
    <w:rsid w:val="002F030B"/>
    <w:rsid w:val="002F0587"/>
    <w:rsid w:val="002F177E"/>
    <w:rsid w:val="002F1AF8"/>
    <w:rsid w:val="002F2730"/>
    <w:rsid w:val="002F2AEC"/>
    <w:rsid w:val="002F3263"/>
    <w:rsid w:val="002F47D0"/>
    <w:rsid w:val="002F522D"/>
    <w:rsid w:val="002F7F32"/>
    <w:rsid w:val="00300128"/>
    <w:rsid w:val="00300D70"/>
    <w:rsid w:val="003012F9"/>
    <w:rsid w:val="00301FBB"/>
    <w:rsid w:val="0030598D"/>
    <w:rsid w:val="00306F34"/>
    <w:rsid w:val="00307551"/>
    <w:rsid w:val="00311EBA"/>
    <w:rsid w:val="00314B2B"/>
    <w:rsid w:val="0031511A"/>
    <w:rsid w:val="003208FB"/>
    <w:rsid w:val="003217F7"/>
    <w:rsid w:val="00321D97"/>
    <w:rsid w:val="003233B1"/>
    <w:rsid w:val="00326771"/>
    <w:rsid w:val="00327563"/>
    <w:rsid w:val="00330124"/>
    <w:rsid w:val="0033192F"/>
    <w:rsid w:val="00331E99"/>
    <w:rsid w:val="00332030"/>
    <w:rsid w:val="0033275C"/>
    <w:rsid w:val="0033349E"/>
    <w:rsid w:val="00335569"/>
    <w:rsid w:val="00335C92"/>
    <w:rsid w:val="0033629A"/>
    <w:rsid w:val="00336CA2"/>
    <w:rsid w:val="003373A6"/>
    <w:rsid w:val="00340450"/>
    <w:rsid w:val="00340650"/>
    <w:rsid w:val="00340E40"/>
    <w:rsid w:val="00343520"/>
    <w:rsid w:val="00343A4F"/>
    <w:rsid w:val="00344D4D"/>
    <w:rsid w:val="00344D6C"/>
    <w:rsid w:val="00345F6A"/>
    <w:rsid w:val="00346894"/>
    <w:rsid w:val="003534A2"/>
    <w:rsid w:val="003546F2"/>
    <w:rsid w:val="003566F4"/>
    <w:rsid w:val="0036056A"/>
    <w:rsid w:val="00361571"/>
    <w:rsid w:val="003621FD"/>
    <w:rsid w:val="00363836"/>
    <w:rsid w:val="003659C4"/>
    <w:rsid w:val="00365E89"/>
    <w:rsid w:val="00366C93"/>
    <w:rsid w:val="00366F9A"/>
    <w:rsid w:val="0037067B"/>
    <w:rsid w:val="00370BB4"/>
    <w:rsid w:val="003723AC"/>
    <w:rsid w:val="003735E8"/>
    <w:rsid w:val="00381EAF"/>
    <w:rsid w:val="0038785B"/>
    <w:rsid w:val="00390806"/>
    <w:rsid w:val="00392F27"/>
    <w:rsid w:val="00393C46"/>
    <w:rsid w:val="00395075"/>
    <w:rsid w:val="00395A16"/>
    <w:rsid w:val="003960B1"/>
    <w:rsid w:val="00397DC8"/>
    <w:rsid w:val="003A07D1"/>
    <w:rsid w:val="003A12A9"/>
    <w:rsid w:val="003A19F4"/>
    <w:rsid w:val="003A2C93"/>
    <w:rsid w:val="003A32C6"/>
    <w:rsid w:val="003A345D"/>
    <w:rsid w:val="003A4146"/>
    <w:rsid w:val="003A4216"/>
    <w:rsid w:val="003A6BF3"/>
    <w:rsid w:val="003A7076"/>
    <w:rsid w:val="003B1199"/>
    <w:rsid w:val="003B15B3"/>
    <w:rsid w:val="003B5A23"/>
    <w:rsid w:val="003B5C1A"/>
    <w:rsid w:val="003C04AD"/>
    <w:rsid w:val="003C09EB"/>
    <w:rsid w:val="003C222F"/>
    <w:rsid w:val="003C5066"/>
    <w:rsid w:val="003C5115"/>
    <w:rsid w:val="003C5BD7"/>
    <w:rsid w:val="003C602F"/>
    <w:rsid w:val="003C659A"/>
    <w:rsid w:val="003D15AE"/>
    <w:rsid w:val="003D1BC1"/>
    <w:rsid w:val="003D1CA5"/>
    <w:rsid w:val="003D28BD"/>
    <w:rsid w:val="003D3309"/>
    <w:rsid w:val="003D37B7"/>
    <w:rsid w:val="003D43BC"/>
    <w:rsid w:val="003D4505"/>
    <w:rsid w:val="003D6A68"/>
    <w:rsid w:val="003D6E35"/>
    <w:rsid w:val="003E14C9"/>
    <w:rsid w:val="003E16F8"/>
    <w:rsid w:val="003E1CD6"/>
    <w:rsid w:val="003E2810"/>
    <w:rsid w:val="003E3E6F"/>
    <w:rsid w:val="003E452B"/>
    <w:rsid w:val="003E4F71"/>
    <w:rsid w:val="003F0F9E"/>
    <w:rsid w:val="003F350E"/>
    <w:rsid w:val="003F4855"/>
    <w:rsid w:val="0040232E"/>
    <w:rsid w:val="00403F0E"/>
    <w:rsid w:val="0040521F"/>
    <w:rsid w:val="0040596F"/>
    <w:rsid w:val="00406960"/>
    <w:rsid w:val="00412553"/>
    <w:rsid w:val="0041321D"/>
    <w:rsid w:val="00415C49"/>
    <w:rsid w:val="00416367"/>
    <w:rsid w:val="004203B7"/>
    <w:rsid w:val="00421BBD"/>
    <w:rsid w:val="00422BAE"/>
    <w:rsid w:val="00424906"/>
    <w:rsid w:val="00426292"/>
    <w:rsid w:val="00426680"/>
    <w:rsid w:val="004301D4"/>
    <w:rsid w:val="00432046"/>
    <w:rsid w:val="00432891"/>
    <w:rsid w:val="00432C00"/>
    <w:rsid w:val="004347E9"/>
    <w:rsid w:val="004353D2"/>
    <w:rsid w:val="00435E9B"/>
    <w:rsid w:val="00436C3F"/>
    <w:rsid w:val="00437E2F"/>
    <w:rsid w:val="00440C21"/>
    <w:rsid w:val="00443EFD"/>
    <w:rsid w:val="00446AA3"/>
    <w:rsid w:val="00447DF4"/>
    <w:rsid w:val="00451C1B"/>
    <w:rsid w:val="00452289"/>
    <w:rsid w:val="004562DD"/>
    <w:rsid w:val="0045635E"/>
    <w:rsid w:val="004604E0"/>
    <w:rsid w:val="004629C3"/>
    <w:rsid w:val="004632B1"/>
    <w:rsid w:val="00463CDF"/>
    <w:rsid w:val="00464259"/>
    <w:rsid w:val="00465C49"/>
    <w:rsid w:val="00467A84"/>
    <w:rsid w:val="0047036D"/>
    <w:rsid w:val="00471515"/>
    <w:rsid w:val="00471ED9"/>
    <w:rsid w:val="00472CA1"/>
    <w:rsid w:val="004738F1"/>
    <w:rsid w:val="00473939"/>
    <w:rsid w:val="00473FF2"/>
    <w:rsid w:val="00474273"/>
    <w:rsid w:val="00481BF4"/>
    <w:rsid w:val="00483652"/>
    <w:rsid w:val="0048488B"/>
    <w:rsid w:val="004861D0"/>
    <w:rsid w:val="0048627D"/>
    <w:rsid w:val="00486994"/>
    <w:rsid w:val="00490E72"/>
    <w:rsid w:val="00491DCD"/>
    <w:rsid w:val="004926E4"/>
    <w:rsid w:val="00494782"/>
    <w:rsid w:val="00494F00"/>
    <w:rsid w:val="00495D27"/>
    <w:rsid w:val="004A2008"/>
    <w:rsid w:val="004A26A4"/>
    <w:rsid w:val="004A332D"/>
    <w:rsid w:val="004A45BF"/>
    <w:rsid w:val="004A4602"/>
    <w:rsid w:val="004A541F"/>
    <w:rsid w:val="004A5D7E"/>
    <w:rsid w:val="004B1496"/>
    <w:rsid w:val="004B228A"/>
    <w:rsid w:val="004B2A80"/>
    <w:rsid w:val="004B2EFC"/>
    <w:rsid w:val="004B6FE7"/>
    <w:rsid w:val="004B7FAE"/>
    <w:rsid w:val="004C3EE6"/>
    <w:rsid w:val="004C40BF"/>
    <w:rsid w:val="004C4A81"/>
    <w:rsid w:val="004C6785"/>
    <w:rsid w:val="004C6CEA"/>
    <w:rsid w:val="004D42CB"/>
    <w:rsid w:val="004E094D"/>
    <w:rsid w:val="004E16D8"/>
    <w:rsid w:val="004E2C6E"/>
    <w:rsid w:val="004E525C"/>
    <w:rsid w:val="004E58EB"/>
    <w:rsid w:val="004E5FAE"/>
    <w:rsid w:val="004F002B"/>
    <w:rsid w:val="004F28A8"/>
    <w:rsid w:val="004F34D5"/>
    <w:rsid w:val="004F40BA"/>
    <w:rsid w:val="004F607B"/>
    <w:rsid w:val="004F7E9D"/>
    <w:rsid w:val="005037D7"/>
    <w:rsid w:val="00510598"/>
    <w:rsid w:val="00512D90"/>
    <w:rsid w:val="00516371"/>
    <w:rsid w:val="00516B77"/>
    <w:rsid w:val="00517C6A"/>
    <w:rsid w:val="00525B94"/>
    <w:rsid w:val="0052777E"/>
    <w:rsid w:val="00531419"/>
    <w:rsid w:val="005326F6"/>
    <w:rsid w:val="00533A76"/>
    <w:rsid w:val="00535FDF"/>
    <w:rsid w:val="0054101D"/>
    <w:rsid w:val="00542E77"/>
    <w:rsid w:val="00542FF3"/>
    <w:rsid w:val="0054300D"/>
    <w:rsid w:val="00543D36"/>
    <w:rsid w:val="00544330"/>
    <w:rsid w:val="00545369"/>
    <w:rsid w:val="0054605A"/>
    <w:rsid w:val="005470EC"/>
    <w:rsid w:val="00551C37"/>
    <w:rsid w:val="00551D0B"/>
    <w:rsid w:val="00551EA0"/>
    <w:rsid w:val="00556F08"/>
    <w:rsid w:val="005609F8"/>
    <w:rsid w:val="00560B5F"/>
    <w:rsid w:val="00561270"/>
    <w:rsid w:val="0056166E"/>
    <w:rsid w:val="0056298B"/>
    <w:rsid w:val="00562BAA"/>
    <w:rsid w:val="00562EB0"/>
    <w:rsid w:val="0056314B"/>
    <w:rsid w:val="005640DE"/>
    <w:rsid w:val="00565A22"/>
    <w:rsid w:val="005667E5"/>
    <w:rsid w:val="005675A2"/>
    <w:rsid w:val="00567FF0"/>
    <w:rsid w:val="00570936"/>
    <w:rsid w:val="00570BB9"/>
    <w:rsid w:val="00571344"/>
    <w:rsid w:val="0057328C"/>
    <w:rsid w:val="00573F2E"/>
    <w:rsid w:val="00575B1D"/>
    <w:rsid w:val="005817D0"/>
    <w:rsid w:val="0058227D"/>
    <w:rsid w:val="00582838"/>
    <w:rsid w:val="00583D7E"/>
    <w:rsid w:val="00584410"/>
    <w:rsid w:val="0058649C"/>
    <w:rsid w:val="0059038E"/>
    <w:rsid w:val="00590784"/>
    <w:rsid w:val="00590DA4"/>
    <w:rsid w:val="00591C88"/>
    <w:rsid w:val="00592CAE"/>
    <w:rsid w:val="00594266"/>
    <w:rsid w:val="005952C9"/>
    <w:rsid w:val="00595754"/>
    <w:rsid w:val="0059578F"/>
    <w:rsid w:val="00597477"/>
    <w:rsid w:val="00597DE4"/>
    <w:rsid w:val="005A1727"/>
    <w:rsid w:val="005A1965"/>
    <w:rsid w:val="005A3668"/>
    <w:rsid w:val="005A3B32"/>
    <w:rsid w:val="005A442B"/>
    <w:rsid w:val="005A452C"/>
    <w:rsid w:val="005A463D"/>
    <w:rsid w:val="005A4B3A"/>
    <w:rsid w:val="005A53D9"/>
    <w:rsid w:val="005A53EB"/>
    <w:rsid w:val="005A6196"/>
    <w:rsid w:val="005A699D"/>
    <w:rsid w:val="005A7096"/>
    <w:rsid w:val="005A7A17"/>
    <w:rsid w:val="005B22E4"/>
    <w:rsid w:val="005B3DD3"/>
    <w:rsid w:val="005B3DE1"/>
    <w:rsid w:val="005B4B10"/>
    <w:rsid w:val="005B4C27"/>
    <w:rsid w:val="005C02D9"/>
    <w:rsid w:val="005C143C"/>
    <w:rsid w:val="005C3BE9"/>
    <w:rsid w:val="005C3F74"/>
    <w:rsid w:val="005C41DE"/>
    <w:rsid w:val="005C64BC"/>
    <w:rsid w:val="005C6DD4"/>
    <w:rsid w:val="005C7EEE"/>
    <w:rsid w:val="005D163A"/>
    <w:rsid w:val="005D1746"/>
    <w:rsid w:val="005D2711"/>
    <w:rsid w:val="005D2CEB"/>
    <w:rsid w:val="005D39D8"/>
    <w:rsid w:val="005D39ED"/>
    <w:rsid w:val="005D7A7D"/>
    <w:rsid w:val="005E27EE"/>
    <w:rsid w:val="005E40D1"/>
    <w:rsid w:val="005E4136"/>
    <w:rsid w:val="005E44DD"/>
    <w:rsid w:val="005E674E"/>
    <w:rsid w:val="005F04A1"/>
    <w:rsid w:val="005F1806"/>
    <w:rsid w:val="005F32E6"/>
    <w:rsid w:val="005F6917"/>
    <w:rsid w:val="005F6E81"/>
    <w:rsid w:val="005F709A"/>
    <w:rsid w:val="005F7752"/>
    <w:rsid w:val="005F7F39"/>
    <w:rsid w:val="00600AC1"/>
    <w:rsid w:val="00601B5B"/>
    <w:rsid w:val="00601EC9"/>
    <w:rsid w:val="006027E6"/>
    <w:rsid w:val="00604752"/>
    <w:rsid w:val="00605377"/>
    <w:rsid w:val="00606F1E"/>
    <w:rsid w:val="00606F86"/>
    <w:rsid w:val="00610A1A"/>
    <w:rsid w:val="00611609"/>
    <w:rsid w:val="00612844"/>
    <w:rsid w:val="00616432"/>
    <w:rsid w:val="006174AC"/>
    <w:rsid w:val="0062090F"/>
    <w:rsid w:val="00620CBB"/>
    <w:rsid w:val="0062163A"/>
    <w:rsid w:val="006221B5"/>
    <w:rsid w:val="00622D48"/>
    <w:rsid w:val="00622DDE"/>
    <w:rsid w:val="00624934"/>
    <w:rsid w:val="006305B7"/>
    <w:rsid w:val="0063062C"/>
    <w:rsid w:val="00632B86"/>
    <w:rsid w:val="0063519F"/>
    <w:rsid w:val="00636F60"/>
    <w:rsid w:val="0064088C"/>
    <w:rsid w:val="00641BBC"/>
    <w:rsid w:val="0064203A"/>
    <w:rsid w:val="00642A56"/>
    <w:rsid w:val="006438FE"/>
    <w:rsid w:val="00643C9C"/>
    <w:rsid w:val="006445F5"/>
    <w:rsid w:val="006452CE"/>
    <w:rsid w:val="00646097"/>
    <w:rsid w:val="006460FF"/>
    <w:rsid w:val="006468D4"/>
    <w:rsid w:val="00651A5D"/>
    <w:rsid w:val="00652776"/>
    <w:rsid w:val="00653B57"/>
    <w:rsid w:val="0065602D"/>
    <w:rsid w:val="00656BDD"/>
    <w:rsid w:val="006573F0"/>
    <w:rsid w:val="00661130"/>
    <w:rsid w:val="0066185A"/>
    <w:rsid w:val="006626C9"/>
    <w:rsid w:val="00663AE8"/>
    <w:rsid w:val="006652D2"/>
    <w:rsid w:val="006657A4"/>
    <w:rsid w:val="00665869"/>
    <w:rsid w:val="00665E49"/>
    <w:rsid w:val="0066614D"/>
    <w:rsid w:val="00666307"/>
    <w:rsid w:val="00666604"/>
    <w:rsid w:val="006672E4"/>
    <w:rsid w:val="00670728"/>
    <w:rsid w:val="00670D58"/>
    <w:rsid w:val="006728B0"/>
    <w:rsid w:val="006731D6"/>
    <w:rsid w:val="00673270"/>
    <w:rsid w:val="00673EFE"/>
    <w:rsid w:val="00676056"/>
    <w:rsid w:val="00676FDD"/>
    <w:rsid w:val="00677C91"/>
    <w:rsid w:val="00677ED3"/>
    <w:rsid w:val="00680BDF"/>
    <w:rsid w:val="00681857"/>
    <w:rsid w:val="00681C98"/>
    <w:rsid w:val="006844C2"/>
    <w:rsid w:val="00684F45"/>
    <w:rsid w:val="00685716"/>
    <w:rsid w:val="00686B0D"/>
    <w:rsid w:val="00686B31"/>
    <w:rsid w:val="006946B1"/>
    <w:rsid w:val="0069723B"/>
    <w:rsid w:val="00697992"/>
    <w:rsid w:val="006A0344"/>
    <w:rsid w:val="006A05B2"/>
    <w:rsid w:val="006A17BD"/>
    <w:rsid w:val="006A2E7E"/>
    <w:rsid w:val="006A5490"/>
    <w:rsid w:val="006A55DC"/>
    <w:rsid w:val="006A6357"/>
    <w:rsid w:val="006A773C"/>
    <w:rsid w:val="006A784C"/>
    <w:rsid w:val="006A7B3C"/>
    <w:rsid w:val="006A7ECA"/>
    <w:rsid w:val="006B0081"/>
    <w:rsid w:val="006B1029"/>
    <w:rsid w:val="006B104A"/>
    <w:rsid w:val="006B23AA"/>
    <w:rsid w:val="006B2E31"/>
    <w:rsid w:val="006B3C3B"/>
    <w:rsid w:val="006C151F"/>
    <w:rsid w:val="006C1538"/>
    <w:rsid w:val="006C1D7B"/>
    <w:rsid w:val="006C31A0"/>
    <w:rsid w:val="006C3636"/>
    <w:rsid w:val="006C37F6"/>
    <w:rsid w:val="006C4811"/>
    <w:rsid w:val="006C55E2"/>
    <w:rsid w:val="006C66ED"/>
    <w:rsid w:val="006D4A1F"/>
    <w:rsid w:val="006D6325"/>
    <w:rsid w:val="006D71FB"/>
    <w:rsid w:val="006E07AC"/>
    <w:rsid w:val="006E33F5"/>
    <w:rsid w:val="006E48BC"/>
    <w:rsid w:val="006E76B3"/>
    <w:rsid w:val="006F01E7"/>
    <w:rsid w:val="006F19A4"/>
    <w:rsid w:val="006F270E"/>
    <w:rsid w:val="006F329A"/>
    <w:rsid w:val="006F4985"/>
    <w:rsid w:val="006F62E1"/>
    <w:rsid w:val="006F65CD"/>
    <w:rsid w:val="006F6818"/>
    <w:rsid w:val="006F71FC"/>
    <w:rsid w:val="007012C2"/>
    <w:rsid w:val="00701D60"/>
    <w:rsid w:val="00701D9E"/>
    <w:rsid w:val="00704270"/>
    <w:rsid w:val="0070450A"/>
    <w:rsid w:val="007047C7"/>
    <w:rsid w:val="00705475"/>
    <w:rsid w:val="00705A6A"/>
    <w:rsid w:val="00706F5B"/>
    <w:rsid w:val="00710677"/>
    <w:rsid w:val="007114A6"/>
    <w:rsid w:val="00711761"/>
    <w:rsid w:val="00711877"/>
    <w:rsid w:val="00711BB8"/>
    <w:rsid w:val="0071401B"/>
    <w:rsid w:val="00714F1E"/>
    <w:rsid w:val="00715121"/>
    <w:rsid w:val="007156A1"/>
    <w:rsid w:val="00715934"/>
    <w:rsid w:val="007173C5"/>
    <w:rsid w:val="007175F2"/>
    <w:rsid w:val="0071788A"/>
    <w:rsid w:val="007206FC"/>
    <w:rsid w:val="007207C7"/>
    <w:rsid w:val="00720A5F"/>
    <w:rsid w:val="007241E8"/>
    <w:rsid w:val="0072475F"/>
    <w:rsid w:val="00724FF8"/>
    <w:rsid w:val="0073016E"/>
    <w:rsid w:val="00730C2C"/>
    <w:rsid w:val="00734B25"/>
    <w:rsid w:val="00735D3C"/>
    <w:rsid w:val="007370AB"/>
    <w:rsid w:val="007373C2"/>
    <w:rsid w:val="00737662"/>
    <w:rsid w:val="00740C50"/>
    <w:rsid w:val="0074154D"/>
    <w:rsid w:val="00741C47"/>
    <w:rsid w:val="007437A9"/>
    <w:rsid w:val="007465F4"/>
    <w:rsid w:val="0075120B"/>
    <w:rsid w:val="00751A58"/>
    <w:rsid w:val="007521F3"/>
    <w:rsid w:val="00752A6C"/>
    <w:rsid w:val="00757EFA"/>
    <w:rsid w:val="00760DE7"/>
    <w:rsid w:val="00762D17"/>
    <w:rsid w:val="00764066"/>
    <w:rsid w:val="007656FD"/>
    <w:rsid w:val="007659F9"/>
    <w:rsid w:val="00765C1C"/>
    <w:rsid w:val="00765E34"/>
    <w:rsid w:val="00766628"/>
    <w:rsid w:val="00770623"/>
    <w:rsid w:val="00773846"/>
    <w:rsid w:val="00773E53"/>
    <w:rsid w:val="0077461D"/>
    <w:rsid w:val="00776A34"/>
    <w:rsid w:val="00781883"/>
    <w:rsid w:val="00781C8F"/>
    <w:rsid w:val="00783967"/>
    <w:rsid w:val="00784D50"/>
    <w:rsid w:val="00785D78"/>
    <w:rsid w:val="00787456"/>
    <w:rsid w:val="00787D9E"/>
    <w:rsid w:val="00790171"/>
    <w:rsid w:val="007916AC"/>
    <w:rsid w:val="00792A51"/>
    <w:rsid w:val="00795F7C"/>
    <w:rsid w:val="007A0346"/>
    <w:rsid w:val="007A1882"/>
    <w:rsid w:val="007A3C55"/>
    <w:rsid w:val="007A4C8E"/>
    <w:rsid w:val="007A64F1"/>
    <w:rsid w:val="007A7060"/>
    <w:rsid w:val="007A71CC"/>
    <w:rsid w:val="007B0495"/>
    <w:rsid w:val="007B0DF4"/>
    <w:rsid w:val="007B3533"/>
    <w:rsid w:val="007B35FD"/>
    <w:rsid w:val="007B38CC"/>
    <w:rsid w:val="007B3A90"/>
    <w:rsid w:val="007B44C5"/>
    <w:rsid w:val="007B504E"/>
    <w:rsid w:val="007B5A42"/>
    <w:rsid w:val="007B7918"/>
    <w:rsid w:val="007C1567"/>
    <w:rsid w:val="007C1FDB"/>
    <w:rsid w:val="007C4E4F"/>
    <w:rsid w:val="007C57A6"/>
    <w:rsid w:val="007C7502"/>
    <w:rsid w:val="007C776F"/>
    <w:rsid w:val="007C78EB"/>
    <w:rsid w:val="007D03C8"/>
    <w:rsid w:val="007D0A12"/>
    <w:rsid w:val="007D6C82"/>
    <w:rsid w:val="007D7909"/>
    <w:rsid w:val="007E062D"/>
    <w:rsid w:val="007E1207"/>
    <w:rsid w:val="007F0EBE"/>
    <w:rsid w:val="007F3909"/>
    <w:rsid w:val="007F4ECB"/>
    <w:rsid w:val="007F5034"/>
    <w:rsid w:val="007F563C"/>
    <w:rsid w:val="00800271"/>
    <w:rsid w:val="00802160"/>
    <w:rsid w:val="00803AF2"/>
    <w:rsid w:val="008047FD"/>
    <w:rsid w:val="00804DE7"/>
    <w:rsid w:val="008076F8"/>
    <w:rsid w:val="00810F5E"/>
    <w:rsid w:val="00811222"/>
    <w:rsid w:val="00811563"/>
    <w:rsid w:val="00813941"/>
    <w:rsid w:val="008161E7"/>
    <w:rsid w:val="00816DE8"/>
    <w:rsid w:val="0082045F"/>
    <w:rsid w:val="0082098C"/>
    <w:rsid w:val="0082293C"/>
    <w:rsid w:val="0082452D"/>
    <w:rsid w:val="00825182"/>
    <w:rsid w:val="0082625A"/>
    <w:rsid w:val="008269BC"/>
    <w:rsid w:val="00832DD8"/>
    <w:rsid w:val="00834E35"/>
    <w:rsid w:val="00835358"/>
    <w:rsid w:val="00836156"/>
    <w:rsid w:val="00837DC1"/>
    <w:rsid w:val="00840179"/>
    <w:rsid w:val="00840CCD"/>
    <w:rsid w:val="008421E1"/>
    <w:rsid w:val="00842F68"/>
    <w:rsid w:val="00843499"/>
    <w:rsid w:val="008439B0"/>
    <w:rsid w:val="00846CAD"/>
    <w:rsid w:val="00846D8F"/>
    <w:rsid w:val="008472D7"/>
    <w:rsid w:val="00850E95"/>
    <w:rsid w:val="00851900"/>
    <w:rsid w:val="00851B9E"/>
    <w:rsid w:val="00852B7F"/>
    <w:rsid w:val="008536F9"/>
    <w:rsid w:val="00853752"/>
    <w:rsid w:val="00853A08"/>
    <w:rsid w:val="00854784"/>
    <w:rsid w:val="008615CD"/>
    <w:rsid w:val="00862560"/>
    <w:rsid w:val="00863AD1"/>
    <w:rsid w:val="008649C7"/>
    <w:rsid w:val="0086561C"/>
    <w:rsid w:val="00865EE5"/>
    <w:rsid w:val="0086666A"/>
    <w:rsid w:val="00867A58"/>
    <w:rsid w:val="008715AA"/>
    <w:rsid w:val="00871783"/>
    <w:rsid w:val="00872238"/>
    <w:rsid w:val="0087311C"/>
    <w:rsid w:val="008764D5"/>
    <w:rsid w:val="00880E67"/>
    <w:rsid w:val="00881FBD"/>
    <w:rsid w:val="0088200B"/>
    <w:rsid w:val="00882EBF"/>
    <w:rsid w:val="00883317"/>
    <w:rsid w:val="00884BC8"/>
    <w:rsid w:val="00886B7C"/>
    <w:rsid w:val="008909FE"/>
    <w:rsid w:val="008911BD"/>
    <w:rsid w:val="00895069"/>
    <w:rsid w:val="00896793"/>
    <w:rsid w:val="00896CE0"/>
    <w:rsid w:val="008A0E25"/>
    <w:rsid w:val="008A1FFE"/>
    <w:rsid w:val="008A20EE"/>
    <w:rsid w:val="008A2A53"/>
    <w:rsid w:val="008A3644"/>
    <w:rsid w:val="008A4F05"/>
    <w:rsid w:val="008A50A1"/>
    <w:rsid w:val="008B4891"/>
    <w:rsid w:val="008B62FF"/>
    <w:rsid w:val="008B67F3"/>
    <w:rsid w:val="008B795E"/>
    <w:rsid w:val="008C0242"/>
    <w:rsid w:val="008C0B03"/>
    <w:rsid w:val="008C108E"/>
    <w:rsid w:val="008C1655"/>
    <w:rsid w:val="008C25C1"/>
    <w:rsid w:val="008C4711"/>
    <w:rsid w:val="008C513D"/>
    <w:rsid w:val="008C732A"/>
    <w:rsid w:val="008C7735"/>
    <w:rsid w:val="008D11C3"/>
    <w:rsid w:val="008D16A4"/>
    <w:rsid w:val="008D2A1A"/>
    <w:rsid w:val="008D7A7E"/>
    <w:rsid w:val="008E04AC"/>
    <w:rsid w:val="008E1180"/>
    <w:rsid w:val="008E67A5"/>
    <w:rsid w:val="008E71B8"/>
    <w:rsid w:val="008F3130"/>
    <w:rsid w:val="008F3D3F"/>
    <w:rsid w:val="008F66AB"/>
    <w:rsid w:val="008F78A6"/>
    <w:rsid w:val="008F7F79"/>
    <w:rsid w:val="008F7FE4"/>
    <w:rsid w:val="009001C1"/>
    <w:rsid w:val="00901C84"/>
    <w:rsid w:val="00902207"/>
    <w:rsid w:val="00902A53"/>
    <w:rsid w:val="009030EF"/>
    <w:rsid w:val="00904655"/>
    <w:rsid w:val="0090579D"/>
    <w:rsid w:val="00905BA9"/>
    <w:rsid w:val="0091492C"/>
    <w:rsid w:val="00914B45"/>
    <w:rsid w:val="00914D55"/>
    <w:rsid w:val="00917D30"/>
    <w:rsid w:val="009209E7"/>
    <w:rsid w:val="00924881"/>
    <w:rsid w:val="009252D1"/>
    <w:rsid w:val="009259FF"/>
    <w:rsid w:val="00925E92"/>
    <w:rsid w:val="009275C5"/>
    <w:rsid w:val="009325E6"/>
    <w:rsid w:val="00932ACA"/>
    <w:rsid w:val="00935285"/>
    <w:rsid w:val="009367E4"/>
    <w:rsid w:val="009414FC"/>
    <w:rsid w:val="00942B0D"/>
    <w:rsid w:val="00942C51"/>
    <w:rsid w:val="00942F92"/>
    <w:rsid w:val="009447B9"/>
    <w:rsid w:val="00945D64"/>
    <w:rsid w:val="009462E8"/>
    <w:rsid w:val="00946FF5"/>
    <w:rsid w:val="00950AAA"/>
    <w:rsid w:val="00952D03"/>
    <w:rsid w:val="0095401E"/>
    <w:rsid w:val="00960299"/>
    <w:rsid w:val="00964268"/>
    <w:rsid w:val="009663B0"/>
    <w:rsid w:val="0096792C"/>
    <w:rsid w:val="009704AD"/>
    <w:rsid w:val="00973CC6"/>
    <w:rsid w:val="00973F17"/>
    <w:rsid w:val="00973F31"/>
    <w:rsid w:val="009763A1"/>
    <w:rsid w:val="009763A8"/>
    <w:rsid w:val="00976DE4"/>
    <w:rsid w:val="00976F7B"/>
    <w:rsid w:val="0098107E"/>
    <w:rsid w:val="0098220A"/>
    <w:rsid w:val="00983357"/>
    <w:rsid w:val="00990DC4"/>
    <w:rsid w:val="0099114A"/>
    <w:rsid w:val="00991259"/>
    <w:rsid w:val="00991574"/>
    <w:rsid w:val="00992DF1"/>
    <w:rsid w:val="00996269"/>
    <w:rsid w:val="00996E20"/>
    <w:rsid w:val="0099733E"/>
    <w:rsid w:val="009A208F"/>
    <w:rsid w:val="009A32B9"/>
    <w:rsid w:val="009A3FFE"/>
    <w:rsid w:val="009A435F"/>
    <w:rsid w:val="009A6080"/>
    <w:rsid w:val="009A6CCC"/>
    <w:rsid w:val="009A79EB"/>
    <w:rsid w:val="009A7F3F"/>
    <w:rsid w:val="009B0E72"/>
    <w:rsid w:val="009B367F"/>
    <w:rsid w:val="009B3CE1"/>
    <w:rsid w:val="009B5DD1"/>
    <w:rsid w:val="009B5EF0"/>
    <w:rsid w:val="009B623F"/>
    <w:rsid w:val="009B654F"/>
    <w:rsid w:val="009B6D84"/>
    <w:rsid w:val="009B6DAF"/>
    <w:rsid w:val="009B713A"/>
    <w:rsid w:val="009C08A5"/>
    <w:rsid w:val="009C0A0B"/>
    <w:rsid w:val="009C26A6"/>
    <w:rsid w:val="009C295E"/>
    <w:rsid w:val="009C4062"/>
    <w:rsid w:val="009C4DDA"/>
    <w:rsid w:val="009C5865"/>
    <w:rsid w:val="009C6D3E"/>
    <w:rsid w:val="009C7820"/>
    <w:rsid w:val="009D08B4"/>
    <w:rsid w:val="009D1BF3"/>
    <w:rsid w:val="009D4EDD"/>
    <w:rsid w:val="009D5422"/>
    <w:rsid w:val="009D67AE"/>
    <w:rsid w:val="009D7327"/>
    <w:rsid w:val="009E04C6"/>
    <w:rsid w:val="009E2231"/>
    <w:rsid w:val="009E2AF4"/>
    <w:rsid w:val="009E3217"/>
    <w:rsid w:val="009E4BD1"/>
    <w:rsid w:val="009E5C19"/>
    <w:rsid w:val="009E60C9"/>
    <w:rsid w:val="009E752F"/>
    <w:rsid w:val="009E78A8"/>
    <w:rsid w:val="009F04AC"/>
    <w:rsid w:val="009F06D0"/>
    <w:rsid w:val="009F1027"/>
    <w:rsid w:val="009F1449"/>
    <w:rsid w:val="009F257D"/>
    <w:rsid w:val="009F3AE1"/>
    <w:rsid w:val="009F528B"/>
    <w:rsid w:val="00A01743"/>
    <w:rsid w:val="00A06486"/>
    <w:rsid w:val="00A064BA"/>
    <w:rsid w:val="00A06B83"/>
    <w:rsid w:val="00A06E92"/>
    <w:rsid w:val="00A10A70"/>
    <w:rsid w:val="00A138C7"/>
    <w:rsid w:val="00A13F71"/>
    <w:rsid w:val="00A14200"/>
    <w:rsid w:val="00A1458B"/>
    <w:rsid w:val="00A151EF"/>
    <w:rsid w:val="00A16431"/>
    <w:rsid w:val="00A16D4F"/>
    <w:rsid w:val="00A17C15"/>
    <w:rsid w:val="00A21A67"/>
    <w:rsid w:val="00A22225"/>
    <w:rsid w:val="00A2297A"/>
    <w:rsid w:val="00A22D37"/>
    <w:rsid w:val="00A2333C"/>
    <w:rsid w:val="00A235D2"/>
    <w:rsid w:val="00A25228"/>
    <w:rsid w:val="00A25912"/>
    <w:rsid w:val="00A32672"/>
    <w:rsid w:val="00A32BDF"/>
    <w:rsid w:val="00A33175"/>
    <w:rsid w:val="00A348AE"/>
    <w:rsid w:val="00A350E8"/>
    <w:rsid w:val="00A3695A"/>
    <w:rsid w:val="00A37094"/>
    <w:rsid w:val="00A402A2"/>
    <w:rsid w:val="00A40CC4"/>
    <w:rsid w:val="00A4100B"/>
    <w:rsid w:val="00A41EE8"/>
    <w:rsid w:val="00A4498E"/>
    <w:rsid w:val="00A4586B"/>
    <w:rsid w:val="00A468B7"/>
    <w:rsid w:val="00A46928"/>
    <w:rsid w:val="00A474CC"/>
    <w:rsid w:val="00A518F1"/>
    <w:rsid w:val="00A52221"/>
    <w:rsid w:val="00A52D8C"/>
    <w:rsid w:val="00A56013"/>
    <w:rsid w:val="00A60059"/>
    <w:rsid w:val="00A62D66"/>
    <w:rsid w:val="00A7049B"/>
    <w:rsid w:val="00A71D89"/>
    <w:rsid w:val="00A725AD"/>
    <w:rsid w:val="00A72F97"/>
    <w:rsid w:val="00A7311E"/>
    <w:rsid w:val="00A74171"/>
    <w:rsid w:val="00A742B1"/>
    <w:rsid w:val="00A75197"/>
    <w:rsid w:val="00A75B2C"/>
    <w:rsid w:val="00A760E3"/>
    <w:rsid w:val="00A77B9C"/>
    <w:rsid w:val="00A77F03"/>
    <w:rsid w:val="00A80859"/>
    <w:rsid w:val="00A816FB"/>
    <w:rsid w:val="00A82BBD"/>
    <w:rsid w:val="00A84585"/>
    <w:rsid w:val="00A8607F"/>
    <w:rsid w:val="00A970BE"/>
    <w:rsid w:val="00AA0A5E"/>
    <w:rsid w:val="00AA3C13"/>
    <w:rsid w:val="00AA4CEE"/>
    <w:rsid w:val="00AA6CB9"/>
    <w:rsid w:val="00AA72C9"/>
    <w:rsid w:val="00AA73BE"/>
    <w:rsid w:val="00AB1E67"/>
    <w:rsid w:val="00AB3426"/>
    <w:rsid w:val="00AB3DE7"/>
    <w:rsid w:val="00AB4BB0"/>
    <w:rsid w:val="00AB7CBA"/>
    <w:rsid w:val="00AB7CEE"/>
    <w:rsid w:val="00AC0940"/>
    <w:rsid w:val="00AC0BE1"/>
    <w:rsid w:val="00AC2C62"/>
    <w:rsid w:val="00AC6058"/>
    <w:rsid w:val="00AC6174"/>
    <w:rsid w:val="00AD1207"/>
    <w:rsid w:val="00AD1414"/>
    <w:rsid w:val="00AD1CFB"/>
    <w:rsid w:val="00AD1DD2"/>
    <w:rsid w:val="00AD2070"/>
    <w:rsid w:val="00AD45A0"/>
    <w:rsid w:val="00AD46E1"/>
    <w:rsid w:val="00AD546A"/>
    <w:rsid w:val="00AD7A57"/>
    <w:rsid w:val="00AE1CD4"/>
    <w:rsid w:val="00AE23E9"/>
    <w:rsid w:val="00AE2BEA"/>
    <w:rsid w:val="00AE5D38"/>
    <w:rsid w:val="00AE624E"/>
    <w:rsid w:val="00AE6B1D"/>
    <w:rsid w:val="00AE7183"/>
    <w:rsid w:val="00AE754E"/>
    <w:rsid w:val="00AE77DF"/>
    <w:rsid w:val="00AE796B"/>
    <w:rsid w:val="00AF1123"/>
    <w:rsid w:val="00AF3DEB"/>
    <w:rsid w:val="00AF6586"/>
    <w:rsid w:val="00B008A6"/>
    <w:rsid w:val="00B009AB"/>
    <w:rsid w:val="00B016C2"/>
    <w:rsid w:val="00B02C91"/>
    <w:rsid w:val="00B050A9"/>
    <w:rsid w:val="00B067C0"/>
    <w:rsid w:val="00B07BE9"/>
    <w:rsid w:val="00B100F7"/>
    <w:rsid w:val="00B109BD"/>
    <w:rsid w:val="00B10A2F"/>
    <w:rsid w:val="00B11C5B"/>
    <w:rsid w:val="00B11E63"/>
    <w:rsid w:val="00B120CD"/>
    <w:rsid w:val="00B13702"/>
    <w:rsid w:val="00B17286"/>
    <w:rsid w:val="00B22EE9"/>
    <w:rsid w:val="00B2425F"/>
    <w:rsid w:val="00B2463B"/>
    <w:rsid w:val="00B24B84"/>
    <w:rsid w:val="00B252F6"/>
    <w:rsid w:val="00B25ACD"/>
    <w:rsid w:val="00B266A2"/>
    <w:rsid w:val="00B27D06"/>
    <w:rsid w:val="00B3260F"/>
    <w:rsid w:val="00B35F65"/>
    <w:rsid w:val="00B40E45"/>
    <w:rsid w:val="00B44836"/>
    <w:rsid w:val="00B47746"/>
    <w:rsid w:val="00B47881"/>
    <w:rsid w:val="00B51830"/>
    <w:rsid w:val="00B51B88"/>
    <w:rsid w:val="00B51D0D"/>
    <w:rsid w:val="00B520EC"/>
    <w:rsid w:val="00B5303A"/>
    <w:rsid w:val="00B56880"/>
    <w:rsid w:val="00B579A6"/>
    <w:rsid w:val="00B603D2"/>
    <w:rsid w:val="00B61736"/>
    <w:rsid w:val="00B61D4D"/>
    <w:rsid w:val="00B61E4D"/>
    <w:rsid w:val="00B62404"/>
    <w:rsid w:val="00B637C0"/>
    <w:rsid w:val="00B639CD"/>
    <w:rsid w:val="00B6494F"/>
    <w:rsid w:val="00B6555B"/>
    <w:rsid w:val="00B67E6A"/>
    <w:rsid w:val="00B71D90"/>
    <w:rsid w:val="00B72DE9"/>
    <w:rsid w:val="00B73193"/>
    <w:rsid w:val="00B73555"/>
    <w:rsid w:val="00B73F21"/>
    <w:rsid w:val="00B73F93"/>
    <w:rsid w:val="00B741FB"/>
    <w:rsid w:val="00B7520A"/>
    <w:rsid w:val="00B75BA3"/>
    <w:rsid w:val="00B76D3F"/>
    <w:rsid w:val="00B80A4B"/>
    <w:rsid w:val="00B82807"/>
    <w:rsid w:val="00B83445"/>
    <w:rsid w:val="00B83F7E"/>
    <w:rsid w:val="00B91F23"/>
    <w:rsid w:val="00B94E29"/>
    <w:rsid w:val="00B9684B"/>
    <w:rsid w:val="00B9796F"/>
    <w:rsid w:val="00B97C13"/>
    <w:rsid w:val="00BA2F99"/>
    <w:rsid w:val="00BA4B47"/>
    <w:rsid w:val="00BA58AA"/>
    <w:rsid w:val="00BA5E7D"/>
    <w:rsid w:val="00BA6841"/>
    <w:rsid w:val="00BA6C9D"/>
    <w:rsid w:val="00BB16B9"/>
    <w:rsid w:val="00BB22BD"/>
    <w:rsid w:val="00BB2D61"/>
    <w:rsid w:val="00BB68E0"/>
    <w:rsid w:val="00BB6BFF"/>
    <w:rsid w:val="00BB77CF"/>
    <w:rsid w:val="00BC08A6"/>
    <w:rsid w:val="00BC1FB6"/>
    <w:rsid w:val="00BC2835"/>
    <w:rsid w:val="00BC3240"/>
    <w:rsid w:val="00BC3F43"/>
    <w:rsid w:val="00BC4846"/>
    <w:rsid w:val="00BC5324"/>
    <w:rsid w:val="00BC58E0"/>
    <w:rsid w:val="00BC5FEC"/>
    <w:rsid w:val="00BC624D"/>
    <w:rsid w:val="00BC7172"/>
    <w:rsid w:val="00BD00AA"/>
    <w:rsid w:val="00BD0B43"/>
    <w:rsid w:val="00BD0FA4"/>
    <w:rsid w:val="00BD34A8"/>
    <w:rsid w:val="00BD52B4"/>
    <w:rsid w:val="00BE0E22"/>
    <w:rsid w:val="00BE2364"/>
    <w:rsid w:val="00BE297F"/>
    <w:rsid w:val="00BE33E4"/>
    <w:rsid w:val="00BE35DC"/>
    <w:rsid w:val="00BE4EB0"/>
    <w:rsid w:val="00BE5536"/>
    <w:rsid w:val="00BE5D22"/>
    <w:rsid w:val="00BE6427"/>
    <w:rsid w:val="00BE6EE0"/>
    <w:rsid w:val="00BF0BB6"/>
    <w:rsid w:val="00BF1390"/>
    <w:rsid w:val="00BF24FE"/>
    <w:rsid w:val="00BF3F55"/>
    <w:rsid w:val="00BF50D5"/>
    <w:rsid w:val="00BF565A"/>
    <w:rsid w:val="00BF5B7C"/>
    <w:rsid w:val="00C0221C"/>
    <w:rsid w:val="00C02718"/>
    <w:rsid w:val="00C0580D"/>
    <w:rsid w:val="00C05E9B"/>
    <w:rsid w:val="00C12921"/>
    <w:rsid w:val="00C13873"/>
    <w:rsid w:val="00C148C1"/>
    <w:rsid w:val="00C1675E"/>
    <w:rsid w:val="00C17016"/>
    <w:rsid w:val="00C177CB"/>
    <w:rsid w:val="00C217D6"/>
    <w:rsid w:val="00C226CF"/>
    <w:rsid w:val="00C23080"/>
    <w:rsid w:val="00C23EF8"/>
    <w:rsid w:val="00C24DDD"/>
    <w:rsid w:val="00C25044"/>
    <w:rsid w:val="00C25909"/>
    <w:rsid w:val="00C27B30"/>
    <w:rsid w:val="00C3052E"/>
    <w:rsid w:val="00C307F1"/>
    <w:rsid w:val="00C30B50"/>
    <w:rsid w:val="00C35EB6"/>
    <w:rsid w:val="00C35FAB"/>
    <w:rsid w:val="00C36AD1"/>
    <w:rsid w:val="00C400B8"/>
    <w:rsid w:val="00C40D2F"/>
    <w:rsid w:val="00C427EE"/>
    <w:rsid w:val="00C450F4"/>
    <w:rsid w:val="00C45793"/>
    <w:rsid w:val="00C4788C"/>
    <w:rsid w:val="00C50875"/>
    <w:rsid w:val="00C51DA8"/>
    <w:rsid w:val="00C55662"/>
    <w:rsid w:val="00C578CE"/>
    <w:rsid w:val="00C60AB2"/>
    <w:rsid w:val="00C611CB"/>
    <w:rsid w:val="00C61D64"/>
    <w:rsid w:val="00C62585"/>
    <w:rsid w:val="00C6438D"/>
    <w:rsid w:val="00C6497D"/>
    <w:rsid w:val="00C65832"/>
    <w:rsid w:val="00C674B9"/>
    <w:rsid w:val="00C67867"/>
    <w:rsid w:val="00C67F06"/>
    <w:rsid w:val="00C70554"/>
    <w:rsid w:val="00C731A4"/>
    <w:rsid w:val="00C749CA"/>
    <w:rsid w:val="00C749DE"/>
    <w:rsid w:val="00C74C80"/>
    <w:rsid w:val="00C75103"/>
    <w:rsid w:val="00C81E1A"/>
    <w:rsid w:val="00C837C1"/>
    <w:rsid w:val="00C83F44"/>
    <w:rsid w:val="00C84844"/>
    <w:rsid w:val="00C864D4"/>
    <w:rsid w:val="00C86ED9"/>
    <w:rsid w:val="00C875AF"/>
    <w:rsid w:val="00C87651"/>
    <w:rsid w:val="00C87D4B"/>
    <w:rsid w:val="00C90092"/>
    <w:rsid w:val="00C90624"/>
    <w:rsid w:val="00C90E2A"/>
    <w:rsid w:val="00C9120F"/>
    <w:rsid w:val="00C92F83"/>
    <w:rsid w:val="00C9527D"/>
    <w:rsid w:val="00C956E2"/>
    <w:rsid w:val="00CA1105"/>
    <w:rsid w:val="00CA17E5"/>
    <w:rsid w:val="00CA372B"/>
    <w:rsid w:val="00CA3D75"/>
    <w:rsid w:val="00CA5795"/>
    <w:rsid w:val="00CA59E8"/>
    <w:rsid w:val="00CA5D17"/>
    <w:rsid w:val="00CA5D27"/>
    <w:rsid w:val="00CA72AE"/>
    <w:rsid w:val="00CB2E5F"/>
    <w:rsid w:val="00CB3260"/>
    <w:rsid w:val="00CB3967"/>
    <w:rsid w:val="00CB4562"/>
    <w:rsid w:val="00CB5E2D"/>
    <w:rsid w:val="00CC23DC"/>
    <w:rsid w:val="00CC28AE"/>
    <w:rsid w:val="00CC3468"/>
    <w:rsid w:val="00CC38D7"/>
    <w:rsid w:val="00CC3C4D"/>
    <w:rsid w:val="00CC3C82"/>
    <w:rsid w:val="00CC544D"/>
    <w:rsid w:val="00CC656C"/>
    <w:rsid w:val="00CC7FE4"/>
    <w:rsid w:val="00CD03E4"/>
    <w:rsid w:val="00CD11BC"/>
    <w:rsid w:val="00CD12CD"/>
    <w:rsid w:val="00CD12D4"/>
    <w:rsid w:val="00CD384F"/>
    <w:rsid w:val="00CD4067"/>
    <w:rsid w:val="00CD4C65"/>
    <w:rsid w:val="00CD6A0D"/>
    <w:rsid w:val="00CE4442"/>
    <w:rsid w:val="00CE5A67"/>
    <w:rsid w:val="00CF2DD2"/>
    <w:rsid w:val="00CF2DF4"/>
    <w:rsid w:val="00CF3AB0"/>
    <w:rsid w:val="00CF47F8"/>
    <w:rsid w:val="00CF4B62"/>
    <w:rsid w:val="00CF7939"/>
    <w:rsid w:val="00D003BA"/>
    <w:rsid w:val="00D011A6"/>
    <w:rsid w:val="00D04DC8"/>
    <w:rsid w:val="00D077A6"/>
    <w:rsid w:val="00D12114"/>
    <w:rsid w:val="00D15D64"/>
    <w:rsid w:val="00D167BE"/>
    <w:rsid w:val="00D200F4"/>
    <w:rsid w:val="00D2043C"/>
    <w:rsid w:val="00D211BF"/>
    <w:rsid w:val="00D221A3"/>
    <w:rsid w:val="00D24A8C"/>
    <w:rsid w:val="00D25419"/>
    <w:rsid w:val="00D26804"/>
    <w:rsid w:val="00D273CA"/>
    <w:rsid w:val="00D27FBA"/>
    <w:rsid w:val="00D3044E"/>
    <w:rsid w:val="00D30B13"/>
    <w:rsid w:val="00D32963"/>
    <w:rsid w:val="00D341FC"/>
    <w:rsid w:val="00D34B59"/>
    <w:rsid w:val="00D356F0"/>
    <w:rsid w:val="00D35C26"/>
    <w:rsid w:val="00D3795F"/>
    <w:rsid w:val="00D44A7A"/>
    <w:rsid w:val="00D45368"/>
    <w:rsid w:val="00D4675F"/>
    <w:rsid w:val="00D475B1"/>
    <w:rsid w:val="00D5036E"/>
    <w:rsid w:val="00D51491"/>
    <w:rsid w:val="00D539FD"/>
    <w:rsid w:val="00D53E13"/>
    <w:rsid w:val="00D53FE0"/>
    <w:rsid w:val="00D54E15"/>
    <w:rsid w:val="00D5514B"/>
    <w:rsid w:val="00D55312"/>
    <w:rsid w:val="00D55EBF"/>
    <w:rsid w:val="00D572F3"/>
    <w:rsid w:val="00D6103A"/>
    <w:rsid w:val="00D61381"/>
    <w:rsid w:val="00D61C6E"/>
    <w:rsid w:val="00D6389B"/>
    <w:rsid w:val="00D639D8"/>
    <w:rsid w:val="00D63A68"/>
    <w:rsid w:val="00D65102"/>
    <w:rsid w:val="00D70450"/>
    <w:rsid w:val="00D70B2E"/>
    <w:rsid w:val="00D70E09"/>
    <w:rsid w:val="00D71108"/>
    <w:rsid w:val="00D712F2"/>
    <w:rsid w:val="00D72124"/>
    <w:rsid w:val="00D731A2"/>
    <w:rsid w:val="00D73EC0"/>
    <w:rsid w:val="00D74BC3"/>
    <w:rsid w:val="00D76E3A"/>
    <w:rsid w:val="00D856EC"/>
    <w:rsid w:val="00D85BF3"/>
    <w:rsid w:val="00D86DF9"/>
    <w:rsid w:val="00D8736B"/>
    <w:rsid w:val="00D87811"/>
    <w:rsid w:val="00D87AD8"/>
    <w:rsid w:val="00D90EB8"/>
    <w:rsid w:val="00D9140B"/>
    <w:rsid w:val="00D93A82"/>
    <w:rsid w:val="00D95231"/>
    <w:rsid w:val="00D96E20"/>
    <w:rsid w:val="00DA104E"/>
    <w:rsid w:val="00DA1B2F"/>
    <w:rsid w:val="00DA1CE7"/>
    <w:rsid w:val="00DA2AF1"/>
    <w:rsid w:val="00DA79CD"/>
    <w:rsid w:val="00DB3116"/>
    <w:rsid w:val="00DB418C"/>
    <w:rsid w:val="00DB68BD"/>
    <w:rsid w:val="00DC0E40"/>
    <w:rsid w:val="00DC166E"/>
    <w:rsid w:val="00DC3C53"/>
    <w:rsid w:val="00DC3C6B"/>
    <w:rsid w:val="00DC5D03"/>
    <w:rsid w:val="00DD587E"/>
    <w:rsid w:val="00DD6477"/>
    <w:rsid w:val="00DE2220"/>
    <w:rsid w:val="00DE2436"/>
    <w:rsid w:val="00DE26C0"/>
    <w:rsid w:val="00DE4D71"/>
    <w:rsid w:val="00DE6056"/>
    <w:rsid w:val="00DF0D05"/>
    <w:rsid w:val="00DF1C22"/>
    <w:rsid w:val="00DF46EE"/>
    <w:rsid w:val="00DF6167"/>
    <w:rsid w:val="00E01C04"/>
    <w:rsid w:val="00E01EA8"/>
    <w:rsid w:val="00E01F53"/>
    <w:rsid w:val="00E02657"/>
    <w:rsid w:val="00E03073"/>
    <w:rsid w:val="00E037C4"/>
    <w:rsid w:val="00E0419A"/>
    <w:rsid w:val="00E054B9"/>
    <w:rsid w:val="00E100D2"/>
    <w:rsid w:val="00E1034D"/>
    <w:rsid w:val="00E11968"/>
    <w:rsid w:val="00E11B36"/>
    <w:rsid w:val="00E1201F"/>
    <w:rsid w:val="00E12387"/>
    <w:rsid w:val="00E12D67"/>
    <w:rsid w:val="00E13C23"/>
    <w:rsid w:val="00E13D06"/>
    <w:rsid w:val="00E20400"/>
    <w:rsid w:val="00E207DA"/>
    <w:rsid w:val="00E215D0"/>
    <w:rsid w:val="00E25149"/>
    <w:rsid w:val="00E26076"/>
    <w:rsid w:val="00E3025F"/>
    <w:rsid w:val="00E30A0A"/>
    <w:rsid w:val="00E3129B"/>
    <w:rsid w:val="00E31320"/>
    <w:rsid w:val="00E31356"/>
    <w:rsid w:val="00E31F58"/>
    <w:rsid w:val="00E32F0C"/>
    <w:rsid w:val="00E34B55"/>
    <w:rsid w:val="00E3563A"/>
    <w:rsid w:val="00E35A8D"/>
    <w:rsid w:val="00E362A0"/>
    <w:rsid w:val="00E37103"/>
    <w:rsid w:val="00E37FD4"/>
    <w:rsid w:val="00E400AA"/>
    <w:rsid w:val="00E401DF"/>
    <w:rsid w:val="00E40BE7"/>
    <w:rsid w:val="00E41933"/>
    <w:rsid w:val="00E4435B"/>
    <w:rsid w:val="00E45A05"/>
    <w:rsid w:val="00E464BC"/>
    <w:rsid w:val="00E478B2"/>
    <w:rsid w:val="00E478BB"/>
    <w:rsid w:val="00E50A54"/>
    <w:rsid w:val="00E51770"/>
    <w:rsid w:val="00E51FC1"/>
    <w:rsid w:val="00E524EA"/>
    <w:rsid w:val="00E5253F"/>
    <w:rsid w:val="00E5406B"/>
    <w:rsid w:val="00E5446A"/>
    <w:rsid w:val="00E54A33"/>
    <w:rsid w:val="00E54FD5"/>
    <w:rsid w:val="00E55523"/>
    <w:rsid w:val="00E5617B"/>
    <w:rsid w:val="00E565E1"/>
    <w:rsid w:val="00E60B9D"/>
    <w:rsid w:val="00E61CC0"/>
    <w:rsid w:val="00E61EDD"/>
    <w:rsid w:val="00E62947"/>
    <w:rsid w:val="00E62F88"/>
    <w:rsid w:val="00E648C3"/>
    <w:rsid w:val="00E665CC"/>
    <w:rsid w:val="00E674F2"/>
    <w:rsid w:val="00E70BB7"/>
    <w:rsid w:val="00E70E4D"/>
    <w:rsid w:val="00E7134E"/>
    <w:rsid w:val="00E713BA"/>
    <w:rsid w:val="00E714AB"/>
    <w:rsid w:val="00E72934"/>
    <w:rsid w:val="00E83127"/>
    <w:rsid w:val="00E838D0"/>
    <w:rsid w:val="00E8417F"/>
    <w:rsid w:val="00E861E8"/>
    <w:rsid w:val="00E87A44"/>
    <w:rsid w:val="00E9106C"/>
    <w:rsid w:val="00E910B1"/>
    <w:rsid w:val="00E91910"/>
    <w:rsid w:val="00E927DE"/>
    <w:rsid w:val="00E92E39"/>
    <w:rsid w:val="00E94290"/>
    <w:rsid w:val="00E94833"/>
    <w:rsid w:val="00E94E6D"/>
    <w:rsid w:val="00E950F6"/>
    <w:rsid w:val="00E964CC"/>
    <w:rsid w:val="00E97304"/>
    <w:rsid w:val="00E9771D"/>
    <w:rsid w:val="00E97966"/>
    <w:rsid w:val="00EA176D"/>
    <w:rsid w:val="00EA197F"/>
    <w:rsid w:val="00EA1AFF"/>
    <w:rsid w:val="00EA1B2F"/>
    <w:rsid w:val="00EA24DD"/>
    <w:rsid w:val="00EA2741"/>
    <w:rsid w:val="00EA4639"/>
    <w:rsid w:val="00EA48EB"/>
    <w:rsid w:val="00EA4F7E"/>
    <w:rsid w:val="00EA4F8B"/>
    <w:rsid w:val="00EA5A52"/>
    <w:rsid w:val="00EB0027"/>
    <w:rsid w:val="00EB5294"/>
    <w:rsid w:val="00EB6485"/>
    <w:rsid w:val="00EB7E23"/>
    <w:rsid w:val="00EC0939"/>
    <w:rsid w:val="00EC166E"/>
    <w:rsid w:val="00EC240B"/>
    <w:rsid w:val="00EC2630"/>
    <w:rsid w:val="00EC2F7F"/>
    <w:rsid w:val="00EC4689"/>
    <w:rsid w:val="00EC54EF"/>
    <w:rsid w:val="00EC58FD"/>
    <w:rsid w:val="00EC6435"/>
    <w:rsid w:val="00EC67F3"/>
    <w:rsid w:val="00EC6BDC"/>
    <w:rsid w:val="00EC7BC2"/>
    <w:rsid w:val="00ED2C91"/>
    <w:rsid w:val="00ED34B4"/>
    <w:rsid w:val="00ED40D5"/>
    <w:rsid w:val="00ED40F5"/>
    <w:rsid w:val="00ED4EF1"/>
    <w:rsid w:val="00ED5B08"/>
    <w:rsid w:val="00ED5EFF"/>
    <w:rsid w:val="00ED7CC5"/>
    <w:rsid w:val="00EE3340"/>
    <w:rsid w:val="00EE3BF4"/>
    <w:rsid w:val="00EE443B"/>
    <w:rsid w:val="00EE69E2"/>
    <w:rsid w:val="00EE7E27"/>
    <w:rsid w:val="00EF0075"/>
    <w:rsid w:val="00EF0359"/>
    <w:rsid w:val="00EF0A37"/>
    <w:rsid w:val="00EF376E"/>
    <w:rsid w:val="00EF379E"/>
    <w:rsid w:val="00EF5CD2"/>
    <w:rsid w:val="00EF754C"/>
    <w:rsid w:val="00F0027F"/>
    <w:rsid w:val="00F03504"/>
    <w:rsid w:val="00F035B3"/>
    <w:rsid w:val="00F04B1A"/>
    <w:rsid w:val="00F05312"/>
    <w:rsid w:val="00F05545"/>
    <w:rsid w:val="00F06760"/>
    <w:rsid w:val="00F075A5"/>
    <w:rsid w:val="00F118C8"/>
    <w:rsid w:val="00F11B5D"/>
    <w:rsid w:val="00F12AF0"/>
    <w:rsid w:val="00F137F8"/>
    <w:rsid w:val="00F14A9B"/>
    <w:rsid w:val="00F16091"/>
    <w:rsid w:val="00F16FA4"/>
    <w:rsid w:val="00F210F8"/>
    <w:rsid w:val="00F229BE"/>
    <w:rsid w:val="00F244D4"/>
    <w:rsid w:val="00F269C3"/>
    <w:rsid w:val="00F32563"/>
    <w:rsid w:val="00F33900"/>
    <w:rsid w:val="00F34BFF"/>
    <w:rsid w:val="00F34C36"/>
    <w:rsid w:val="00F35649"/>
    <w:rsid w:val="00F369D6"/>
    <w:rsid w:val="00F36AE0"/>
    <w:rsid w:val="00F41252"/>
    <w:rsid w:val="00F422CC"/>
    <w:rsid w:val="00F43B22"/>
    <w:rsid w:val="00F4741C"/>
    <w:rsid w:val="00F47C32"/>
    <w:rsid w:val="00F502B5"/>
    <w:rsid w:val="00F53B3F"/>
    <w:rsid w:val="00F54FA8"/>
    <w:rsid w:val="00F56720"/>
    <w:rsid w:val="00F575A2"/>
    <w:rsid w:val="00F6015E"/>
    <w:rsid w:val="00F60BC5"/>
    <w:rsid w:val="00F61DB7"/>
    <w:rsid w:val="00F63023"/>
    <w:rsid w:val="00F6382A"/>
    <w:rsid w:val="00F63884"/>
    <w:rsid w:val="00F63FA3"/>
    <w:rsid w:val="00F676AA"/>
    <w:rsid w:val="00F67E15"/>
    <w:rsid w:val="00F70619"/>
    <w:rsid w:val="00F73675"/>
    <w:rsid w:val="00F74812"/>
    <w:rsid w:val="00F74A2C"/>
    <w:rsid w:val="00F755E7"/>
    <w:rsid w:val="00F7573C"/>
    <w:rsid w:val="00F76241"/>
    <w:rsid w:val="00F76837"/>
    <w:rsid w:val="00F77F0F"/>
    <w:rsid w:val="00F81655"/>
    <w:rsid w:val="00F83FC5"/>
    <w:rsid w:val="00F848BD"/>
    <w:rsid w:val="00F8516B"/>
    <w:rsid w:val="00F874C8"/>
    <w:rsid w:val="00F87D2A"/>
    <w:rsid w:val="00F9278D"/>
    <w:rsid w:val="00F95F42"/>
    <w:rsid w:val="00FA38A5"/>
    <w:rsid w:val="00FA3BD3"/>
    <w:rsid w:val="00FA52BA"/>
    <w:rsid w:val="00FA6383"/>
    <w:rsid w:val="00FB0395"/>
    <w:rsid w:val="00FB2D7F"/>
    <w:rsid w:val="00FB331C"/>
    <w:rsid w:val="00FB39B8"/>
    <w:rsid w:val="00FB3C66"/>
    <w:rsid w:val="00FB3E99"/>
    <w:rsid w:val="00FB5703"/>
    <w:rsid w:val="00FB5ADC"/>
    <w:rsid w:val="00FB5E4D"/>
    <w:rsid w:val="00FC1EE9"/>
    <w:rsid w:val="00FC2343"/>
    <w:rsid w:val="00FC283C"/>
    <w:rsid w:val="00FC5AC2"/>
    <w:rsid w:val="00FD0EB4"/>
    <w:rsid w:val="00FD2C03"/>
    <w:rsid w:val="00FD3579"/>
    <w:rsid w:val="00FD5EC9"/>
    <w:rsid w:val="00FD7C03"/>
    <w:rsid w:val="00FE1FE8"/>
    <w:rsid w:val="00FE34DB"/>
    <w:rsid w:val="00FE39D4"/>
    <w:rsid w:val="00FE4009"/>
    <w:rsid w:val="00FE46BF"/>
    <w:rsid w:val="00FE485E"/>
    <w:rsid w:val="00FE4D4C"/>
    <w:rsid w:val="00FE4DD2"/>
    <w:rsid w:val="00FE61C2"/>
    <w:rsid w:val="00FE73B2"/>
    <w:rsid w:val="00FF1421"/>
    <w:rsid w:val="00FF2AB5"/>
    <w:rsid w:val="00FF5F67"/>
    <w:rsid w:val="00FF69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B3"/>
    <w:pPr>
      <w:spacing w:after="200" w:line="276" w:lineRule="auto"/>
    </w:pPr>
  </w:style>
  <w:style w:type="paragraph" w:styleId="Heading1">
    <w:name w:val="heading 1"/>
    <w:basedOn w:val="Normal"/>
    <w:link w:val="Heading1Char"/>
    <w:uiPriority w:val="9"/>
    <w:qFormat/>
    <w:rsid w:val="00E01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671"/>
    <w:pPr>
      <w:ind w:left="720"/>
      <w:contextualSpacing/>
    </w:pPr>
  </w:style>
  <w:style w:type="character" w:styleId="CommentReference">
    <w:name w:val="annotation reference"/>
    <w:basedOn w:val="DefaultParagraphFont"/>
    <w:uiPriority w:val="99"/>
    <w:semiHidden/>
    <w:unhideWhenUsed/>
    <w:rsid w:val="006445F5"/>
    <w:rPr>
      <w:sz w:val="16"/>
      <w:szCs w:val="16"/>
    </w:rPr>
  </w:style>
  <w:style w:type="paragraph" w:styleId="CommentText">
    <w:name w:val="annotation text"/>
    <w:basedOn w:val="Normal"/>
    <w:link w:val="CommentTextChar"/>
    <w:uiPriority w:val="99"/>
    <w:unhideWhenUsed/>
    <w:rsid w:val="006445F5"/>
    <w:pPr>
      <w:spacing w:line="240" w:lineRule="auto"/>
    </w:pPr>
    <w:rPr>
      <w:sz w:val="20"/>
      <w:szCs w:val="20"/>
    </w:rPr>
  </w:style>
  <w:style w:type="character" w:customStyle="1" w:styleId="CommentTextChar">
    <w:name w:val="Comment Text Char"/>
    <w:basedOn w:val="DefaultParagraphFont"/>
    <w:link w:val="CommentText"/>
    <w:uiPriority w:val="99"/>
    <w:rsid w:val="006445F5"/>
    <w:rPr>
      <w:sz w:val="20"/>
      <w:szCs w:val="20"/>
    </w:rPr>
  </w:style>
  <w:style w:type="paragraph" w:styleId="CommentSubject">
    <w:name w:val="annotation subject"/>
    <w:basedOn w:val="CommentText"/>
    <w:next w:val="CommentText"/>
    <w:link w:val="CommentSubjectChar"/>
    <w:uiPriority w:val="99"/>
    <w:semiHidden/>
    <w:unhideWhenUsed/>
    <w:rsid w:val="006445F5"/>
    <w:rPr>
      <w:b/>
      <w:bCs/>
    </w:rPr>
  </w:style>
  <w:style w:type="character" w:customStyle="1" w:styleId="CommentSubjectChar">
    <w:name w:val="Comment Subject Char"/>
    <w:basedOn w:val="CommentTextChar"/>
    <w:link w:val="CommentSubject"/>
    <w:uiPriority w:val="99"/>
    <w:semiHidden/>
    <w:rsid w:val="006445F5"/>
    <w:rPr>
      <w:b/>
      <w:bCs/>
      <w:sz w:val="20"/>
      <w:szCs w:val="20"/>
    </w:rPr>
  </w:style>
  <w:style w:type="paragraph" w:styleId="BalloonText">
    <w:name w:val="Balloon Text"/>
    <w:basedOn w:val="Normal"/>
    <w:link w:val="BalloonTextChar"/>
    <w:uiPriority w:val="99"/>
    <w:semiHidden/>
    <w:unhideWhenUsed/>
    <w:rsid w:val="00644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5F5"/>
    <w:rPr>
      <w:rFonts w:ascii="Segoe UI" w:hAnsi="Segoe UI" w:cs="Segoe UI"/>
      <w:sz w:val="18"/>
      <w:szCs w:val="18"/>
    </w:rPr>
  </w:style>
  <w:style w:type="paragraph" w:styleId="NormalWeb">
    <w:name w:val="Normal (Web)"/>
    <w:basedOn w:val="Normal"/>
    <w:uiPriority w:val="99"/>
    <w:semiHidden/>
    <w:unhideWhenUsed/>
    <w:rsid w:val="00CF7939"/>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bleGrid">
    <w:name w:val="Table Grid"/>
    <w:basedOn w:val="TableNormal"/>
    <w:uiPriority w:val="39"/>
    <w:rsid w:val="0065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2293C"/>
    <w:pPr>
      <w:spacing w:line="240" w:lineRule="auto"/>
    </w:pPr>
    <w:rPr>
      <w:i/>
      <w:iCs/>
      <w:color w:val="44546A" w:themeColor="text2"/>
      <w:sz w:val="18"/>
      <w:szCs w:val="18"/>
    </w:rPr>
  </w:style>
  <w:style w:type="character" w:customStyle="1" w:styleId="apple-converted-space">
    <w:name w:val="apple-converted-space"/>
    <w:basedOn w:val="DefaultParagraphFont"/>
    <w:rsid w:val="0002068B"/>
  </w:style>
  <w:style w:type="character" w:styleId="Emphasis">
    <w:name w:val="Emphasis"/>
    <w:basedOn w:val="DefaultParagraphFont"/>
    <w:uiPriority w:val="20"/>
    <w:qFormat/>
    <w:rsid w:val="00517C6A"/>
    <w:rPr>
      <w:i/>
      <w:iCs/>
    </w:rPr>
  </w:style>
  <w:style w:type="character" w:styleId="Hyperlink">
    <w:name w:val="Hyperlink"/>
    <w:basedOn w:val="DefaultParagraphFont"/>
    <w:uiPriority w:val="99"/>
    <w:unhideWhenUsed/>
    <w:rsid w:val="00517C6A"/>
    <w:rPr>
      <w:color w:val="0000FF"/>
      <w:u w:val="single"/>
    </w:rPr>
  </w:style>
  <w:style w:type="character" w:customStyle="1" w:styleId="Heading1Char">
    <w:name w:val="Heading 1 Char"/>
    <w:basedOn w:val="DefaultParagraphFont"/>
    <w:link w:val="Heading1"/>
    <w:uiPriority w:val="9"/>
    <w:rsid w:val="00E01EA8"/>
    <w:rPr>
      <w:rFonts w:ascii="Times New Roman" w:eastAsia="Times New Roman" w:hAnsi="Times New Roman" w:cs="Times New Roman"/>
      <w:b/>
      <w:bCs/>
      <w:kern w:val="36"/>
      <w:sz w:val="48"/>
      <w:szCs w:val="48"/>
      <w:lang w:eastAsia="fi-FI"/>
    </w:rPr>
  </w:style>
  <w:style w:type="paragraph" w:styleId="Header">
    <w:name w:val="header"/>
    <w:basedOn w:val="Normal"/>
    <w:link w:val="HeaderChar"/>
    <w:uiPriority w:val="99"/>
    <w:unhideWhenUsed/>
    <w:rsid w:val="0038785B"/>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785B"/>
  </w:style>
  <w:style w:type="paragraph" w:styleId="Footer">
    <w:name w:val="footer"/>
    <w:basedOn w:val="Normal"/>
    <w:link w:val="FooterChar"/>
    <w:uiPriority w:val="99"/>
    <w:unhideWhenUsed/>
    <w:rsid w:val="0038785B"/>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785B"/>
  </w:style>
  <w:style w:type="character" w:customStyle="1" w:styleId="current-selection">
    <w:name w:val="current-selection"/>
    <w:basedOn w:val="DefaultParagraphFont"/>
    <w:rsid w:val="00207FEF"/>
  </w:style>
  <w:style w:type="character" w:customStyle="1" w:styleId="a">
    <w:name w:val="_"/>
    <w:basedOn w:val="DefaultParagraphFont"/>
    <w:rsid w:val="00207FEF"/>
  </w:style>
  <w:style w:type="character" w:customStyle="1" w:styleId="ff7">
    <w:name w:val="ff7"/>
    <w:basedOn w:val="DefaultParagraphFont"/>
    <w:rsid w:val="00207FEF"/>
  </w:style>
  <w:style w:type="paragraph" w:customStyle="1" w:styleId="Default">
    <w:name w:val="Default"/>
    <w:rsid w:val="007C4E4F"/>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1D2910"/>
    <w:rPr>
      <w:color w:val="954F72" w:themeColor="followedHyperlink"/>
      <w:u w:val="single"/>
    </w:rPr>
  </w:style>
  <w:style w:type="character" w:customStyle="1" w:styleId="highlight">
    <w:name w:val="highlight"/>
    <w:basedOn w:val="DefaultParagraphFont"/>
    <w:rsid w:val="001A76F0"/>
  </w:style>
  <w:style w:type="character" w:styleId="PlaceholderText">
    <w:name w:val="Placeholder Text"/>
    <w:basedOn w:val="DefaultParagraphFont"/>
    <w:uiPriority w:val="99"/>
    <w:semiHidden/>
    <w:rsid w:val="007656FD"/>
    <w:rPr>
      <w:color w:val="808080"/>
    </w:rPr>
  </w:style>
  <w:style w:type="character" w:styleId="LineNumber">
    <w:name w:val="line number"/>
    <w:basedOn w:val="DefaultParagraphFont"/>
    <w:uiPriority w:val="99"/>
    <w:semiHidden/>
    <w:unhideWhenUsed/>
    <w:rsid w:val="00473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B3"/>
    <w:pPr>
      <w:spacing w:after="200" w:line="276" w:lineRule="auto"/>
    </w:pPr>
  </w:style>
  <w:style w:type="paragraph" w:styleId="Heading1">
    <w:name w:val="heading 1"/>
    <w:basedOn w:val="Normal"/>
    <w:link w:val="Heading1Char"/>
    <w:uiPriority w:val="9"/>
    <w:qFormat/>
    <w:rsid w:val="00E01E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671"/>
    <w:pPr>
      <w:ind w:left="720"/>
      <w:contextualSpacing/>
    </w:pPr>
  </w:style>
  <w:style w:type="character" w:styleId="CommentReference">
    <w:name w:val="annotation reference"/>
    <w:basedOn w:val="DefaultParagraphFont"/>
    <w:uiPriority w:val="99"/>
    <w:semiHidden/>
    <w:unhideWhenUsed/>
    <w:rsid w:val="006445F5"/>
    <w:rPr>
      <w:sz w:val="16"/>
      <w:szCs w:val="16"/>
    </w:rPr>
  </w:style>
  <w:style w:type="paragraph" w:styleId="CommentText">
    <w:name w:val="annotation text"/>
    <w:basedOn w:val="Normal"/>
    <w:link w:val="CommentTextChar"/>
    <w:uiPriority w:val="99"/>
    <w:unhideWhenUsed/>
    <w:rsid w:val="006445F5"/>
    <w:pPr>
      <w:spacing w:line="240" w:lineRule="auto"/>
    </w:pPr>
    <w:rPr>
      <w:sz w:val="20"/>
      <w:szCs w:val="20"/>
    </w:rPr>
  </w:style>
  <w:style w:type="character" w:customStyle="1" w:styleId="CommentTextChar">
    <w:name w:val="Comment Text Char"/>
    <w:basedOn w:val="DefaultParagraphFont"/>
    <w:link w:val="CommentText"/>
    <w:uiPriority w:val="99"/>
    <w:rsid w:val="006445F5"/>
    <w:rPr>
      <w:sz w:val="20"/>
      <w:szCs w:val="20"/>
    </w:rPr>
  </w:style>
  <w:style w:type="paragraph" w:styleId="CommentSubject">
    <w:name w:val="annotation subject"/>
    <w:basedOn w:val="CommentText"/>
    <w:next w:val="CommentText"/>
    <w:link w:val="CommentSubjectChar"/>
    <w:uiPriority w:val="99"/>
    <w:semiHidden/>
    <w:unhideWhenUsed/>
    <w:rsid w:val="006445F5"/>
    <w:rPr>
      <w:b/>
      <w:bCs/>
    </w:rPr>
  </w:style>
  <w:style w:type="character" w:customStyle="1" w:styleId="CommentSubjectChar">
    <w:name w:val="Comment Subject Char"/>
    <w:basedOn w:val="CommentTextChar"/>
    <w:link w:val="CommentSubject"/>
    <w:uiPriority w:val="99"/>
    <w:semiHidden/>
    <w:rsid w:val="006445F5"/>
    <w:rPr>
      <w:b/>
      <w:bCs/>
      <w:sz w:val="20"/>
      <w:szCs w:val="20"/>
    </w:rPr>
  </w:style>
  <w:style w:type="paragraph" w:styleId="BalloonText">
    <w:name w:val="Balloon Text"/>
    <w:basedOn w:val="Normal"/>
    <w:link w:val="BalloonTextChar"/>
    <w:uiPriority w:val="99"/>
    <w:semiHidden/>
    <w:unhideWhenUsed/>
    <w:rsid w:val="00644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5F5"/>
    <w:rPr>
      <w:rFonts w:ascii="Segoe UI" w:hAnsi="Segoe UI" w:cs="Segoe UI"/>
      <w:sz w:val="18"/>
      <w:szCs w:val="18"/>
    </w:rPr>
  </w:style>
  <w:style w:type="paragraph" w:styleId="NormalWeb">
    <w:name w:val="Normal (Web)"/>
    <w:basedOn w:val="Normal"/>
    <w:uiPriority w:val="99"/>
    <w:semiHidden/>
    <w:unhideWhenUsed/>
    <w:rsid w:val="00CF7939"/>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bleGrid">
    <w:name w:val="Table Grid"/>
    <w:basedOn w:val="TableNormal"/>
    <w:uiPriority w:val="39"/>
    <w:rsid w:val="0065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2293C"/>
    <w:pPr>
      <w:spacing w:line="240" w:lineRule="auto"/>
    </w:pPr>
    <w:rPr>
      <w:i/>
      <w:iCs/>
      <w:color w:val="44546A" w:themeColor="text2"/>
      <w:sz w:val="18"/>
      <w:szCs w:val="18"/>
    </w:rPr>
  </w:style>
  <w:style w:type="character" w:customStyle="1" w:styleId="apple-converted-space">
    <w:name w:val="apple-converted-space"/>
    <w:basedOn w:val="DefaultParagraphFont"/>
    <w:rsid w:val="0002068B"/>
  </w:style>
  <w:style w:type="character" w:styleId="Emphasis">
    <w:name w:val="Emphasis"/>
    <w:basedOn w:val="DefaultParagraphFont"/>
    <w:uiPriority w:val="20"/>
    <w:qFormat/>
    <w:rsid w:val="00517C6A"/>
    <w:rPr>
      <w:i/>
      <w:iCs/>
    </w:rPr>
  </w:style>
  <w:style w:type="character" w:styleId="Hyperlink">
    <w:name w:val="Hyperlink"/>
    <w:basedOn w:val="DefaultParagraphFont"/>
    <w:uiPriority w:val="99"/>
    <w:unhideWhenUsed/>
    <w:rsid w:val="00517C6A"/>
    <w:rPr>
      <w:color w:val="0000FF"/>
      <w:u w:val="single"/>
    </w:rPr>
  </w:style>
  <w:style w:type="character" w:customStyle="1" w:styleId="Heading1Char">
    <w:name w:val="Heading 1 Char"/>
    <w:basedOn w:val="DefaultParagraphFont"/>
    <w:link w:val="Heading1"/>
    <w:uiPriority w:val="9"/>
    <w:rsid w:val="00E01EA8"/>
    <w:rPr>
      <w:rFonts w:ascii="Times New Roman" w:eastAsia="Times New Roman" w:hAnsi="Times New Roman" w:cs="Times New Roman"/>
      <w:b/>
      <w:bCs/>
      <w:kern w:val="36"/>
      <w:sz w:val="48"/>
      <w:szCs w:val="48"/>
      <w:lang w:eastAsia="fi-FI"/>
    </w:rPr>
  </w:style>
  <w:style w:type="paragraph" w:styleId="Header">
    <w:name w:val="header"/>
    <w:basedOn w:val="Normal"/>
    <w:link w:val="HeaderChar"/>
    <w:uiPriority w:val="99"/>
    <w:unhideWhenUsed/>
    <w:rsid w:val="0038785B"/>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785B"/>
  </w:style>
  <w:style w:type="paragraph" w:styleId="Footer">
    <w:name w:val="footer"/>
    <w:basedOn w:val="Normal"/>
    <w:link w:val="FooterChar"/>
    <w:uiPriority w:val="99"/>
    <w:unhideWhenUsed/>
    <w:rsid w:val="0038785B"/>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785B"/>
  </w:style>
  <w:style w:type="character" w:customStyle="1" w:styleId="current-selection">
    <w:name w:val="current-selection"/>
    <w:basedOn w:val="DefaultParagraphFont"/>
    <w:rsid w:val="00207FEF"/>
  </w:style>
  <w:style w:type="character" w:customStyle="1" w:styleId="a">
    <w:name w:val="_"/>
    <w:basedOn w:val="DefaultParagraphFont"/>
    <w:rsid w:val="00207FEF"/>
  </w:style>
  <w:style w:type="character" w:customStyle="1" w:styleId="ff7">
    <w:name w:val="ff7"/>
    <w:basedOn w:val="DefaultParagraphFont"/>
    <w:rsid w:val="00207FEF"/>
  </w:style>
  <w:style w:type="paragraph" w:customStyle="1" w:styleId="Default">
    <w:name w:val="Default"/>
    <w:rsid w:val="007C4E4F"/>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1D2910"/>
    <w:rPr>
      <w:color w:val="954F72" w:themeColor="followedHyperlink"/>
      <w:u w:val="single"/>
    </w:rPr>
  </w:style>
  <w:style w:type="character" w:customStyle="1" w:styleId="highlight">
    <w:name w:val="highlight"/>
    <w:basedOn w:val="DefaultParagraphFont"/>
    <w:rsid w:val="001A76F0"/>
  </w:style>
  <w:style w:type="character" w:styleId="PlaceholderText">
    <w:name w:val="Placeholder Text"/>
    <w:basedOn w:val="DefaultParagraphFont"/>
    <w:uiPriority w:val="99"/>
    <w:semiHidden/>
    <w:rsid w:val="007656FD"/>
    <w:rPr>
      <w:color w:val="808080"/>
    </w:rPr>
  </w:style>
  <w:style w:type="character" w:styleId="LineNumber">
    <w:name w:val="line number"/>
    <w:basedOn w:val="DefaultParagraphFont"/>
    <w:uiPriority w:val="99"/>
    <w:semiHidden/>
    <w:unhideWhenUsed/>
    <w:rsid w:val="0047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1704">
      <w:bodyDiv w:val="1"/>
      <w:marLeft w:val="0"/>
      <w:marRight w:val="0"/>
      <w:marTop w:val="0"/>
      <w:marBottom w:val="0"/>
      <w:divBdr>
        <w:top w:val="none" w:sz="0" w:space="0" w:color="auto"/>
        <w:left w:val="none" w:sz="0" w:space="0" w:color="auto"/>
        <w:bottom w:val="none" w:sz="0" w:space="0" w:color="auto"/>
        <w:right w:val="none" w:sz="0" w:space="0" w:color="auto"/>
      </w:divBdr>
    </w:div>
    <w:div w:id="44180716">
      <w:bodyDiv w:val="1"/>
      <w:marLeft w:val="0"/>
      <w:marRight w:val="0"/>
      <w:marTop w:val="0"/>
      <w:marBottom w:val="0"/>
      <w:divBdr>
        <w:top w:val="none" w:sz="0" w:space="0" w:color="auto"/>
        <w:left w:val="none" w:sz="0" w:space="0" w:color="auto"/>
        <w:bottom w:val="none" w:sz="0" w:space="0" w:color="auto"/>
        <w:right w:val="none" w:sz="0" w:space="0" w:color="auto"/>
      </w:divBdr>
    </w:div>
    <w:div w:id="88737421">
      <w:bodyDiv w:val="1"/>
      <w:marLeft w:val="0"/>
      <w:marRight w:val="0"/>
      <w:marTop w:val="0"/>
      <w:marBottom w:val="0"/>
      <w:divBdr>
        <w:top w:val="none" w:sz="0" w:space="0" w:color="auto"/>
        <w:left w:val="none" w:sz="0" w:space="0" w:color="auto"/>
        <w:bottom w:val="none" w:sz="0" w:space="0" w:color="auto"/>
        <w:right w:val="none" w:sz="0" w:space="0" w:color="auto"/>
      </w:divBdr>
    </w:div>
    <w:div w:id="147135369">
      <w:bodyDiv w:val="1"/>
      <w:marLeft w:val="0"/>
      <w:marRight w:val="0"/>
      <w:marTop w:val="0"/>
      <w:marBottom w:val="0"/>
      <w:divBdr>
        <w:top w:val="none" w:sz="0" w:space="0" w:color="auto"/>
        <w:left w:val="none" w:sz="0" w:space="0" w:color="auto"/>
        <w:bottom w:val="none" w:sz="0" w:space="0" w:color="auto"/>
        <w:right w:val="none" w:sz="0" w:space="0" w:color="auto"/>
      </w:divBdr>
    </w:div>
    <w:div w:id="181669362">
      <w:bodyDiv w:val="1"/>
      <w:marLeft w:val="0"/>
      <w:marRight w:val="0"/>
      <w:marTop w:val="0"/>
      <w:marBottom w:val="0"/>
      <w:divBdr>
        <w:top w:val="none" w:sz="0" w:space="0" w:color="auto"/>
        <w:left w:val="none" w:sz="0" w:space="0" w:color="auto"/>
        <w:bottom w:val="none" w:sz="0" w:space="0" w:color="auto"/>
        <w:right w:val="none" w:sz="0" w:space="0" w:color="auto"/>
      </w:divBdr>
    </w:div>
    <w:div w:id="237327697">
      <w:bodyDiv w:val="1"/>
      <w:marLeft w:val="0"/>
      <w:marRight w:val="0"/>
      <w:marTop w:val="0"/>
      <w:marBottom w:val="0"/>
      <w:divBdr>
        <w:top w:val="none" w:sz="0" w:space="0" w:color="auto"/>
        <w:left w:val="none" w:sz="0" w:space="0" w:color="auto"/>
        <w:bottom w:val="none" w:sz="0" w:space="0" w:color="auto"/>
        <w:right w:val="none" w:sz="0" w:space="0" w:color="auto"/>
      </w:divBdr>
    </w:div>
    <w:div w:id="247420697">
      <w:bodyDiv w:val="1"/>
      <w:marLeft w:val="0"/>
      <w:marRight w:val="0"/>
      <w:marTop w:val="0"/>
      <w:marBottom w:val="0"/>
      <w:divBdr>
        <w:top w:val="none" w:sz="0" w:space="0" w:color="auto"/>
        <w:left w:val="none" w:sz="0" w:space="0" w:color="auto"/>
        <w:bottom w:val="none" w:sz="0" w:space="0" w:color="auto"/>
        <w:right w:val="none" w:sz="0" w:space="0" w:color="auto"/>
      </w:divBdr>
      <w:divsChild>
        <w:div w:id="735973434">
          <w:marLeft w:val="1886"/>
          <w:marRight w:val="0"/>
          <w:marTop w:val="0"/>
          <w:marBottom w:val="0"/>
          <w:divBdr>
            <w:top w:val="none" w:sz="0" w:space="0" w:color="auto"/>
            <w:left w:val="none" w:sz="0" w:space="0" w:color="auto"/>
            <w:bottom w:val="none" w:sz="0" w:space="0" w:color="auto"/>
            <w:right w:val="none" w:sz="0" w:space="0" w:color="auto"/>
          </w:divBdr>
        </w:div>
        <w:div w:id="1049451216">
          <w:marLeft w:val="1166"/>
          <w:marRight w:val="0"/>
          <w:marTop w:val="0"/>
          <w:marBottom w:val="0"/>
          <w:divBdr>
            <w:top w:val="none" w:sz="0" w:space="0" w:color="auto"/>
            <w:left w:val="none" w:sz="0" w:space="0" w:color="auto"/>
            <w:bottom w:val="none" w:sz="0" w:space="0" w:color="auto"/>
            <w:right w:val="none" w:sz="0" w:space="0" w:color="auto"/>
          </w:divBdr>
        </w:div>
      </w:divsChild>
    </w:div>
    <w:div w:id="317685305">
      <w:bodyDiv w:val="1"/>
      <w:marLeft w:val="0"/>
      <w:marRight w:val="0"/>
      <w:marTop w:val="0"/>
      <w:marBottom w:val="0"/>
      <w:divBdr>
        <w:top w:val="none" w:sz="0" w:space="0" w:color="auto"/>
        <w:left w:val="none" w:sz="0" w:space="0" w:color="auto"/>
        <w:bottom w:val="none" w:sz="0" w:space="0" w:color="auto"/>
        <w:right w:val="none" w:sz="0" w:space="0" w:color="auto"/>
      </w:divBdr>
    </w:div>
    <w:div w:id="351609120">
      <w:bodyDiv w:val="1"/>
      <w:marLeft w:val="0"/>
      <w:marRight w:val="0"/>
      <w:marTop w:val="0"/>
      <w:marBottom w:val="0"/>
      <w:divBdr>
        <w:top w:val="none" w:sz="0" w:space="0" w:color="auto"/>
        <w:left w:val="none" w:sz="0" w:space="0" w:color="auto"/>
        <w:bottom w:val="none" w:sz="0" w:space="0" w:color="auto"/>
        <w:right w:val="none" w:sz="0" w:space="0" w:color="auto"/>
      </w:divBdr>
    </w:div>
    <w:div w:id="450369753">
      <w:bodyDiv w:val="1"/>
      <w:marLeft w:val="0"/>
      <w:marRight w:val="0"/>
      <w:marTop w:val="0"/>
      <w:marBottom w:val="0"/>
      <w:divBdr>
        <w:top w:val="none" w:sz="0" w:space="0" w:color="auto"/>
        <w:left w:val="none" w:sz="0" w:space="0" w:color="auto"/>
        <w:bottom w:val="none" w:sz="0" w:space="0" w:color="auto"/>
        <w:right w:val="none" w:sz="0" w:space="0" w:color="auto"/>
      </w:divBdr>
    </w:div>
    <w:div w:id="641619996">
      <w:bodyDiv w:val="1"/>
      <w:marLeft w:val="0"/>
      <w:marRight w:val="0"/>
      <w:marTop w:val="0"/>
      <w:marBottom w:val="0"/>
      <w:divBdr>
        <w:top w:val="none" w:sz="0" w:space="0" w:color="auto"/>
        <w:left w:val="none" w:sz="0" w:space="0" w:color="auto"/>
        <w:bottom w:val="none" w:sz="0" w:space="0" w:color="auto"/>
        <w:right w:val="none" w:sz="0" w:space="0" w:color="auto"/>
      </w:divBdr>
    </w:div>
    <w:div w:id="674528105">
      <w:bodyDiv w:val="1"/>
      <w:marLeft w:val="0"/>
      <w:marRight w:val="0"/>
      <w:marTop w:val="0"/>
      <w:marBottom w:val="0"/>
      <w:divBdr>
        <w:top w:val="none" w:sz="0" w:space="0" w:color="auto"/>
        <w:left w:val="none" w:sz="0" w:space="0" w:color="auto"/>
        <w:bottom w:val="none" w:sz="0" w:space="0" w:color="auto"/>
        <w:right w:val="none" w:sz="0" w:space="0" w:color="auto"/>
      </w:divBdr>
      <w:divsChild>
        <w:div w:id="31926996">
          <w:marLeft w:val="0"/>
          <w:marRight w:val="0"/>
          <w:marTop w:val="0"/>
          <w:marBottom w:val="0"/>
          <w:divBdr>
            <w:top w:val="none" w:sz="0" w:space="0" w:color="auto"/>
            <w:left w:val="none" w:sz="0" w:space="0" w:color="auto"/>
            <w:bottom w:val="none" w:sz="0" w:space="0" w:color="auto"/>
            <w:right w:val="none" w:sz="0" w:space="0" w:color="auto"/>
          </w:divBdr>
        </w:div>
        <w:div w:id="493491513">
          <w:marLeft w:val="0"/>
          <w:marRight w:val="0"/>
          <w:marTop w:val="0"/>
          <w:marBottom w:val="0"/>
          <w:divBdr>
            <w:top w:val="none" w:sz="0" w:space="0" w:color="auto"/>
            <w:left w:val="none" w:sz="0" w:space="0" w:color="auto"/>
            <w:bottom w:val="none" w:sz="0" w:space="0" w:color="auto"/>
            <w:right w:val="none" w:sz="0" w:space="0" w:color="auto"/>
          </w:divBdr>
        </w:div>
      </w:divsChild>
    </w:div>
    <w:div w:id="828909030">
      <w:bodyDiv w:val="1"/>
      <w:marLeft w:val="0"/>
      <w:marRight w:val="0"/>
      <w:marTop w:val="0"/>
      <w:marBottom w:val="0"/>
      <w:divBdr>
        <w:top w:val="none" w:sz="0" w:space="0" w:color="auto"/>
        <w:left w:val="none" w:sz="0" w:space="0" w:color="auto"/>
        <w:bottom w:val="none" w:sz="0" w:space="0" w:color="auto"/>
        <w:right w:val="none" w:sz="0" w:space="0" w:color="auto"/>
      </w:divBdr>
    </w:div>
    <w:div w:id="837572679">
      <w:bodyDiv w:val="1"/>
      <w:marLeft w:val="0"/>
      <w:marRight w:val="0"/>
      <w:marTop w:val="0"/>
      <w:marBottom w:val="0"/>
      <w:divBdr>
        <w:top w:val="none" w:sz="0" w:space="0" w:color="auto"/>
        <w:left w:val="none" w:sz="0" w:space="0" w:color="auto"/>
        <w:bottom w:val="none" w:sz="0" w:space="0" w:color="auto"/>
        <w:right w:val="none" w:sz="0" w:space="0" w:color="auto"/>
      </w:divBdr>
      <w:divsChild>
        <w:div w:id="1394082242">
          <w:marLeft w:val="0"/>
          <w:marRight w:val="0"/>
          <w:marTop w:val="0"/>
          <w:marBottom w:val="0"/>
          <w:divBdr>
            <w:top w:val="none" w:sz="0" w:space="0" w:color="auto"/>
            <w:left w:val="none" w:sz="0" w:space="0" w:color="auto"/>
            <w:bottom w:val="none" w:sz="0" w:space="0" w:color="auto"/>
            <w:right w:val="none" w:sz="0" w:space="0" w:color="auto"/>
          </w:divBdr>
        </w:div>
        <w:div w:id="1832063744">
          <w:marLeft w:val="0"/>
          <w:marRight w:val="0"/>
          <w:marTop w:val="0"/>
          <w:marBottom w:val="0"/>
          <w:divBdr>
            <w:top w:val="none" w:sz="0" w:space="0" w:color="auto"/>
            <w:left w:val="none" w:sz="0" w:space="0" w:color="auto"/>
            <w:bottom w:val="none" w:sz="0" w:space="0" w:color="auto"/>
            <w:right w:val="none" w:sz="0" w:space="0" w:color="auto"/>
          </w:divBdr>
        </w:div>
        <w:div w:id="119501116">
          <w:marLeft w:val="0"/>
          <w:marRight w:val="0"/>
          <w:marTop w:val="0"/>
          <w:marBottom w:val="0"/>
          <w:divBdr>
            <w:top w:val="none" w:sz="0" w:space="0" w:color="auto"/>
            <w:left w:val="none" w:sz="0" w:space="0" w:color="auto"/>
            <w:bottom w:val="none" w:sz="0" w:space="0" w:color="auto"/>
            <w:right w:val="none" w:sz="0" w:space="0" w:color="auto"/>
          </w:divBdr>
        </w:div>
      </w:divsChild>
    </w:div>
    <w:div w:id="866868410">
      <w:bodyDiv w:val="1"/>
      <w:marLeft w:val="0"/>
      <w:marRight w:val="0"/>
      <w:marTop w:val="0"/>
      <w:marBottom w:val="0"/>
      <w:divBdr>
        <w:top w:val="none" w:sz="0" w:space="0" w:color="auto"/>
        <w:left w:val="none" w:sz="0" w:space="0" w:color="auto"/>
        <w:bottom w:val="none" w:sz="0" w:space="0" w:color="auto"/>
        <w:right w:val="none" w:sz="0" w:space="0" w:color="auto"/>
      </w:divBdr>
      <w:divsChild>
        <w:div w:id="187527170">
          <w:marLeft w:val="0"/>
          <w:marRight w:val="0"/>
          <w:marTop w:val="0"/>
          <w:marBottom w:val="0"/>
          <w:divBdr>
            <w:top w:val="none" w:sz="0" w:space="0" w:color="auto"/>
            <w:left w:val="none" w:sz="0" w:space="0" w:color="auto"/>
            <w:bottom w:val="none" w:sz="0" w:space="0" w:color="auto"/>
            <w:right w:val="none" w:sz="0" w:space="0" w:color="auto"/>
          </w:divBdr>
        </w:div>
        <w:div w:id="1145658942">
          <w:marLeft w:val="0"/>
          <w:marRight w:val="0"/>
          <w:marTop w:val="0"/>
          <w:marBottom w:val="0"/>
          <w:divBdr>
            <w:top w:val="none" w:sz="0" w:space="0" w:color="auto"/>
            <w:left w:val="none" w:sz="0" w:space="0" w:color="auto"/>
            <w:bottom w:val="none" w:sz="0" w:space="0" w:color="auto"/>
            <w:right w:val="none" w:sz="0" w:space="0" w:color="auto"/>
          </w:divBdr>
        </w:div>
        <w:div w:id="1151482949">
          <w:marLeft w:val="0"/>
          <w:marRight w:val="0"/>
          <w:marTop w:val="0"/>
          <w:marBottom w:val="0"/>
          <w:divBdr>
            <w:top w:val="none" w:sz="0" w:space="0" w:color="auto"/>
            <w:left w:val="none" w:sz="0" w:space="0" w:color="auto"/>
            <w:bottom w:val="none" w:sz="0" w:space="0" w:color="auto"/>
            <w:right w:val="none" w:sz="0" w:space="0" w:color="auto"/>
          </w:divBdr>
        </w:div>
        <w:div w:id="1314410443">
          <w:marLeft w:val="0"/>
          <w:marRight w:val="0"/>
          <w:marTop w:val="0"/>
          <w:marBottom w:val="0"/>
          <w:divBdr>
            <w:top w:val="none" w:sz="0" w:space="0" w:color="auto"/>
            <w:left w:val="none" w:sz="0" w:space="0" w:color="auto"/>
            <w:bottom w:val="none" w:sz="0" w:space="0" w:color="auto"/>
            <w:right w:val="none" w:sz="0" w:space="0" w:color="auto"/>
          </w:divBdr>
        </w:div>
        <w:div w:id="1355039804">
          <w:marLeft w:val="0"/>
          <w:marRight w:val="0"/>
          <w:marTop w:val="0"/>
          <w:marBottom w:val="0"/>
          <w:divBdr>
            <w:top w:val="none" w:sz="0" w:space="0" w:color="auto"/>
            <w:left w:val="none" w:sz="0" w:space="0" w:color="auto"/>
            <w:bottom w:val="none" w:sz="0" w:space="0" w:color="auto"/>
            <w:right w:val="none" w:sz="0" w:space="0" w:color="auto"/>
          </w:divBdr>
        </w:div>
      </w:divsChild>
    </w:div>
    <w:div w:id="866984249">
      <w:bodyDiv w:val="1"/>
      <w:marLeft w:val="0"/>
      <w:marRight w:val="0"/>
      <w:marTop w:val="0"/>
      <w:marBottom w:val="0"/>
      <w:divBdr>
        <w:top w:val="none" w:sz="0" w:space="0" w:color="auto"/>
        <w:left w:val="none" w:sz="0" w:space="0" w:color="auto"/>
        <w:bottom w:val="none" w:sz="0" w:space="0" w:color="auto"/>
        <w:right w:val="none" w:sz="0" w:space="0" w:color="auto"/>
      </w:divBdr>
    </w:div>
    <w:div w:id="931352501">
      <w:bodyDiv w:val="1"/>
      <w:marLeft w:val="0"/>
      <w:marRight w:val="0"/>
      <w:marTop w:val="0"/>
      <w:marBottom w:val="0"/>
      <w:divBdr>
        <w:top w:val="none" w:sz="0" w:space="0" w:color="auto"/>
        <w:left w:val="none" w:sz="0" w:space="0" w:color="auto"/>
        <w:bottom w:val="none" w:sz="0" w:space="0" w:color="auto"/>
        <w:right w:val="none" w:sz="0" w:space="0" w:color="auto"/>
      </w:divBdr>
    </w:div>
    <w:div w:id="1046566040">
      <w:bodyDiv w:val="1"/>
      <w:marLeft w:val="0"/>
      <w:marRight w:val="0"/>
      <w:marTop w:val="0"/>
      <w:marBottom w:val="0"/>
      <w:divBdr>
        <w:top w:val="none" w:sz="0" w:space="0" w:color="auto"/>
        <w:left w:val="none" w:sz="0" w:space="0" w:color="auto"/>
        <w:bottom w:val="none" w:sz="0" w:space="0" w:color="auto"/>
        <w:right w:val="none" w:sz="0" w:space="0" w:color="auto"/>
      </w:divBdr>
    </w:div>
    <w:div w:id="1100292600">
      <w:bodyDiv w:val="1"/>
      <w:marLeft w:val="0"/>
      <w:marRight w:val="0"/>
      <w:marTop w:val="0"/>
      <w:marBottom w:val="0"/>
      <w:divBdr>
        <w:top w:val="none" w:sz="0" w:space="0" w:color="auto"/>
        <w:left w:val="none" w:sz="0" w:space="0" w:color="auto"/>
        <w:bottom w:val="none" w:sz="0" w:space="0" w:color="auto"/>
        <w:right w:val="none" w:sz="0" w:space="0" w:color="auto"/>
      </w:divBdr>
      <w:divsChild>
        <w:div w:id="755907853">
          <w:marLeft w:val="1886"/>
          <w:marRight w:val="0"/>
          <w:marTop w:val="0"/>
          <w:marBottom w:val="0"/>
          <w:divBdr>
            <w:top w:val="none" w:sz="0" w:space="0" w:color="auto"/>
            <w:left w:val="none" w:sz="0" w:space="0" w:color="auto"/>
            <w:bottom w:val="none" w:sz="0" w:space="0" w:color="auto"/>
            <w:right w:val="none" w:sz="0" w:space="0" w:color="auto"/>
          </w:divBdr>
        </w:div>
        <w:div w:id="2059552647">
          <w:marLeft w:val="1166"/>
          <w:marRight w:val="0"/>
          <w:marTop w:val="0"/>
          <w:marBottom w:val="0"/>
          <w:divBdr>
            <w:top w:val="none" w:sz="0" w:space="0" w:color="auto"/>
            <w:left w:val="none" w:sz="0" w:space="0" w:color="auto"/>
            <w:bottom w:val="none" w:sz="0" w:space="0" w:color="auto"/>
            <w:right w:val="none" w:sz="0" w:space="0" w:color="auto"/>
          </w:divBdr>
        </w:div>
      </w:divsChild>
    </w:div>
    <w:div w:id="1146896561">
      <w:bodyDiv w:val="1"/>
      <w:marLeft w:val="0"/>
      <w:marRight w:val="0"/>
      <w:marTop w:val="0"/>
      <w:marBottom w:val="0"/>
      <w:divBdr>
        <w:top w:val="none" w:sz="0" w:space="0" w:color="auto"/>
        <w:left w:val="none" w:sz="0" w:space="0" w:color="auto"/>
        <w:bottom w:val="none" w:sz="0" w:space="0" w:color="auto"/>
        <w:right w:val="none" w:sz="0" w:space="0" w:color="auto"/>
      </w:divBdr>
    </w:div>
    <w:div w:id="1169903961">
      <w:bodyDiv w:val="1"/>
      <w:marLeft w:val="0"/>
      <w:marRight w:val="0"/>
      <w:marTop w:val="0"/>
      <w:marBottom w:val="0"/>
      <w:divBdr>
        <w:top w:val="none" w:sz="0" w:space="0" w:color="auto"/>
        <w:left w:val="none" w:sz="0" w:space="0" w:color="auto"/>
        <w:bottom w:val="none" w:sz="0" w:space="0" w:color="auto"/>
        <w:right w:val="none" w:sz="0" w:space="0" w:color="auto"/>
      </w:divBdr>
      <w:divsChild>
        <w:div w:id="819269862">
          <w:blockQuote w:val="1"/>
          <w:marLeft w:val="450"/>
          <w:marRight w:val="450"/>
          <w:marTop w:val="360"/>
          <w:marBottom w:val="360"/>
          <w:divBdr>
            <w:top w:val="none" w:sz="0" w:space="0" w:color="auto"/>
            <w:left w:val="none" w:sz="0" w:space="0" w:color="auto"/>
            <w:bottom w:val="none" w:sz="0" w:space="0" w:color="auto"/>
            <w:right w:val="none" w:sz="0" w:space="0" w:color="auto"/>
          </w:divBdr>
        </w:div>
      </w:divsChild>
    </w:div>
    <w:div w:id="1371758829">
      <w:bodyDiv w:val="1"/>
      <w:marLeft w:val="0"/>
      <w:marRight w:val="0"/>
      <w:marTop w:val="0"/>
      <w:marBottom w:val="0"/>
      <w:divBdr>
        <w:top w:val="none" w:sz="0" w:space="0" w:color="auto"/>
        <w:left w:val="none" w:sz="0" w:space="0" w:color="auto"/>
        <w:bottom w:val="none" w:sz="0" w:space="0" w:color="auto"/>
        <w:right w:val="none" w:sz="0" w:space="0" w:color="auto"/>
      </w:divBdr>
    </w:div>
    <w:div w:id="1474175171">
      <w:bodyDiv w:val="1"/>
      <w:marLeft w:val="0"/>
      <w:marRight w:val="0"/>
      <w:marTop w:val="0"/>
      <w:marBottom w:val="0"/>
      <w:divBdr>
        <w:top w:val="none" w:sz="0" w:space="0" w:color="auto"/>
        <w:left w:val="none" w:sz="0" w:space="0" w:color="auto"/>
        <w:bottom w:val="none" w:sz="0" w:space="0" w:color="auto"/>
        <w:right w:val="none" w:sz="0" w:space="0" w:color="auto"/>
      </w:divBdr>
    </w:div>
    <w:div w:id="1503473755">
      <w:bodyDiv w:val="1"/>
      <w:marLeft w:val="0"/>
      <w:marRight w:val="0"/>
      <w:marTop w:val="0"/>
      <w:marBottom w:val="0"/>
      <w:divBdr>
        <w:top w:val="none" w:sz="0" w:space="0" w:color="auto"/>
        <w:left w:val="none" w:sz="0" w:space="0" w:color="auto"/>
        <w:bottom w:val="none" w:sz="0" w:space="0" w:color="auto"/>
        <w:right w:val="none" w:sz="0" w:space="0" w:color="auto"/>
      </w:divBdr>
    </w:div>
    <w:div w:id="1675762886">
      <w:bodyDiv w:val="1"/>
      <w:marLeft w:val="0"/>
      <w:marRight w:val="0"/>
      <w:marTop w:val="0"/>
      <w:marBottom w:val="0"/>
      <w:divBdr>
        <w:top w:val="none" w:sz="0" w:space="0" w:color="auto"/>
        <w:left w:val="none" w:sz="0" w:space="0" w:color="auto"/>
        <w:bottom w:val="none" w:sz="0" w:space="0" w:color="auto"/>
        <w:right w:val="none" w:sz="0" w:space="0" w:color="auto"/>
      </w:divBdr>
      <w:divsChild>
        <w:div w:id="2634786">
          <w:marLeft w:val="0"/>
          <w:marRight w:val="0"/>
          <w:marTop w:val="0"/>
          <w:marBottom w:val="0"/>
          <w:divBdr>
            <w:top w:val="none" w:sz="0" w:space="0" w:color="auto"/>
            <w:left w:val="none" w:sz="0" w:space="0" w:color="auto"/>
            <w:bottom w:val="none" w:sz="0" w:space="0" w:color="auto"/>
            <w:right w:val="none" w:sz="0" w:space="0" w:color="auto"/>
          </w:divBdr>
        </w:div>
        <w:div w:id="49695440">
          <w:marLeft w:val="0"/>
          <w:marRight w:val="0"/>
          <w:marTop w:val="0"/>
          <w:marBottom w:val="0"/>
          <w:divBdr>
            <w:top w:val="none" w:sz="0" w:space="0" w:color="auto"/>
            <w:left w:val="none" w:sz="0" w:space="0" w:color="auto"/>
            <w:bottom w:val="none" w:sz="0" w:space="0" w:color="auto"/>
            <w:right w:val="none" w:sz="0" w:space="0" w:color="auto"/>
          </w:divBdr>
        </w:div>
        <w:div w:id="370809918">
          <w:marLeft w:val="0"/>
          <w:marRight w:val="0"/>
          <w:marTop w:val="0"/>
          <w:marBottom w:val="0"/>
          <w:divBdr>
            <w:top w:val="none" w:sz="0" w:space="0" w:color="auto"/>
            <w:left w:val="none" w:sz="0" w:space="0" w:color="auto"/>
            <w:bottom w:val="none" w:sz="0" w:space="0" w:color="auto"/>
            <w:right w:val="none" w:sz="0" w:space="0" w:color="auto"/>
          </w:divBdr>
        </w:div>
        <w:div w:id="396782075">
          <w:marLeft w:val="0"/>
          <w:marRight w:val="0"/>
          <w:marTop w:val="0"/>
          <w:marBottom w:val="0"/>
          <w:divBdr>
            <w:top w:val="none" w:sz="0" w:space="0" w:color="auto"/>
            <w:left w:val="none" w:sz="0" w:space="0" w:color="auto"/>
            <w:bottom w:val="none" w:sz="0" w:space="0" w:color="auto"/>
            <w:right w:val="none" w:sz="0" w:space="0" w:color="auto"/>
          </w:divBdr>
        </w:div>
        <w:div w:id="601570062">
          <w:marLeft w:val="0"/>
          <w:marRight w:val="0"/>
          <w:marTop w:val="0"/>
          <w:marBottom w:val="0"/>
          <w:divBdr>
            <w:top w:val="none" w:sz="0" w:space="0" w:color="auto"/>
            <w:left w:val="none" w:sz="0" w:space="0" w:color="auto"/>
            <w:bottom w:val="none" w:sz="0" w:space="0" w:color="auto"/>
            <w:right w:val="none" w:sz="0" w:space="0" w:color="auto"/>
          </w:divBdr>
        </w:div>
      </w:divsChild>
    </w:div>
    <w:div w:id="1682313671">
      <w:bodyDiv w:val="1"/>
      <w:marLeft w:val="0"/>
      <w:marRight w:val="0"/>
      <w:marTop w:val="0"/>
      <w:marBottom w:val="0"/>
      <w:divBdr>
        <w:top w:val="none" w:sz="0" w:space="0" w:color="auto"/>
        <w:left w:val="none" w:sz="0" w:space="0" w:color="auto"/>
        <w:bottom w:val="none" w:sz="0" w:space="0" w:color="auto"/>
        <w:right w:val="none" w:sz="0" w:space="0" w:color="auto"/>
      </w:divBdr>
      <w:divsChild>
        <w:div w:id="1146436691">
          <w:marLeft w:val="446"/>
          <w:marRight w:val="0"/>
          <w:marTop w:val="0"/>
          <w:marBottom w:val="0"/>
          <w:divBdr>
            <w:top w:val="none" w:sz="0" w:space="0" w:color="auto"/>
            <w:left w:val="none" w:sz="0" w:space="0" w:color="auto"/>
            <w:bottom w:val="none" w:sz="0" w:space="0" w:color="auto"/>
            <w:right w:val="none" w:sz="0" w:space="0" w:color="auto"/>
          </w:divBdr>
        </w:div>
        <w:div w:id="1155415057">
          <w:marLeft w:val="446"/>
          <w:marRight w:val="0"/>
          <w:marTop w:val="0"/>
          <w:marBottom w:val="0"/>
          <w:divBdr>
            <w:top w:val="none" w:sz="0" w:space="0" w:color="auto"/>
            <w:left w:val="none" w:sz="0" w:space="0" w:color="auto"/>
            <w:bottom w:val="none" w:sz="0" w:space="0" w:color="auto"/>
            <w:right w:val="none" w:sz="0" w:space="0" w:color="auto"/>
          </w:divBdr>
        </w:div>
        <w:div w:id="1268580530">
          <w:marLeft w:val="446"/>
          <w:marRight w:val="0"/>
          <w:marTop w:val="0"/>
          <w:marBottom w:val="0"/>
          <w:divBdr>
            <w:top w:val="none" w:sz="0" w:space="0" w:color="auto"/>
            <w:left w:val="none" w:sz="0" w:space="0" w:color="auto"/>
            <w:bottom w:val="none" w:sz="0" w:space="0" w:color="auto"/>
            <w:right w:val="none" w:sz="0" w:space="0" w:color="auto"/>
          </w:divBdr>
        </w:div>
        <w:div w:id="1806655434">
          <w:marLeft w:val="446"/>
          <w:marRight w:val="0"/>
          <w:marTop w:val="0"/>
          <w:marBottom w:val="0"/>
          <w:divBdr>
            <w:top w:val="none" w:sz="0" w:space="0" w:color="auto"/>
            <w:left w:val="none" w:sz="0" w:space="0" w:color="auto"/>
            <w:bottom w:val="none" w:sz="0" w:space="0" w:color="auto"/>
            <w:right w:val="none" w:sz="0" w:space="0" w:color="auto"/>
          </w:divBdr>
        </w:div>
        <w:div w:id="2011520628">
          <w:marLeft w:val="446"/>
          <w:marRight w:val="0"/>
          <w:marTop w:val="0"/>
          <w:marBottom w:val="0"/>
          <w:divBdr>
            <w:top w:val="none" w:sz="0" w:space="0" w:color="auto"/>
            <w:left w:val="none" w:sz="0" w:space="0" w:color="auto"/>
            <w:bottom w:val="none" w:sz="0" w:space="0" w:color="auto"/>
            <w:right w:val="none" w:sz="0" w:space="0" w:color="auto"/>
          </w:divBdr>
        </w:div>
      </w:divsChild>
    </w:div>
    <w:div w:id="1686833088">
      <w:bodyDiv w:val="1"/>
      <w:marLeft w:val="0"/>
      <w:marRight w:val="0"/>
      <w:marTop w:val="0"/>
      <w:marBottom w:val="0"/>
      <w:divBdr>
        <w:top w:val="none" w:sz="0" w:space="0" w:color="auto"/>
        <w:left w:val="none" w:sz="0" w:space="0" w:color="auto"/>
        <w:bottom w:val="none" w:sz="0" w:space="0" w:color="auto"/>
        <w:right w:val="none" w:sz="0" w:space="0" w:color="auto"/>
      </w:divBdr>
      <w:divsChild>
        <w:div w:id="1707438380">
          <w:marLeft w:val="0"/>
          <w:marRight w:val="0"/>
          <w:marTop w:val="0"/>
          <w:marBottom w:val="0"/>
          <w:divBdr>
            <w:top w:val="none" w:sz="0" w:space="0" w:color="auto"/>
            <w:left w:val="none" w:sz="0" w:space="0" w:color="auto"/>
            <w:bottom w:val="none" w:sz="0" w:space="0" w:color="auto"/>
            <w:right w:val="none" w:sz="0" w:space="0" w:color="auto"/>
          </w:divBdr>
        </w:div>
        <w:div w:id="1632633151">
          <w:marLeft w:val="0"/>
          <w:marRight w:val="0"/>
          <w:marTop w:val="0"/>
          <w:marBottom w:val="0"/>
          <w:divBdr>
            <w:top w:val="none" w:sz="0" w:space="0" w:color="auto"/>
            <w:left w:val="none" w:sz="0" w:space="0" w:color="auto"/>
            <w:bottom w:val="none" w:sz="0" w:space="0" w:color="auto"/>
            <w:right w:val="none" w:sz="0" w:space="0" w:color="auto"/>
          </w:divBdr>
        </w:div>
        <w:div w:id="1518230920">
          <w:marLeft w:val="0"/>
          <w:marRight w:val="0"/>
          <w:marTop w:val="0"/>
          <w:marBottom w:val="0"/>
          <w:divBdr>
            <w:top w:val="none" w:sz="0" w:space="0" w:color="auto"/>
            <w:left w:val="none" w:sz="0" w:space="0" w:color="auto"/>
            <w:bottom w:val="none" w:sz="0" w:space="0" w:color="auto"/>
            <w:right w:val="none" w:sz="0" w:space="0" w:color="auto"/>
          </w:divBdr>
        </w:div>
        <w:div w:id="1240671824">
          <w:marLeft w:val="0"/>
          <w:marRight w:val="0"/>
          <w:marTop w:val="0"/>
          <w:marBottom w:val="0"/>
          <w:divBdr>
            <w:top w:val="none" w:sz="0" w:space="0" w:color="auto"/>
            <w:left w:val="none" w:sz="0" w:space="0" w:color="auto"/>
            <w:bottom w:val="none" w:sz="0" w:space="0" w:color="auto"/>
            <w:right w:val="none" w:sz="0" w:space="0" w:color="auto"/>
          </w:divBdr>
        </w:div>
      </w:divsChild>
    </w:div>
    <w:div w:id="1883056952">
      <w:bodyDiv w:val="1"/>
      <w:marLeft w:val="0"/>
      <w:marRight w:val="0"/>
      <w:marTop w:val="0"/>
      <w:marBottom w:val="0"/>
      <w:divBdr>
        <w:top w:val="none" w:sz="0" w:space="0" w:color="auto"/>
        <w:left w:val="none" w:sz="0" w:space="0" w:color="auto"/>
        <w:bottom w:val="none" w:sz="0" w:space="0" w:color="auto"/>
        <w:right w:val="none" w:sz="0" w:space="0" w:color="auto"/>
      </w:divBdr>
    </w:div>
    <w:div w:id="1998344651">
      <w:bodyDiv w:val="1"/>
      <w:marLeft w:val="0"/>
      <w:marRight w:val="0"/>
      <w:marTop w:val="0"/>
      <w:marBottom w:val="0"/>
      <w:divBdr>
        <w:top w:val="none" w:sz="0" w:space="0" w:color="auto"/>
        <w:left w:val="none" w:sz="0" w:space="0" w:color="auto"/>
        <w:bottom w:val="none" w:sz="0" w:space="0" w:color="auto"/>
        <w:right w:val="none" w:sz="0" w:space="0" w:color="auto"/>
      </w:divBdr>
      <w:divsChild>
        <w:div w:id="268316421">
          <w:marLeft w:val="446"/>
          <w:marRight w:val="0"/>
          <w:marTop w:val="0"/>
          <w:marBottom w:val="0"/>
          <w:divBdr>
            <w:top w:val="none" w:sz="0" w:space="0" w:color="auto"/>
            <w:left w:val="none" w:sz="0" w:space="0" w:color="auto"/>
            <w:bottom w:val="none" w:sz="0" w:space="0" w:color="auto"/>
            <w:right w:val="none" w:sz="0" w:space="0" w:color="auto"/>
          </w:divBdr>
        </w:div>
        <w:div w:id="620114693">
          <w:marLeft w:val="1166"/>
          <w:marRight w:val="0"/>
          <w:marTop w:val="0"/>
          <w:marBottom w:val="0"/>
          <w:divBdr>
            <w:top w:val="none" w:sz="0" w:space="0" w:color="auto"/>
            <w:left w:val="none" w:sz="0" w:space="0" w:color="auto"/>
            <w:bottom w:val="none" w:sz="0" w:space="0" w:color="auto"/>
            <w:right w:val="none" w:sz="0" w:space="0" w:color="auto"/>
          </w:divBdr>
        </w:div>
        <w:div w:id="837422500">
          <w:marLeft w:val="1166"/>
          <w:marRight w:val="0"/>
          <w:marTop w:val="0"/>
          <w:marBottom w:val="0"/>
          <w:divBdr>
            <w:top w:val="none" w:sz="0" w:space="0" w:color="auto"/>
            <w:left w:val="none" w:sz="0" w:space="0" w:color="auto"/>
            <w:bottom w:val="none" w:sz="0" w:space="0" w:color="auto"/>
            <w:right w:val="none" w:sz="0" w:space="0" w:color="auto"/>
          </w:divBdr>
        </w:div>
        <w:div w:id="1293635450">
          <w:marLeft w:val="446"/>
          <w:marRight w:val="0"/>
          <w:marTop w:val="0"/>
          <w:marBottom w:val="0"/>
          <w:divBdr>
            <w:top w:val="none" w:sz="0" w:space="0" w:color="auto"/>
            <w:left w:val="none" w:sz="0" w:space="0" w:color="auto"/>
            <w:bottom w:val="none" w:sz="0" w:space="0" w:color="auto"/>
            <w:right w:val="none" w:sz="0" w:space="0" w:color="auto"/>
          </w:divBdr>
        </w:div>
        <w:div w:id="1514029608">
          <w:marLeft w:val="446"/>
          <w:marRight w:val="0"/>
          <w:marTop w:val="0"/>
          <w:marBottom w:val="0"/>
          <w:divBdr>
            <w:top w:val="none" w:sz="0" w:space="0" w:color="auto"/>
            <w:left w:val="none" w:sz="0" w:space="0" w:color="auto"/>
            <w:bottom w:val="none" w:sz="0" w:space="0" w:color="auto"/>
            <w:right w:val="none" w:sz="0" w:space="0" w:color="auto"/>
          </w:divBdr>
        </w:div>
        <w:div w:id="1650940961">
          <w:marLeft w:val="446"/>
          <w:marRight w:val="0"/>
          <w:marTop w:val="0"/>
          <w:marBottom w:val="0"/>
          <w:divBdr>
            <w:top w:val="none" w:sz="0" w:space="0" w:color="auto"/>
            <w:left w:val="none" w:sz="0" w:space="0" w:color="auto"/>
            <w:bottom w:val="none" w:sz="0" w:space="0" w:color="auto"/>
            <w:right w:val="none" w:sz="0" w:space="0" w:color="auto"/>
          </w:divBdr>
        </w:div>
        <w:div w:id="1812357617">
          <w:marLeft w:val="446"/>
          <w:marRight w:val="0"/>
          <w:marTop w:val="0"/>
          <w:marBottom w:val="0"/>
          <w:divBdr>
            <w:top w:val="none" w:sz="0" w:space="0" w:color="auto"/>
            <w:left w:val="none" w:sz="0" w:space="0" w:color="auto"/>
            <w:bottom w:val="none" w:sz="0" w:space="0" w:color="auto"/>
            <w:right w:val="none" w:sz="0" w:space="0" w:color="auto"/>
          </w:divBdr>
        </w:div>
        <w:div w:id="2055426495">
          <w:marLeft w:val="446"/>
          <w:marRight w:val="0"/>
          <w:marTop w:val="0"/>
          <w:marBottom w:val="0"/>
          <w:divBdr>
            <w:top w:val="none" w:sz="0" w:space="0" w:color="auto"/>
            <w:left w:val="none" w:sz="0" w:space="0" w:color="auto"/>
            <w:bottom w:val="none" w:sz="0" w:space="0" w:color="auto"/>
            <w:right w:val="none" w:sz="0" w:space="0" w:color="auto"/>
          </w:divBdr>
        </w:div>
      </w:divsChild>
    </w:div>
    <w:div w:id="214665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C4CEE906244C2C8BD80C5F836A7759"/>
        <w:category>
          <w:name w:val="General"/>
          <w:gallery w:val="placeholder"/>
        </w:category>
        <w:types>
          <w:type w:val="bbPlcHdr"/>
        </w:types>
        <w:behaviors>
          <w:behavior w:val="content"/>
        </w:behaviors>
        <w:guid w:val="{3415F31C-30A0-4B6A-A0F9-DEBD16657E8C}"/>
      </w:docPartPr>
      <w:docPartBody>
        <w:p w:rsidR="006F249D" w:rsidRDefault="003D2D3F">
          <w:r w:rsidRPr="001D6AED">
            <w:rPr>
              <w:rStyle w:val="PlaceholderText"/>
            </w:rPr>
            <w:t>Generating bibliography... please wait</w:t>
          </w:r>
        </w:p>
      </w:docPartBody>
    </w:docPart>
    <w:docPart>
      <w:docPartPr>
        <w:name w:val="3FB40D6B72DE4BE5AB271ED702CDA638"/>
        <w:category>
          <w:name w:val="General"/>
          <w:gallery w:val="placeholder"/>
        </w:category>
        <w:types>
          <w:type w:val="bbPlcHdr"/>
        </w:types>
        <w:behaviors>
          <w:behavior w:val="content"/>
        </w:behaviors>
        <w:guid w:val="{E5E96F5A-7E25-40B7-9EC7-3FA02F37DCD4}"/>
      </w:docPartPr>
      <w:docPartBody>
        <w:p w:rsidR="006F249D" w:rsidRDefault="003D2D3F">
          <w:r w:rsidRPr="001D6AED">
            <w:rPr>
              <w:rStyle w:val="PlaceholderText"/>
            </w:rPr>
            <w:t>Formatting... please wait</w:t>
          </w:r>
        </w:p>
      </w:docPartBody>
    </w:docPart>
    <w:docPart>
      <w:docPartPr>
        <w:name w:val="02EAA0B388D146B9A754B44B0BCFE510"/>
        <w:category>
          <w:name w:val="General"/>
          <w:gallery w:val="placeholder"/>
        </w:category>
        <w:types>
          <w:type w:val="bbPlcHdr"/>
        </w:types>
        <w:behaviors>
          <w:behavior w:val="content"/>
        </w:behaviors>
        <w:guid w:val="{D559674D-BF20-428D-81CA-4A4FF2E81587}"/>
      </w:docPartPr>
      <w:docPartBody>
        <w:p w:rsidR="006F249D" w:rsidRDefault="003D2D3F">
          <w:r w:rsidRPr="001D6AED">
            <w:rPr>
              <w:rStyle w:val="PlaceholderText"/>
            </w:rPr>
            <w:t>Formatting... please wait</w:t>
          </w:r>
        </w:p>
      </w:docPartBody>
    </w:docPart>
    <w:docPart>
      <w:docPartPr>
        <w:name w:val="AC33FBE3F3834D50B34BD84912B36D84"/>
        <w:category>
          <w:name w:val="General"/>
          <w:gallery w:val="placeholder"/>
        </w:category>
        <w:types>
          <w:type w:val="bbPlcHdr"/>
        </w:types>
        <w:behaviors>
          <w:behavior w:val="content"/>
        </w:behaviors>
        <w:guid w:val="{8F636C40-0F07-4A67-A857-8FB4DDC00D64}"/>
      </w:docPartPr>
      <w:docPartBody>
        <w:p w:rsidR="006F249D" w:rsidRDefault="003D2D3F">
          <w:r w:rsidRPr="001D6AED">
            <w:rPr>
              <w:rStyle w:val="PlaceholderText"/>
            </w:rPr>
            <w:t>Formatting... please wait</w:t>
          </w:r>
        </w:p>
      </w:docPartBody>
    </w:docPart>
    <w:docPart>
      <w:docPartPr>
        <w:name w:val="6D13F9EF58FF4BE8A21CC9F9A888744E"/>
        <w:category>
          <w:name w:val="General"/>
          <w:gallery w:val="placeholder"/>
        </w:category>
        <w:types>
          <w:type w:val="bbPlcHdr"/>
        </w:types>
        <w:behaviors>
          <w:behavior w:val="content"/>
        </w:behaviors>
        <w:guid w:val="{8A38F6D2-A01B-4A31-B22E-C2F30933C56C}"/>
      </w:docPartPr>
      <w:docPartBody>
        <w:p w:rsidR="006F249D" w:rsidRDefault="003D2D3F">
          <w:r w:rsidRPr="001D6AED">
            <w:rPr>
              <w:rStyle w:val="PlaceholderText"/>
            </w:rPr>
            <w:t>Formatting... please wait</w:t>
          </w:r>
        </w:p>
      </w:docPartBody>
    </w:docPart>
    <w:docPart>
      <w:docPartPr>
        <w:name w:val="817D6865162A4A89B1886D0CDE61D851"/>
        <w:category>
          <w:name w:val="General"/>
          <w:gallery w:val="placeholder"/>
        </w:category>
        <w:types>
          <w:type w:val="bbPlcHdr"/>
        </w:types>
        <w:behaviors>
          <w:behavior w:val="content"/>
        </w:behaviors>
        <w:guid w:val="{84767ACD-DDDC-4D1F-8E78-09AEC51B02D3}"/>
      </w:docPartPr>
      <w:docPartBody>
        <w:p w:rsidR="006F249D" w:rsidRDefault="003D2D3F">
          <w:r w:rsidRPr="001D6AED">
            <w:rPr>
              <w:rStyle w:val="PlaceholderText"/>
            </w:rPr>
            <w:t>Formatting... please wait</w:t>
          </w:r>
        </w:p>
      </w:docPartBody>
    </w:docPart>
    <w:docPart>
      <w:docPartPr>
        <w:name w:val="9CD77E307FF347D988A3F9D0671AF0B2"/>
        <w:category>
          <w:name w:val="General"/>
          <w:gallery w:val="placeholder"/>
        </w:category>
        <w:types>
          <w:type w:val="bbPlcHdr"/>
        </w:types>
        <w:behaviors>
          <w:behavior w:val="content"/>
        </w:behaviors>
        <w:guid w:val="{4D093E4F-13B1-4325-B6D3-394D52B621A8}"/>
      </w:docPartPr>
      <w:docPartBody>
        <w:p w:rsidR="006F249D" w:rsidRDefault="003D2D3F">
          <w:r w:rsidRPr="001D6AED">
            <w:rPr>
              <w:rStyle w:val="PlaceholderText"/>
            </w:rPr>
            <w:t>Formatting... please wait</w:t>
          </w:r>
        </w:p>
      </w:docPartBody>
    </w:docPart>
    <w:docPart>
      <w:docPartPr>
        <w:name w:val="F91AA1690D4B41ADA1232D321A4DFC8C"/>
        <w:category>
          <w:name w:val="General"/>
          <w:gallery w:val="placeholder"/>
        </w:category>
        <w:types>
          <w:type w:val="bbPlcHdr"/>
        </w:types>
        <w:behaviors>
          <w:behavior w:val="content"/>
        </w:behaviors>
        <w:guid w:val="{DA751644-1E09-4554-A555-AB17FB0BA244}"/>
      </w:docPartPr>
      <w:docPartBody>
        <w:p w:rsidR="006F249D" w:rsidRDefault="003D2D3F">
          <w:r w:rsidRPr="001D6AED">
            <w:rPr>
              <w:rStyle w:val="PlaceholderText"/>
            </w:rPr>
            <w:t>Formatting... please wait</w:t>
          </w:r>
        </w:p>
      </w:docPartBody>
    </w:docPart>
    <w:docPart>
      <w:docPartPr>
        <w:name w:val="4CD49DCED85F4AB7A77F14B63DF54D8A"/>
        <w:category>
          <w:name w:val="General"/>
          <w:gallery w:val="placeholder"/>
        </w:category>
        <w:types>
          <w:type w:val="bbPlcHdr"/>
        </w:types>
        <w:behaviors>
          <w:behavior w:val="content"/>
        </w:behaviors>
        <w:guid w:val="{B552E903-C909-4872-B1E2-54D5D1C4FA56}"/>
      </w:docPartPr>
      <w:docPartBody>
        <w:p w:rsidR="006F249D" w:rsidRDefault="003D2D3F">
          <w:r w:rsidRPr="001D6AED">
            <w:rPr>
              <w:rStyle w:val="PlaceholderText"/>
            </w:rPr>
            <w:t>Formatting... please wait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OT1ef757c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D3F"/>
    <w:rsid w:val="003D2D3F"/>
    <w:rsid w:val="006F249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D3F"/>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D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20873F-6187-424E-A98C-B3974281A8FA}">
  <we:reference id="wa104380122" version="1.0.0.1" store="en-US" storeType="OMEX"/>
  <we:alternateReferences>
    <we:reference id="wa104380122" version="1.0.0.1" store="wa104380122" storeType="OMEX"/>
  </we:alternateReferences>
  <we:properties>
    <we:property name="cit:973182464" value="&quot;{\&quot;docs\&quot;:[{\&quot;id\&quot;:\&quot;doc:595a5a50e4b0a75b62f5ad25\&quot;,\&quot;pageReplace\&quot;:\&quot;\&quot;,\&quot;author\&quot;:true,\&quot;year\&quot;:true,\&quot;prefix\&quot;:\&quot;\&quot;,\&quot;suffix\&quot;:\&quot;\&quot;}],\&quot;position\&quot;:\&quot;body\&quot;}&quot;"/>
    <we:property name="cit:318317124" value="&quot;{\&quot;docs\&quot;:[{\&quot;id\&quot;:\&quot;doc:595a5a50e4b0a75b62f5ad25\&quot;,\&quot;pageReplace\&quot;:\&quot;\&quot;,\&quot;author\&quot;:true,\&quot;year\&quot;:true,\&quot;prefix\&quot;:\&quot;\&quot;,\&quot;suffix\&quot;:\&quot;\&quot;}],\&quot;position\&quot;:\&quot;body\&quot;}&quot;"/>
    <we:property name="cit:1662112042" value="&quot;{\&quot;docs\&quot;:[{\&quot;id\&quot;:\&quot;doc:595a5a50e4b0a75b62f5ad25\&quot;,\&quot;pageReplace\&quot;:\&quot;\&quot;,\&quot;author\&quot;:true,\&quot;year\&quot;:true,\&quot;prefix\&quot;:\&quot;\&quot;,\&quot;suffix\&quot;:\&quot;\&quot;}],\&quot;position\&quot;:\&quot;body\&quot;}&quot;"/>
    <we:property name="cit:_1230773328" value="&quot;{\&quot;docs\&quot;:[{\&quot;id\&quot;:\&quot;doc:595a5a50e4b0a75b62f5ad25\&quot;,\&quot;pageReplace\&quot;:\&quot;\&quot;,\&quot;author\&quot;:true,\&quot;year\&quot;:true,\&quot;prefix\&quot;:\&quot;\&quot;,\&quot;suffix\&quot;:\&quot;\&quot;}],\&quot;position\&quot;:\&quot;body\&quot;}&quot;"/>
    <we:property name="cit:_1096931604" value="&quot;{\&quot;docs\&quot;:[{\&quot;id\&quot;:\&quot;doc:595a52a3e4b01e3c0c2055f9\&quot;,\&quot;pageReplace\&quot;:\&quot;\&quot;,\&quot;author\&quot;:true,\&quot;year\&quot;:true,\&quot;prefix\&quot;:\&quot;\&quot;,\&quot;suffix\&quot;:\&quot;\&quot;}],\&quot;position\&quot;:\&quot;body\&quot;}&quot;"/>
    <we:property name="cit:1234741323" value="&quot;{\&quot;docs\&quot;:[{\&quot;id\&quot;:\&quot;doc:595a59fae4b0ea004a7b4a9c\&quot;,\&quot;pageReplace\&quot;:\&quot;\&quot;,\&quot;author\&quot;:true,\&quot;year\&quot;:true,\&quot;prefix\&quot;:\&quot;\&quot;,\&quot;suffix\&quot;:\&quot;\&quot;}],\&quot;position\&quot;:\&quot;body\&quot;}&quot;"/>
    <we:property name="cit:369734304" value="&quot;{\&quot;docs\&quot;:[{\&quot;id\&quot;:\&quot;doc:595a59fae4b0ea004a7b4a9c\&quot;,\&quot;pageReplace\&quot;:\&quot;\&quot;,\&quot;author\&quot;:true,\&quot;year\&quot;:true,\&quot;prefix\&quot;:\&quot;\&quot;,\&quot;suffix\&quot;:\&quot;\&quot;}],\&quot;position\&quot;:\&quot;body\&quot;}&quot;"/>
    <we:property name="cit:433941864" value="&quot;{\&quot;docs\&quot;:[{\&quot;id\&quot;:\&quot;doc:595b99cce4b0ea004a7b6d9c\&quot;,\&quot;pageReplace\&quot;:\&quot;\&quot;,\&quot;author\&quot;:true,\&quot;year\&quot;:true,\&quot;prefix\&quot;:\&quot;\&quot;,\&quot;suffix\&quot;:\&quot;\&quot;}],\&quot;position\&quot;:\&quot;body\&quot;}&quot;"/>
    <we:property name="cit:713617814" value="&quot;{\&quot;docs\&quot;:[{\&quot;id\&quot;:\&quot;doc:595b99cce4b0ea004a7b6d9c\&quot;,\&quot;pageReplace\&quot;:\&quot;\&quot;,\&quot;author\&quot;:true,\&quot;year\&quot;:true,\&quot;prefix\&quot;:\&quot;\&quot;,\&quot;suffix\&quot;:\&quot;\&quot;}],\&quot;position\&quot;:\&quot;body\&quot;}&quot;"/>
    <we:property name="biblioId" value="1063752623"/>
    <we:property name="citationStyle" value="&quot;{\&quot;id\&quot;:\&quot;rwuserstyle:595c74ae523c1f07b8c5b5c2\&quot;,\&quot;name\&quot;:\&quot;Stem Cells_ Heidi\&quot;,\&quot;userId\&quot;:\&quot;user:5813381fe4b016c6acfec9c0\&quot;,\&quot;isInstitutional\&quot;:false,\&quot;isSorted\&quot;:false,\&quot;usesNumbers\&quot;:true,\&quot;$$hashKey\&quot;:\&quot;object:99\&quot;}&quot;"/>
    <we:property name="contentControlsValues" value="&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4222F-DCB8-4ECD-9586-CA84E4A4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Tampereen yliopisto - University of Tampere</Company>
  <LinksUpToDate>false</LinksUpToDate>
  <CharactersWithSpaces>23937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Hongisto</dc:creator>
  <cp:keywords/>
  <dc:description/>
  <cp:lastModifiedBy>Sevilla, Hernando Jr.</cp:lastModifiedBy>
  <cp:revision>20</cp:revision>
  <dcterms:created xsi:type="dcterms:W3CDTF">2017-08-01T10:13:00Z</dcterms:created>
  <dcterms:modified xsi:type="dcterms:W3CDTF">2017-12-22T18:03:00Z</dcterms:modified>
</cp:coreProperties>
</file>