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348" w:rsidRPr="001A09CB" w:rsidRDefault="000C6348" w:rsidP="000C6348">
      <w:pPr>
        <w:numPr>
          <w:ilvl w:val="0"/>
          <w:numId w:val="1"/>
        </w:numPr>
        <w:spacing w:line="480" w:lineRule="auto"/>
        <w:rPr>
          <w:rFonts w:ascii="Times New Roman" w:eastAsia="宋体" w:hAnsi="Times New Roman" w:cs="Times New Roman"/>
          <w:sz w:val="24"/>
          <w:u w:val="single"/>
        </w:rPr>
      </w:pPr>
      <w:r w:rsidRPr="001A09CB">
        <w:rPr>
          <w:rFonts w:ascii="Times New Roman" w:eastAsia="宋体" w:hAnsi="Times New Roman" w:cs="Times New Roman"/>
          <w:sz w:val="24"/>
          <w:u w:val="single"/>
        </w:rPr>
        <w:t>Isolation of UC-MSCs</w:t>
      </w:r>
    </w:p>
    <w:p w:rsidR="000C6348" w:rsidRPr="001A09CB" w:rsidRDefault="000C6348" w:rsidP="000C6348">
      <w:pPr>
        <w:spacing w:line="480" w:lineRule="auto"/>
        <w:rPr>
          <w:rFonts w:ascii="Times New Roman" w:eastAsia="宋体" w:hAnsi="Times New Roman" w:cs="Times New Roman"/>
          <w:sz w:val="24"/>
        </w:rPr>
      </w:pPr>
      <w:r w:rsidRPr="001A09CB">
        <w:rPr>
          <w:rFonts w:ascii="Times New Roman" w:eastAsia="宋体" w:hAnsi="Times New Roman" w:cs="Times New Roman" w:hint="eastAsia"/>
          <w:sz w:val="24"/>
        </w:rPr>
        <w:t>Human newborn umbilical cord tissues were conserved into sterile phosphate-buffered saline (PBS</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Gibco,14190-136 ) containing 2% of penicillin / streptomycin (SP</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Gibco,15140-122 ) and transported on ice. UC tissues were sectioned into 2-cm sections and wash</w:t>
      </w:r>
      <w:r w:rsidRPr="001A09CB">
        <w:rPr>
          <w:rFonts w:ascii="Times New Roman" w:eastAsia="宋体" w:hAnsi="Times New Roman" w:cs="Times New Roman"/>
          <w:sz w:val="24"/>
        </w:rPr>
        <w:t>ed twice in PBS to remove contaminating blood cells. Umbilical arteries and vein were removed, and the remaining tissues were cut into 1-mm3 pieces. Tissue fragments were attached to T225 cell culture flasks, cultured in xeno-free MSC culture medium (Mesen</w:t>
      </w:r>
      <w:r w:rsidRPr="001A09CB">
        <w:rPr>
          <w:rFonts w:ascii="Times New Roman" w:eastAsia="宋体" w:hAnsi="Times New Roman" w:cs="Times New Roman" w:hint="eastAsia"/>
          <w:sz w:val="24"/>
        </w:rPr>
        <w:t>Cult</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xml:space="preserve"> MSC Basal Medium + MesenCult</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xml:space="preserve"> MSC Stimulatory Supplement, STEMCELL Technologies) and then placed into 37</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5% CO2 incubator. Medium was changed every two days.  Adherent cells could be observed and were passaged after 7 or 10 days.</w:t>
      </w:r>
    </w:p>
    <w:p w:rsidR="000C6348" w:rsidRPr="001A09CB" w:rsidRDefault="000C6348" w:rsidP="000C6348">
      <w:pPr>
        <w:spacing w:line="480" w:lineRule="auto"/>
        <w:rPr>
          <w:rFonts w:ascii="Times New Roman" w:eastAsia="宋体" w:hAnsi="Times New Roman" w:cs="Times New Roman"/>
          <w:sz w:val="24"/>
        </w:rPr>
      </w:pPr>
    </w:p>
    <w:p w:rsidR="000C6348" w:rsidRPr="001A09CB" w:rsidRDefault="000C6348" w:rsidP="000C6348">
      <w:pPr>
        <w:numPr>
          <w:ilvl w:val="0"/>
          <w:numId w:val="1"/>
        </w:numPr>
        <w:spacing w:line="480" w:lineRule="auto"/>
        <w:rPr>
          <w:rFonts w:ascii="Times New Roman" w:eastAsia="宋体" w:hAnsi="Times New Roman" w:cs="Times New Roman"/>
          <w:sz w:val="24"/>
          <w:u w:val="single"/>
        </w:rPr>
      </w:pPr>
      <w:r w:rsidRPr="001A09CB">
        <w:rPr>
          <w:rFonts w:ascii="Times New Roman" w:eastAsia="宋体" w:hAnsi="Times New Roman" w:cs="Times New Roman"/>
          <w:sz w:val="24"/>
          <w:u w:val="single"/>
        </w:rPr>
        <w:t>Passage of UC-MSCs</w:t>
      </w:r>
    </w:p>
    <w:p w:rsidR="000C6348" w:rsidRDefault="000C6348" w:rsidP="000C6348">
      <w:pPr>
        <w:spacing w:line="480" w:lineRule="auto"/>
        <w:rPr>
          <w:rFonts w:ascii="Times New Roman" w:eastAsia="宋体" w:hAnsi="Times New Roman" w:cs="Times New Roman"/>
          <w:sz w:val="24"/>
        </w:rPr>
      </w:pPr>
      <w:r w:rsidRPr="001A09CB">
        <w:rPr>
          <w:rFonts w:ascii="Times New Roman" w:eastAsia="宋体" w:hAnsi="Times New Roman" w:cs="Times New Roman" w:hint="eastAsia"/>
          <w:sz w:val="24"/>
        </w:rPr>
        <w:t xml:space="preserve">Medium was discarded and Cells were washed with PBS at room temperature. Pre-warmed Tryple was used to digest UC-MSCs for 2 to 3 </w:t>
      </w:r>
      <w:r w:rsidRPr="001A09CB">
        <w:rPr>
          <w:rFonts w:ascii="Times New Roman" w:eastAsia="宋体" w:hAnsi="Times New Roman" w:cs="Times New Roman"/>
          <w:sz w:val="24"/>
        </w:rPr>
        <w:t>minutes</w:t>
      </w:r>
      <w:r w:rsidRPr="001A09CB">
        <w:rPr>
          <w:rFonts w:ascii="Times New Roman" w:eastAsia="宋体" w:hAnsi="Times New Roman" w:cs="Times New Roman" w:hint="eastAsia"/>
          <w:sz w:val="24"/>
        </w:rPr>
        <w:t xml:space="preserve"> at 37 </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xml:space="preserve">. Digestion was terminated by MSC culture medium. Cells were resuspended by fresh MSC culture medium, counted and then seeded into 100-mm cell culture dishes at 1 </w:t>
      </w:r>
      <w:r w:rsidRPr="008A152C">
        <w:rPr>
          <w:rFonts w:ascii="Times New Roman" w:eastAsia="宋体" w:hAnsi="Times New Roman" w:cs="Times New Roman"/>
          <w:sz w:val="24"/>
        </w:rPr>
        <w:t>×</w:t>
      </w:r>
      <w:r w:rsidRPr="001A09CB">
        <w:rPr>
          <w:rFonts w:ascii="Times New Roman" w:eastAsia="宋体" w:hAnsi="Times New Roman" w:cs="Times New Roman" w:hint="eastAsia"/>
          <w:sz w:val="24"/>
        </w:rPr>
        <w:t xml:space="preserve"> 10</w:t>
      </w:r>
      <w:r w:rsidRPr="008A152C">
        <w:rPr>
          <w:rFonts w:ascii="Times New Roman" w:eastAsia="宋体" w:hAnsi="Times New Roman" w:cs="Times New Roman" w:hint="eastAsia"/>
          <w:sz w:val="24"/>
          <w:vertAlign w:val="superscript"/>
        </w:rPr>
        <w:t>6</w:t>
      </w:r>
      <w:r w:rsidRPr="001A09CB">
        <w:rPr>
          <w:rFonts w:ascii="Times New Roman" w:eastAsia="宋体" w:hAnsi="Times New Roman" w:cs="Times New Roman" w:hint="eastAsia"/>
          <w:sz w:val="24"/>
        </w:rPr>
        <w:t xml:space="preserve"> cells/dish. Cultures were placed into 37</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xml:space="preserve">, 5% CO2 incubator. </w:t>
      </w:r>
    </w:p>
    <w:p w:rsidR="000C6348" w:rsidRPr="001A09CB" w:rsidRDefault="000C6348" w:rsidP="000C6348">
      <w:pPr>
        <w:spacing w:line="480" w:lineRule="auto"/>
        <w:rPr>
          <w:rFonts w:ascii="Times New Roman" w:eastAsia="宋体" w:hAnsi="Times New Roman" w:cs="Times New Roman"/>
          <w:sz w:val="24"/>
        </w:rPr>
      </w:pPr>
    </w:p>
    <w:p w:rsidR="000C6348" w:rsidRPr="001A09CB" w:rsidRDefault="000C6348" w:rsidP="000C6348">
      <w:pPr>
        <w:numPr>
          <w:ilvl w:val="0"/>
          <w:numId w:val="1"/>
        </w:numPr>
        <w:spacing w:line="480" w:lineRule="auto"/>
        <w:rPr>
          <w:rFonts w:ascii="Times New Roman" w:eastAsia="宋体" w:hAnsi="Times New Roman" w:cs="Times New Roman"/>
          <w:sz w:val="24"/>
          <w:u w:val="single"/>
        </w:rPr>
      </w:pPr>
      <w:r w:rsidRPr="001A09CB">
        <w:rPr>
          <w:rFonts w:ascii="Times New Roman" w:eastAsia="宋体" w:hAnsi="Times New Roman" w:cs="Times New Roman"/>
          <w:sz w:val="24"/>
          <w:u w:val="single"/>
        </w:rPr>
        <w:t>Biosafety evaluation</w:t>
      </w:r>
    </w:p>
    <w:p w:rsidR="000C6348" w:rsidRPr="001A09CB" w:rsidRDefault="000C6348" w:rsidP="000C6348">
      <w:pPr>
        <w:spacing w:line="480" w:lineRule="auto"/>
        <w:rPr>
          <w:rFonts w:ascii="Times New Roman" w:eastAsia="宋体" w:hAnsi="Times New Roman" w:cs="Times New Roman"/>
          <w:sz w:val="24"/>
        </w:rPr>
      </w:pPr>
      <w:r w:rsidRPr="001A09CB">
        <w:rPr>
          <w:rFonts w:ascii="Times New Roman" w:eastAsia="宋体" w:hAnsi="Times New Roman" w:cs="Times New Roman"/>
          <w:sz w:val="24"/>
        </w:rPr>
        <w:t xml:space="preserve">The tested items are listed in Table </w:t>
      </w:r>
      <w:r>
        <w:rPr>
          <w:rFonts w:ascii="Times New Roman" w:eastAsia="宋体" w:hAnsi="Times New Roman" w:cs="Times New Roman"/>
          <w:sz w:val="24"/>
        </w:rPr>
        <w:t>S</w:t>
      </w:r>
      <w:r w:rsidRPr="001A09CB">
        <w:rPr>
          <w:rFonts w:ascii="Times New Roman" w:eastAsia="宋体" w:hAnsi="Times New Roman" w:cs="Times New Roman"/>
          <w:sz w:val="24"/>
        </w:rPr>
        <w:t>1. The “Pharmacopoeia of the People's Republic</w:t>
      </w:r>
      <w:r>
        <w:rPr>
          <w:rFonts w:ascii="Times New Roman" w:eastAsia="宋体" w:hAnsi="Times New Roman" w:cs="Times New Roman"/>
          <w:sz w:val="24"/>
        </w:rPr>
        <w:t xml:space="preserve"> of China, Edition 2010, Volume</w:t>
      </w:r>
      <w:r w:rsidRPr="001A09CB">
        <w:rPr>
          <w:rFonts w:ascii="Times New Roman" w:eastAsia="宋体" w:hAnsi="Times New Roman" w:cs="Times New Roman"/>
          <w:sz w:val="24"/>
        </w:rPr>
        <w:t>III” was used as a reference for the testing methods.</w:t>
      </w:r>
    </w:p>
    <w:p w:rsidR="000C6348" w:rsidRPr="001A09CB" w:rsidRDefault="000C6348" w:rsidP="000C6348">
      <w:pPr>
        <w:spacing w:line="480" w:lineRule="auto"/>
        <w:rPr>
          <w:rFonts w:ascii="Times New Roman" w:eastAsia="宋体" w:hAnsi="Times New Roman" w:cs="Times New Roman"/>
          <w:sz w:val="24"/>
        </w:rPr>
      </w:pPr>
    </w:p>
    <w:p w:rsidR="000C6348" w:rsidRPr="000C6348" w:rsidRDefault="000C6348" w:rsidP="002517D5">
      <w:pPr>
        <w:spacing w:line="480" w:lineRule="auto"/>
        <w:rPr>
          <w:rFonts w:ascii="Times New Roman" w:eastAsia="宋体" w:hAnsi="Times New Roman" w:cs="Times New Roman"/>
          <w:sz w:val="24"/>
          <w:u w:val="single"/>
        </w:rPr>
      </w:pPr>
      <w:bookmarkStart w:id="0" w:name="_GoBack"/>
      <w:bookmarkEnd w:id="0"/>
    </w:p>
    <w:p w:rsidR="002517D5" w:rsidRPr="001A09CB" w:rsidRDefault="002517D5" w:rsidP="002517D5">
      <w:pPr>
        <w:numPr>
          <w:ilvl w:val="0"/>
          <w:numId w:val="1"/>
        </w:numPr>
        <w:spacing w:line="480" w:lineRule="auto"/>
        <w:rPr>
          <w:rFonts w:ascii="Times New Roman" w:eastAsia="宋体" w:hAnsi="Times New Roman" w:cs="Times New Roman"/>
          <w:sz w:val="24"/>
          <w:u w:val="single"/>
        </w:rPr>
      </w:pPr>
      <w:r w:rsidRPr="001A09CB">
        <w:rPr>
          <w:rFonts w:ascii="Times New Roman" w:eastAsia="宋体" w:hAnsi="Times New Roman" w:cs="Times New Roman"/>
          <w:sz w:val="24"/>
          <w:u w:val="single"/>
        </w:rPr>
        <w:t>Cryopreservation of UC-MSCs</w:t>
      </w:r>
    </w:p>
    <w:p w:rsidR="002517D5" w:rsidRPr="001A09CB" w:rsidRDefault="002517D5" w:rsidP="002517D5">
      <w:pPr>
        <w:spacing w:line="480" w:lineRule="auto"/>
        <w:rPr>
          <w:rFonts w:ascii="Times New Roman" w:eastAsia="宋体" w:hAnsi="Times New Roman" w:cs="Times New Roman"/>
          <w:sz w:val="24"/>
        </w:rPr>
      </w:pPr>
      <w:r w:rsidRPr="001A09CB">
        <w:rPr>
          <w:rFonts w:ascii="Times New Roman" w:eastAsia="宋体" w:hAnsi="Times New Roman" w:cs="Times New Roman"/>
          <w:sz w:val="24"/>
        </w:rPr>
        <w:t xml:space="preserve">UC-MSCs were digested as described in Passage of UC-MSCs. Serum-free and animal component- free cryomedia, STEM-CELLBANKER GMP (CELLBANKER) was added to resuspend and subpackage cells into frozen vials. After freezing in Nalge Nunc Cryo containers overnight in a freezer at 80 </w:t>
      </w:r>
      <w:r w:rsidRPr="000D1F4D">
        <w:rPr>
          <w:rFonts w:ascii="Times New Roman" w:eastAsia="宋体" w:hAnsi="Times New Roman" w:cs="Times New Roman"/>
          <w:sz w:val="24"/>
        </w:rPr>
        <w:t>℃</w:t>
      </w:r>
      <w:r w:rsidRPr="001A09CB">
        <w:rPr>
          <w:rFonts w:ascii="Times New Roman" w:eastAsia="宋体" w:hAnsi="Times New Roman" w:cs="Times New Roman"/>
          <w:sz w:val="24"/>
        </w:rPr>
        <w:t xml:space="preserve">, the vials were transported in the gas phase of a liquid nitrogen tank. </w:t>
      </w:r>
    </w:p>
    <w:p w:rsidR="002517D5" w:rsidRPr="001A09CB" w:rsidRDefault="002517D5" w:rsidP="002517D5">
      <w:pPr>
        <w:spacing w:line="480" w:lineRule="auto"/>
        <w:rPr>
          <w:rFonts w:ascii="Times New Roman" w:eastAsia="宋体" w:hAnsi="Times New Roman" w:cs="Times New Roman"/>
          <w:sz w:val="24"/>
        </w:rPr>
      </w:pPr>
    </w:p>
    <w:p w:rsidR="002517D5" w:rsidRPr="001A09CB" w:rsidRDefault="002517D5" w:rsidP="002517D5">
      <w:pPr>
        <w:numPr>
          <w:ilvl w:val="0"/>
          <w:numId w:val="1"/>
        </w:numPr>
        <w:spacing w:line="480" w:lineRule="auto"/>
        <w:rPr>
          <w:rFonts w:ascii="Times New Roman" w:eastAsia="宋体" w:hAnsi="Times New Roman" w:cs="Times New Roman"/>
          <w:sz w:val="24"/>
          <w:u w:val="single"/>
        </w:rPr>
      </w:pPr>
      <w:r w:rsidRPr="001A09CB">
        <w:rPr>
          <w:rFonts w:ascii="Times New Roman" w:eastAsia="宋体" w:hAnsi="Times New Roman" w:cs="Times New Roman"/>
          <w:sz w:val="24"/>
          <w:u w:val="single"/>
        </w:rPr>
        <w:t>UC-MSC Thawing</w:t>
      </w:r>
    </w:p>
    <w:p w:rsidR="002517D5" w:rsidRPr="001A09CB" w:rsidRDefault="002517D5" w:rsidP="002517D5">
      <w:pPr>
        <w:spacing w:line="480" w:lineRule="auto"/>
        <w:rPr>
          <w:rFonts w:ascii="Times New Roman" w:eastAsia="宋体" w:hAnsi="Times New Roman" w:cs="Times New Roman"/>
          <w:sz w:val="24"/>
        </w:rPr>
      </w:pPr>
      <w:r w:rsidRPr="001A09CB">
        <w:rPr>
          <w:rFonts w:ascii="Times New Roman" w:eastAsia="宋体" w:hAnsi="Times New Roman" w:cs="Times New Roman" w:hint="eastAsia"/>
          <w:sz w:val="24"/>
        </w:rPr>
        <w:t>Cell suspension stored in frozen tubes was thawed in 37</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xml:space="preserve"> water bath, and then quickly transferred into 15-ml centrifuge tubes containing pre-warmed MSC culture medium. Cells were resuspended by fresh MSC culture medium after centrifugation, counted and then seeded into 100-mm cell culture dishes at 1 </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xml:space="preserve"> 106 cells/dish. Cultures were placed into 37</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5% CO2 incubator.</w:t>
      </w:r>
    </w:p>
    <w:p w:rsidR="002517D5" w:rsidRPr="001A09CB" w:rsidRDefault="002517D5" w:rsidP="002517D5">
      <w:pPr>
        <w:spacing w:line="480" w:lineRule="auto"/>
        <w:rPr>
          <w:rFonts w:ascii="Times New Roman" w:eastAsia="宋体" w:hAnsi="Times New Roman" w:cs="Times New Roman"/>
          <w:sz w:val="24"/>
        </w:rPr>
      </w:pPr>
    </w:p>
    <w:p w:rsidR="002517D5" w:rsidRPr="008A152C" w:rsidRDefault="002517D5" w:rsidP="002517D5">
      <w:pPr>
        <w:numPr>
          <w:ilvl w:val="0"/>
          <w:numId w:val="1"/>
        </w:numPr>
        <w:spacing w:line="480" w:lineRule="auto"/>
        <w:rPr>
          <w:rFonts w:ascii="Times New Roman" w:eastAsia="宋体" w:hAnsi="Times New Roman" w:cs="Times New Roman"/>
          <w:sz w:val="24"/>
          <w:u w:val="single"/>
        </w:rPr>
      </w:pPr>
      <w:r w:rsidRPr="008A152C">
        <w:rPr>
          <w:rFonts w:ascii="Times New Roman" w:eastAsia="宋体" w:hAnsi="Times New Roman" w:cs="Times New Roman"/>
          <w:sz w:val="24"/>
          <w:u w:val="single"/>
        </w:rPr>
        <w:t>Adipogenic, osteogenic and chondrogenic differentiation</w:t>
      </w:r>
    </w:p>
    <w:p w:rsidR="002517D5" w:rsidRPr="001A09CB" w:rsidRDefault="002517D5" w:rsidP="002517D5">
      <w:pPr>
        <w:spacing w:line="480" w:lineRule="auto"/>
        <w:rPr>
          <w:rFonts w:ascii="Times New Roman" w:eastAsia="宋体" w:hAnsi="Times New Roman" w:cs="Times New Roman"/>
          <w:sz w:val="24"/>
        </w:rPr>
      </w:pPr>
      <w:r w:rsidRPr="001A09CB">
        <w:rPr>
          <w:rFonts w:ascii="Times New Roman" w:eastAsia="宋体" w:hAnsi="Times New Roman" w:cs="Times New Roman"/>
          <w:sz w:val="24"/>
        </w:rPr>
        <w:t>For adipogenic differentiation, UC-MSCs were digested by 0.05% trypsin as described before, resuspended by fresh MSC culture medium and seeded into 4-well plates containing slides at 4 × 104 cells/well. MSC culture medium was replaced by adipogenic differ</w:t>
      </w:r>
      <w:r w:rsidRPr="001A09CB">
        <w:rPr>
          <w:rFonts w:ascii="Times New Roman" w:eastAsia="宋体" w:hAnsi="Times New Roman" w:cs="Times New Roman" w:hint="eastAsia"/>
          <w:sz w:val="24"/>
        </w:rPr>
        <w:t xml:space="preserve">entiation medium </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R&amp;D, SC006</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prepared as instruction manual told</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xml:space="preserve"> at 100% confluence. Fat vesicles could be observed 1 to 3 weeks later. For </w:t>
      </w:r>
      <w:r w:rsidRPr="001A09CB">
        <w:rPr>
          <w:rFonts w:ascii="Times New Roman" w:eastAsia="宋体" w:hAnsi="Times New Roman" w:cs="Times New Roman" w:hint="eastAsia"/>
          <w:sz w:val="24"/>
        </w:rPr>
        <w:lastRenderedPageBreak/>
        <w:t xml:space="preserve">osteogenic differentiation, UC-MSCs were digested by 0.05% trypsin as described before, resuspended by fresh MSC culture medium and seeded into 4-well plates containing slides at 1 </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xml:space="preserve"> 104 cells/well. MSC culture medium was replaced by osteogenic differentiation medium </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R&amp;D, SC006</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prepared as instruction manual told</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xml:space="preserve"> at 70% confluence. Calcium deposition could be observ</w:t>
      </w:r>
      <w:r w:rsidRPr="001A09CB">
        <w:rPr>
          <w:rFonts w:ascii="Times New Roman" w:eastAsia="宋体" w:hAnsi="Times New Roman" w:cs="Times New Roman"/>
          <w:sz w:val="24"/>
        </w:rPr>
        <w:t>ed 3 weeks later. For chondrogenic differentiation, UC-MSCs were digested by 0.05% trypsin as described before, resuspended by fresh MSC culture medium and seeded into 15-ml centrifuge tubes at 2.5 × 105 cells/tube. MSC culture medium was replaced by chon</w:t>
      </w:r>
      <w:r w:rsidRPr="001A09CB">
        <w:rPr>
          <w:rFonts w:ascii="Times New Roman" w:eastAsia="宋体" w:hAnsi="Times New Roman" w:cs="Times New Roman" w:hint="eastAsia"/>
          <w:sz w:val="24"/>
        </w:rPr>
        <w:t xml:space="preserve">drogenic differentiation medium (without supplement), and then 500 </w:t>
      </w:r>
      <w:r w:rsidRPr="001A09CB">
        <w:rPr>
          <w:rFonts w:ascii="Times New Roman" w:eastAsia="宋体" w:hAnsi="Times New Roman" w:cs="Times New Roman" w:hint="eastAsia"/>
          <w:sz w:val="24"/>
        </w:rPr>
        <w:t>μ</w:t>
      </w:r>
      <w:r w:rsidRPr="001A09CB">
        <w:rPr>
          <w:rFonts w:ascii="Times New Roman" w:eastAsia="宋体" w:hAnsi="Times New Roman" w:cs="Times New Roman" w:hint="eastAsia"/>
          <w:sz w:val="24"/>
        </w:rPr>
        <w:t xml:space="preserve">l of chondrogenic differentiation medium </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R&amp;D, SC006</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prepared as instruction manual told</w:t>
      </w:r>
      <w:r w:rsidRPr="001A09CB">
        <w:rPr>
          <w:rFonts w:ascii="Times New Roman" w:eastAsia="宋体" w:hAnsi="Times New Roman" w:cs="Times New Roman" w:hint="eastAsia"/>
          <w:sz w:val="24"/>
        </w:rPr>
        <w:t>）</w:t>
      </w:r>
      <w:r w:rsidRPr="001A09CB">
        <w:rPr>
          <w:rFonts w:ascii="Times New Roman" w:eastAsia="宋体" w:hAnsi="Times New Roman" w:cs="Times New Roman" w:hint="eastAsia"/>
          <w:sz w:val="24"/>
        </w:rPr>
        <w:t xml:space="preserve"> was used to resuspend UC-MSCs. 15-ml centrifuge tubes containing cells were placed into incubator</w:t>
      </w:r>
      <w:r w:rsidRPr="001A09CB">
        <w:rPr>
          <w:rFonts w:ascii="Times New Roman" w:eastAsia="宋体" w:hAnsi="Times New Roman" w:cs="Times New Roman"/>
          <w:sz w:val="24"/>
        </w:rPr>
        <w:t>s after centrifugation (without discarding supernatant), and cultured for 3 weeks. Immunohistochemical staining was carried out 21 days after differentiation, including Oil-red O (ALORICH, 234117), Alizarin Red (Sigma, A3882) and Alcian Blue (Sigma, A5268).</w:t>
      </w:r>
    </w:p>
    <w:p w:rsidR="002517D5" w:rsidRPr="001A09CB" w:rsidRDefault="002517D5" w:rsidP="002517D5">
      <w:pPr>
        <w:spacing w:line="480" w:lineRule="auto"/>
        <w:rPr>
          <w:rFonts w:ascii="Times New Roman" w:eastAsia="宋体" w:hAnsi="Times New Roman" w:cs="Times New Roman"/>
          <w:sz w:val="24"/>
        </w:rPr>
      </w:pPr>
    </w:p>
    <w:p w:rsidR="002517D5" w:rsidRPr="001A09CB" w:rsidRDefault="002517D5" w:rsidP="002517D5">
      <w:pPr>
        <w:numPr>
          <w:ilvl w:val="0"/>
          <w:numId w:val="1"/>
        </w:numPr>
        <w:spacing w:line="480" w:lineRule="auto"/>
        <w:rPr>
          <w:rFonts w:ascii="Times New Roman" w:eastAsia="宋体" w:hAnsi="Times New Roman" w:cs="Times New Roman"/>
          <w:sz w:val="24"/>
          <w:u w:val="single"/>
        </w:rPr>
      </w:pPr>
      <w:r w:rsidRPr="001A09CB">
        <w:rPr>
          <w:rFonts w:ascii="Times New Roman" w:eastAsia="宋体" w:hAnsi="Times New Roman" w:cs="Times New Roman"/>
          <w:sz w:val="24"/>
          <w:u w:val="single"/>
        </w:rPr>
        <w:t>Immunofluorescence staining</w:t>
      </w:r>
    </w:p>
    <w:p w:rsidR="002517D5" w:rsidRPr="001A09CB" w:rsidRDefault="002517D5" w:rsidP="002517D5">
      <w:pPr>
        <w:spacing w:line="480" w:lineRule="auto"/>
        <w:rPr>
          <w:rFonts w:ascii="Times New Roman" w:eastAsia="宋体" w:hAnsi="Times New Roman" w:cs="Times New Roman"/>
          <w:sz w:val="24"/>
        </w:rPr>
      </w:pPr>
      <w:r w:rsidRPr="001A09CB">
        <w:rPr>
          <w:rFonts w:ascii="Times New Roman" w:eastAsia="宋体" w:hAnsi="Times New Roman" w:cs="Times New Roman"/>
          <w:sz w:val="24"/>
        </w:rPr>
        <w:t>Immunofluorescence staining was performed as previously described</w:t>
      </w:r>
      <w:r w:rsidRPr="001A09CB">
        <w:rPr>
          <w:rFonts w:ascii="Times New Roman" w:eastAsia="宋体" w:hAnsi="Times New Roman" w:cs="Times New Roman"/>
          <w:sz w:val="24"/>
        </w:rPr>
        <w:fldChar w:fldCharType="begin" w:fldLock="1"/>
      </w:r>
      <w:r>
        <w:rPr>
          <w:rFonts w:ascii="Times New Roman" w:eastAsia="宋体" w:hAnsi="Times New Roman" w:cs="Times New Roman"/>
          <w:sz w:val="24"/>
        </w:rPr>
        <w:instrText>ADDIN CSL_CITATION { "citationItems" : [ { "id" : "ITEM-1", "itemData" : { "DOI" : "10.1016/j.gpb.2013.08.002", "ISSN" : "2210-3244", "PMID" : "24080286", "abstract" : "Human induced pluripotent stem cells (iPSCs) hold great promise for regenerative medicine. Generating iPSCs from immunologically immature newborn umbilical cord blood mononuclear cells (UCBMCs) is of great significance. Here we report generation of human iPSCs with great efficiency from UCBMCs using a dox-inducible lentiviral system carrying four Yamanaka factors. We generated these cells by optimizing the existing iPSC induction protocol. The UCBMC-derived iPSCs (UCB-iPSCs) have characteristics that are identical to pluripotent human embryonic stem cells (hESCs). This study highlights the use of UCBMCs to generate highly functional human iPSCs that could accelerate the development of cell-based regenerative therapy for patients suffering from various diseases.", "author" : [ { "dropping-particle" : "", "family" : "Wang", "given" : "Juan", "non-dropping-particle" : "", "parse-names" : false, "suffix" : "" }, { "dropping-particle" : "", "family" : "Gu", "given" : "Qi", "non-dropping-particle" : "", "parse-names" : false, "suffix" : "" }, { "dropping-particle" : "", "family" : "Hao", "given" : "Jie", "non-dropping-particle" : "", "parse-names" : false, "suffix" : "" }, { "dropping-particle" : "", "family" : "Bai", "given" : "Donghui", "non-dropping-particle" : "", "parse-names" : false, "suffix" : "" }, { "dropping-particle" : "", "family" : "Liu", "given" : "Lei", "non-dropping-particle" : "", "parse-names" : false, "suffix" : "" }, { "dropping-particle" : "", "family" : "Zhao", "given" : "Xiaoyang", "non-dropping-particle" : "", "parse-names" : false, "suffix" : "" }, { "dropping-particle" : "", "family" : "Liu", "given" : "Zhonghua", "non-dropping-particle" : "", "parse-names" : false, "suffix" : "" }, { "dropping-particle" : "", "family" : "Wang", "given" : "Liu", "non-dropping-particle" : "", "parse-names" : false, "suffix" : "" }, { "dropping-particle" : "", "family" : "Zhou", "given" : "Qi", "non-dropping-particle" : "", "parse-names" : false, "suffix" : "" } ], "container-title" : "Genomics, proteomics &amp; bioinformatics", "id" : "ITEM-1", "issued" : { "date-parts" : [ [ "2013" ] ] }, "page" : "304-11", "title" : "Generation of induced pluripotent stem cells with high efficiency from human umbilical cord blood mononuclear cells.", "type" : "article-journal", "volume" : "11" }, "uris" : [ "http://www.mendeley.com/documents/?uuid=b97589c2-3351-4c25-9fd0-301c870b0ca0" ] } ], "mendeley" : { "formattedCitation" : "&lt;sup&gt;26&lt;/sup&gt;", "plainTextFormattedCitation" : "26", "previouslyFormattedCitation" : "&lt;sup&gt;22&lt;/sup&gt;" }, "properties" : { "noteIndex" : 0 }, "schema" : "https://github.com/citation-style-language/schema/raw/master/csl-citation.json" }</w:instrText>
      </w:r>
      <w:r w:rsidRPr="001A09CB">
        <w:rPr>
          <w:rFonts w:ascii="Times New Roman" w:eastAsia="宋体" w:hAnsi="Times New Roman" w:cs="Times New Roman"/>
          <w:sz w:val="24"/>
        </w:rPr>
        <w:fldChar w:fldCharType="separate"/>
      </w:r>
      <w:r w:rsidRPr="004406FA">
        <w:rPr>
          <w:rFonts w:ascii="Times New Roman" w:eastAsia="宋体" w:hAnsi="Times New Roman" w:cs="Times New Roman"/>
          <w:noProof/>
          <w:sz w:val="24"/>
          <w:vertAlign w:val="superscript"/>
        </w:rPr>
        <w:t>26</w:t>
      </w:r>
      <w:r w:rsidRPr="001A09CB">
        <w:rPr>
          <w:rFonts w:ascii="Times New Roman" w:eastAsia="宋体" w:hAnsi="Times New Roman" w:cs="Times New Roman"/>
          <w:sz w:val="24"/>
        </w:rPr>
        <w:fldChar w:fldCharType="end"/>
      </w:r>
      <w:r w:rsidRPr="001A09CB">
        <w:rPr>
          <w:rFonts w:ascii="Times New Roman" w:eastAsia="宋体" w:hAnsi="Times New Roman" w:cs="Times New Roman"/>
          <w:sz w:val="24"/>
        </w:rPr>
        <w:t>. Cell samples were fixed with 4% (w/v) paraformaldehyde (PFA, P6147, Sigma) for 10 minutes and then permeabilized with 0.5% Triton X-100 (t8200, Solarbio) and blocked in 2% bovine serum albumin (BSA, A7906, Sigma) at 37°C for 10 minutes after rinsing. Samples were subsequently incubated with primary antibodies against FABP (Pierce, PA5-</w:t>
      </w:r>
      <w:r w:rsidRPr="001A09CB">
        <w:rPr>
          <w:rFonts w:ascii="Times New Roman" w:eastAsia="宋体" w:hAnsi="Times New Roman" w:cs="Times New Roman"/>
          <w:sz w:val="24"/>
        </w:rPr>
        <w:lastRenderedPageBreak/>
        <w:t>30591, 1:200), Osteocalcin (Pierce, PA5-11849, 1:200), Aggrecan (Pierce, MA3-16888, 1:200), at 4°C overnight. On day 2, the samples were rinsed and then incubated with the appropriate secondary antibodies donkey-anti-mouse-cy5 (Jackson ImmunoResearch, 715-605-151, 1:200), donkey-anti-goat-Cy5 (Jackson ImmunoResearch, 705-605-147, 1:200), or donkey-mouse-cy3 (Jackson ImmunoResearch, 715-165-150, 1:200) for 1 hour at 37°C. Nuclei were visualized by staining with Hoechst 33342 (10 μg/mL) or propidium iodide (PI, 5 μg/mL) for 10 minutes at room temperature.</w:t>
      </w:r>
    </w:p>
    <w:p w:rsidR="002517D5" w:rsidRPr="001A09CB" w:rsidRDefault="002517D5" w:rsidP="002517D5">
      <w:pPr>
        <w:spacing w:line="480" w:lineRule="auto"/>
        <w:rPr>
          <w:rFonts w:ascii="Times New Roman" w:eastAsia="宋体" w:hAnsi="Times New Roman" w:cs="Times New Roman"/>
          <w:sz w:val="24"/>
        </w:rPr>
      </w:pPr>
    </w:p>
    <w:p w:rsidR="002517D5" w:rsidRPr="001A09CB" w:rsidRDefault="002517D5" w:rsidP="002517D5">
      <w:pPr>
        <w:numPr>
          <w:ilvl w:val="0"/>
          <w:numId w:val="1"/>
        </w:numPr>
        <w:spacing w:line="480" w:lineRule="auto"/>
        <w:rPr>
          <w:rFonts w:ascii="Times New Roman" w:eastAsia="宋体" w:hAnsi="Times New Roman" w:cs="Times New Roman"/>
          <w:sz w:val="24"/>
          <w:u w:val="single"/>
        </w:rPr>
      </w:pPr>
      <w:r w:rsidRPr="001A09CB">
        <w:rPr>
          <w:rFonts w:ascii="Times New Roman" w:eastAsia="宋体" w:hAnsi="Times New Roman" w:cs="Times New Roman"/>
          <w:sz w:val="24"/>
          <w:u w:val="single"/>
        </w:rPr>
        <w:t xml:space="preserve">Flow cytometry </w:t>
      </w:r>
    </w:p>
    <w:p w:rsidR="00CF7789" w:rsidRDefault="002517D5" w:rsidP="002517D5">
      <w:pPr>
        <w:spacing w:line="480" w:lineRule="auto"/>
      </w:pPr>
      <w:r w:rsidRPr="001A09CB">
        <w:rPr>
          <w:rFonts w:ascii="Times New Roman" w:eastAsia="宋体" w:hAnsi="Times New Roman" w:cs="Times New Roman"/>
          <w:sz w:val="24"/>
        </w:rPr>
        <w:t>Cells were dissociated into single cells and then fixed with 4% PFA for 15 minutes at room temperature. After permeabilization in 0.1% Triton X-100 for 30 minutes at room temperature, the cells were stained with primary antibodies, followed by secondary antibodies diluted in PBS plus 2% BSA. Data were collected on the flow cytometer and analyzed using FlowJo software. Anti-human CD29 (BioLegend, 303004), anti-human CD105 (BioLegend, 323206), anti-human CD73 (BD, 550257), anti-human CD34 (BD, 555822), anti-human CD45 (eBioscience, 11-9459-42) were used. UC-MSCs only treated with secondary antibodies were used as a gating control in the experiments of pluripotency characterization. Undifferentiated UC-MSCs treated with the same antibodies were used as negative control for gating in differentiation experiments.</w:t>
      </w:r>
    </w:p>
    <w:sectPr w:rsidR="00CF77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75B" w:rsidRDefault="008F175B" w:rsidP="000C6348">
      <w:r>
        <w:separator/>
      </w:r>
    </w:p>
  </w:endnote>
  <w:endnote w:type="continuationSeparator" w:id="0">
    <w:p w:rsidR="008F175B" w:rsidRDefault="008F175B" w:rsidP="000C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75B" w:rsidRDefault="008F175B" w:rsidP="000C6348">
      <w:r>
        <w:separator/>
      </w:r>
    </w:p>
  </w:footnote>
  <w:footnote w:type="continuationSeparator" w:id="0">
    <w:p w:rsidR="008F175B" w:rsidRDefault="008F175B" w:rsidP="000C63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527EE9"/>
    <w:multiLevelType w:val="hybridMultilevel"/>
    <w:tmpl w:val="4E98ACD0"/>
    <w:lvl w:ilvl="0" w:tplc="6928A0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7D5"/>
    <w:rsid w:val="000C6348"/>
    <w:rsid w:val="002517D5"/>
    <w:rsid w:val="008F175B"/>
    <w:rsid w:val="00CF7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8DACBF-D8FA-4ECA-B2C3-F1EAFA10B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7D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C634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C6348"/>
    <w:rPr>
      <w:sz w:val="18"/>
      <w:szCs w:val="18"/>
    </w:rPr>
  </w:style>
  <w:style w:type="paragraph" w:styleId="a4">
    <w:name w:val="footer"/>
    <w:basedOn w:val="a"/>
    <w:link w:val="Char0"/>
    <w:uiPriority w:val="99"/>
    <w:unhideWhenUsed/>
    <w:rsid w:val="000C6348"/>
    <w:pPr>
      <w:tabs>
        <w:tab w:val="center" w:pos="4153"/>
        <w:tab w:val="right" w:pos="8306"/>
      </w:tabs>
      <w:snapToGrid w:val="0"/>
      <w:jc w:val="left"/>
    </w:pPr>
    <w:rPr>
      <w:sz w:val="18"/>
      <w:szCs w:val="18"/>
    </w:rPr>
  </w:style>
  <w:style w:type="character" w:customStyle="1" w:styleId="Char0">
    <w:name w:val="页脚 Char"/>
    <w:basedOn w:val="a0"/>
    <w:link w:val="a4"/>
    <w:uiPriority w:val="99"/>
    <w:rsid w:val="000C634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1255</Words>
  <Characters>7154</Characters>
  <Application>Microsoft Office Word</Application>
  <DocSecurity>0</DocSecurity>
  <Lines>59</Lines>
  <Paragraphs>16</Paragraphs>
  <ScaleCrop>false</ScaleCrop>
  <Company>Toshiba</Company>
  <LinksUpToDate>false</LinksUpToDate>
  <CharactersWithSpaces>8393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dc:creator>
  <cp:keywords/>
  <dc:description/>
  <cp:lastModifiedBy>Asia</cp:lastModifiedBy>
  <cp:revision>2</cp:revision>
  <dcterms:created xsi:type="dcterms:W3CDTF">2017-08-26T15:56:00Z</dcterms:created>
  <dcterms:modified xsi:type="dcterms:W3CDTF">2017-08-27T17:32:00Z</dcterms:modified>
</cp:coreProperties>
</file>