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206" w:rsidRDefault="00195EDE" w:rsidP="00B5287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195E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="00DB4206" w:rsidRPr="00DB42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Materials and Methods</w:t>
      </w:r>
      <w:bookmarkEnd w:id="0"/>
    </w:p>
    <w:p w:rsidR="00E55BD7" w:rsidRPr="00E55BD7" w:rsidRDefault="00E55BD7" w:rsidP="00E55BD7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B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Induction of cholangitis and </w:t>
      </w:r>
      <w:bookmarkStart w:id="1" w:name="_Hlk503385488"/>
      <w:r w:rsidRPr="00E55B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UC-MSCT</w:t>
      </w:r>
      <w:bookmarkEnd w:id="1"/>
    </w:p>
    <w:p w:rsidR="00E55BD7" w:rsidRPr="00E55BD7" w:rsidRDefault="00E55BD7" w:rsidP="00E55BD7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E55BD7">
        <w:rPr>
          <w:rFonts w:ascii="Times New Roman" w:hAnsi="Times New Roman" w:cs="Times New Roman"/>
          <w:sz w:val="24"/>
          <w:szCs w:val="24"/>
        </w:rPr>
        <w:t xml:space="preserve">For the induction of autoimmune cholangitis, 100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2OA-BSA conjugate (in 50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PBS) was emulsified with 50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of complete Freund's adjuvant</w:t>
      </w:r>
      <w:r w:rsidRPr="00E55BD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55BD7">
        <w:rPr>
          <w:rFonts w:ascii="Times New Roman" w:hAnsi="Times New Roman" w:cs="Times New Roman"/>
          <w:color w:val="000000" w:themeColor="text1"/>
          <w:sz w:val="24"/>
          <w:szCs w:val="24"/>
        </w:rPr>
        <w:t>(CFA; containing 1mg/ml of mycobacterium tuberculosis strain H37RA, Sigma-Aldrich)</w:t>
      </w:r>
      <w:r w:rsidRPr="00E55BD7">
        <w:rPr>
          <w:rFonts w:ascii="Times New Roman" w:hAnsi="Times New Roman" w:cs="Times New Roman"/>
          <w:sz w:val="24"/>
          <w:szCs w:val="24"/>
        </w:rPr>
        <w:t xml:space="preserve"> and injected intraperitoneally (I.P.) into female C57BL/6 mice. Additionally, mice received 100 ng of pertussis toxin </w:t>
      </w:r>
      <w:r w:rsidRPr="00E55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(List Biological Laboratories, Campbell, CA, USA) </w:t>
      </w:r>
      <w:r w:rsidRPr="00E55BD7">
        <w:rPr>
          <w:rFonts w:ascii="Times New Roman" w:hAnsi="Times New Roman" w:cs="Times New Roman"/>
          <w:sz w:val="24"/>
          <w:szCs w:val="24"/>
        </w:rPr>
        <w:t xml:space="preserve">in 100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PBS by I.P. at the time of initial immunization with 2OA-BSA and two days afterwards, respectively. 2 weeks later, the mice were re-boosted I.P. with 100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2OA-BSA in 50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PBS emulsified with 50 </w:t>
      </w:r>
      <w:proofErr w:type="spellStart"/>
      <w:r w:rsidRPr="00E55BD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E55BD7">
        <w:rPr>
          <w:rFonts w:ascii="Times New Roman" w:hAnsi="Times New Roman" w:cs="Times New Roman"/>
          <w:sz w:val="24"/>
          <w:szCs w:val="24"/>
        </w:rPr>
        <w:t xml:space="preserve"> of incomplete Freund's adjuvant </w:t>
      </w:r>
      <w:r w:rsidRPr="00E55BD7">
        <w:rPr>
          <w:rFonts w:ascii="Times New Roman" w:hAnsi="Times New Roman" w:cs="Times New Roman"/>
          <w:color w:val="000000" w:themeColor="text1"/>
          <w:sz w:val="24"/>
          <w:szCs w:val="24"/>
        </w:rPr>
        <w:t>(IFA; Sigma-Aldrich)</w:t>
      </w:r>
      <w:r w:rsidRPr="00E55BD7">
        <w:rPr>
          <w:rFonts w:ascii="Times New Roman" w:hAnsi="Times New Roman" w:cs="Times New Roman"/>
          <w:sz w:val="24"/>
          <w:szCs w:val="24"/>
        </w:rPr>
        <w:t xml:space="preserve">. The treatment of </w:t>
      </w:r>
      <w:r w:rsidRPr="00E55BD7">
        <w:rPr>
          <w:rFonts w:ascii="Times New Roman" w:hAnsi="Times New Roman" w:cs="Times New Roman"/>
          <w:bCs/>
          <w:sz w:val="24"/>
          <w:szCs w:val="24"/>
        </w:rPr>
        <w:t>UC-MSCT</w:t>
      </w:r>
      <w:r w:rsidRPr="00E55BD7">
        <w:rPr>
          <w:rFonts w:ascii="Times New Roman" w:hAnsi="Times New Roman" w:cs="Times New Roman"/>
          <w:sz w:val="24"/>
          <w:szCs w:val="24"/>
        </w:rPr>
        <w:t xml:space="preserve"> in </w:t>
      </w:r>
      <w:r w:rsidR="005A1ACB" w:rsidRPr="005A1ACB">
        <w:rPr>
          <w:rFonts w:ascii="Times New Roman" w:hAnsi="Times New Roman" w:cs="Times New Roman"/>
          <w:sz w:val="24"/>
          <w:szCs w:val="24"/>
        </w:rPr>
        <w:t xml:space="preserve">C57BL/6 mice </w:t>
      </w:r>
      <w:r w:rsidR="005A1ACB">
        <w:rPr>
          <w:rFonts w:ascii="Times New Roman" w:hAnsi="Times New Roman" w:cs="Times New Roman"/>
          <w:sz w:val="24"/>
          <w:szCs w:val="24"/>
        </w:rPr>
        <w:t xml:space="preserve">and </w:t>
      </w:r>
      <w:r w:rsidRPr="00E55BD7">
        <w:rPr>
          <w:rFonts w:ascii="Times New Roman" w:hAnsi="Times New Roman" w:cs="Times New Roman"/>
          <w:sz w:val="24"/>
          <w:szCs w:val="24"/>
        </w:rPr>
        <w:t xml:space="preserve">2OA-BSA immunized mice </w:t>
      </w:r>
      <w:r w:rsidR="00AA00FB">
        <w:rPr>
          <w:rFonts w:ascii="Times New Roman" w:hAnsi="Times New Roman" w:cs="Times New Roman"/>
          <w:sz w:val="24"/>
          <w:szCs w:val="24"/>
        </w:rPr>
        <w:t>were</w:t>
      </w:r>
      <w:r w:rsidRPr="00E55BD7">
        <w:rPr>
          <w:rFonts w:ascii="Times New Roman" w:hAnsi="Times New Roman" w:cs="Times New Roman"/>
          <w:sz w:val="24"/>
          <w:szCs w:val="24"/>
        </w:rPr>
        <w:t xml:space="preserve"> performed. Mice were injected intravenously with 1× 10</w:t>
      </w:r>
      <w:r w:rsidRPr="00E55BD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E55BD7">
        <w:rPr>
          <w:rFonts w:ascii="Times New Roman" w:hAnsi="Times New Roman" w:cs="Times New Roman"/>
          <w:sz w:val="24"/>
          <w:szCs w:val="24"/>
        </w:rPr>
        <w:t xml:space="preserve"> UC-MSCs and then sacrificed at 12 weeks post immunization.</w:t>
      </w:r>
    </w:p>
    <w:p w:rsidR="00FF363A" w:rsidRPr="00FF363A" w:rsidRDefault="00FF363A" w:rsidP="00B5287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36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Cell preparation and flow cytometry analysis</w:t>
      </w:r>
    </w:p>
    <w:p w:rsidR="00FF363A" w:rsidRPr="00FF363A" w:rsidRDefault="00FF363A" w:rsidP="00FE764A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Livers, spleens and peripheral blood were harvested immediately following sacrifice of the mice. Livers were first perfused with PBS containing 0.2% BSA (0.2% BSA/PBS), passed through a 100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nylon cell strainer and re-suspended in 0.2% BSA/PBS. Hepatocytes were removed as pellets after centrifugation at 75 g for 1 min and the remaining suspended cells were collected. Spleens were disrupted between two glass slides and suspended in 0.2% BSA/PBS. Mononuclear cells (MNCs) from the livers were isolated by gradient centrifugation using 40% and 70%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Percoll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(Sigma-Aldrich).</w:t>
      </w:r>
      <w:r w:rsidRPr="00FF36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Peripheral blood mononuclear cells </w:t>
      </w:r>
      <w:r w:rsidRPr="00FF36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PBMCs) were obtained by lysis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of erythrocytes in the blood. The following antibodies were used: anti-CD4, </w:t>
      </w:r>
      <w:bookmarkStart w:id="2" w:name="_Hlk521416454"/>
      <w:bookmarkStart w:id="3" w:name="_Hlk521416496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anti-IL-</w:t>
      </w:r>
      <w:r w:rsidR="00911B5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bookmarkEnd w:id="2"/>
      <w:r w:rsidR="00911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75E66" w:rsidRPr="00275E66">
        <w:rPr>
          <w:rFonts w:ascii="Times New Roman" w:hAnsi="Times New Roman" w:cs="Times New Roman"/>
          <w:color w:val="000000" w:themeColor="text1"/>
          <w:sz w:val="24"/>
          <w:szCs w:val="24"/>
        </w:rPr>
        <w:t>anti-</w:t>
      </w:r>
      <w:r w:rsidR="00275E66" w:rsidRPr="00275E66">
        <w:rPr>
          <w:rFonts w:ascii="Times New Roman" w:hAnsi="Times New Roman" w:cs="Times New Roman"/>
          <w:bCs/>
          <w:iCs/>
          <w:color w:val="0000FF"/>
          <w:sz w:val="24"/>
          <w:szCs w:val="24"/>
        </w:rPr>
        <w:t xml:space="preserve"> </w:t>
      </w:r>
      <w:r w:rsidR="00275E66" w:rsidRPr="00275E6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INF-γ</w:t>
      </w:r>
      <w:r w:rsidR="00275E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75E66" w:rsidRPr="00275E66">
        <w:rPr>
          <w:rFonts w:ascii="Times New Roman" w:hAnsi="Times New Roman" w:cs="Times New Roman"/>
          <w:color w:val="000000" w:themeColor="text1"/>
          <w:sz w:val="24"/>
          <w:szCs w:val="24"/>
        </w:rPr>
        <w:t>anti-IL-</w:t>
      </w:r>
      <w:r w:rsidR="00275E66">
        <w:rPr>
          <w:rFonts w:ascii="Times New Roman" w:hAnsi="Times New Roman" w:cs="Times New Roman"/>
          <w:color w:val="000000" w:themeColor="text1"/>
          <w:sz w:val="24"/>
          <w:szCs w:val="24"/>
        </w:rPr>
        <w:t>17A</w:t>
      </w:r>
      <w:bookmarkEnd w:id="3"/>
      <w:r w:rsidR="00275E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anti-</w:t>
      </w:r>
      <w:r w:rsidR="00911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CD25 and anti-Foxp3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San Diego, CA, USA). For intracellular cytokine staining, cells were stimulated with 20 ng/ml phorbol-12-myristate-13-acetate plus 1 µg/ml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ionomycin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37°C for 4–5 h in the presence of 5 µg/ml brefeldin A (all from Enzo Life Science, Farmingdale, NY, USA). Then the cells were fixed and permeabilized with a fixation/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permeabilization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kit (Nordic-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MUbio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, Maastricht, Limburg, the Netherlands), followed by staining with</w:t>
      </w:r>
      <w:r w:rsidR="00275E66" w:rsidRPr="00275E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anti-IL-4, anti-</w:t>
      </w:r>
      <w:r w:rsidR="00275E66" w:rsidRPr="00275E6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INF-γ</w:t>
      </w:r>
      <w:r w:rsidR="00275E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275E66" w:rsidRPr="00275E66">
        <w:rPr>
          <w:rFonts w:ascii="Times New Roman" w:hAnsi="Times New Roman" w:cs="Times New Roman"/>
          <w:color w:val="000000" w:themeColor="text1"/>
          <w:sz w:val="24"/>
          <w:szCs w:val="24"/>
        </w:rPr>
        <w:t>anti-IL-17A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7E1BA1" w:rsidRPr="007E1BA1">
        <w:rPr>
          <w:rFonts w:ascii="Times New Roman" w:hAnsi="Times New Roman" w:cs="Times New Roman"/>
          <w:color w:val="000000" w:themeColor="text1"/>
          <w:sz w:val="24"/>
          <w:szCs w:val="24"/>
        </w:rPr>
        <w:t>Intranuclear</w:t>
      </w:r>
      <w:proofErr w:type="spellEnd"/>
      <w:r w:rsidR="007E1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1BA1" w:rsidRPr="007E1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staining of Foxp3 was performed using Foxp3/Transcription </w:t>
      </w:r>
      <w:r w:rsidR="00955161" w:rsidRPr="00955161">
        <w:rPr>
          <w:rFonts w:ascii="Times New Roman" w:hAnsi="Times New Roman" w:cs="Times New Roman"/>
          <w:color w:val="000000" w:themeColor="text1"/>
          <w:sz w:val="24"/>
          <w:szCs w:val="24"/>
        </w:rPr>
        <w:t>Factor Staining Buffer Set (</w:t>
      </w:r>
      <w:proofErr w:type="spellStart"/>
      <w:r w:rsidR="00955161" w:rsidRPr="00955161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="00955161" w:rsidRPr="009551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were acquired by a FACS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Calibur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flow cytometer (BD Biosciences, Mountain View, CA, USA) and were analyzed with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FlowJo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software (Tree Star, Ashland, OR, USA).</w:t>
      </w:r>
    </w:p>
    <w:p w:rsidR="00FF363A" w:rsidRPr="00FF363A" w:rsidRDefault="00FF363A" w:rsidP="00B5287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36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Isolation and culture of naïve CD4+ T cells</w:t>
      </w:r>
    </w:p>
    <w:p w:rsidR="00FF363A" w:rsidRPr="00FF363A" w:rsidRDefault="00850B6F" w:rsidP="00A4422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Th1 cell differentiation, </w:t>
      </w:r>
      <w:bookmarkStart w:id="4" w:name="_Hlk493964813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naïve CD4+ T cells</w:t>
      </w:r>
      <w:bookmarkEnd w:id="4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purified from spleens using a naïve CD4+ T cell Isolation Kit (Stem Cell Technologies, Vancouver, Canada) and were cultured in 2.5 µg/ml anti-CD3 and 5 µg/ml anti-CD28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pre-coated culture plates with 20 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/ml IL-2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PeproTech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20 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/ml IL-12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PeproTech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) and 5 µg/ml anti-</w:t>
      </w:r>
      <w:r w:rsidR="00FF363A" w:rsidRPr="00FF36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IL-4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for stimulation. For Th17 cell differentiation, naïve CD4+ T cells received the same treatment as for Th1 differentiation except for 20 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/ml IL-6 (</w:t>
      </w:r>
      <w:bookmarkStart w:id="5" w:name="_Hlk492847065"/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PeproTech</w:t>
      </w:r>
      <w:bookmarkEnd w:id="5"/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3 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/ml TGF-β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PeproTech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20 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/ml IL-23 (</w:t>
      </w:r>
      <w:bookmarkStart w:id="6" w:name="_Hlk492847125"/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PeproTech</w:t>
      </w:r>
      <w:bookmarkEnd w:id="6"/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), 5 µg/ml anti-</w:t>
      </w:r>
      <w:r w:rsidR="00FF363A" w:rsidRPr="00FF36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IFN-γ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) and 5 µg/ml anti-</w:t>
      </w:r>
      <w:r w:rsidR="00FF363A" w:rsidRPr="00FF36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IL-4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eBioscience</w:t>
      </w:r>
      <w:proofErr w:type="spellEnd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) were used for stimulation instead. To confirm the role of Gal-9 in UC-MSCs, the cells were treated with</w:t>
      </w:r>
      <w:r w:rsidR="00E67B94" w:rsidRPr="00E67B9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67B94" w:rsidRPr="00E67B9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conditioned media (CM) collected from UC-MSCs</w:t>
      </w:r>
      <w:r w:rsidR="00E67B9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(MSC-CM)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alone or </w:t>
      </w:r>
      <w:r w:rsidR="00E67B94" w:rsidRPr="00E67B9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>MSC-CM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7" w:name="_Hlk502323984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plus</w:t>
      </w:r>
      <w:bookmarkStart w:id="8" w:name="_Hlk501881162"/>
      <w:bookmarkStart w:id="9" w:name="_Hlk501875915"/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10.8 mg/ml </w:t>
      </w:r>
      <w:r w:rsidR="00FF363A" w:rsidRPr="00FF363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α-lactose</w:t>
      </w:r>
      <w:bookmarkStart w:id="10" w:name="_Hlk502323995"/>
      <w:bookmarkEnd w:id="7"/>
      <w:bookmarkEnd w:id="8"/>
      <w:r w:rsidR="00FF363A" w:rsidRPr="00FF363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FF363A" w:rsidRPr="00FF36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Sigma-Aldrich</w:t>
      </w:r>
      <w:bookmarkEnd w:id="9"/>
      <w:bookmarkEnd w:id="10"/>
      <w:r w:rsidR="00FF363A" w:rsidRPr="00FF36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="00FF363A"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. After culture for 72h, the cells were collected for further analysis.</w:t>
      </w:r>
    </w:p>
    <w:p w:rsidR="00FF363A" w:rsidRPr="00FF363A" w:rsidRDefault="00FF363A" w:rsidP="00B5287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F36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Proliferation assay</w:t>
      </w:r>
    </w:p>
    <w:p w:rsidR="00FF363A" w:rsidRDefault="00FF363A" w:rsidP="0054416C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Murine CD4+ T cells were purified from spleens according to the manufacturer’s instruction (BD Biosciences). For the proliferation assay, CD4+ T cells at the density of 1×10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/well were labeled with 5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carboxyﬂuorescein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diacetate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>succinimidyl</w:t>
      </w:r>
      <w:proofErr w:type="spellEnd"/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ester (CFSE, Invitrogen, Camarillo, CA, USA), and then cocultured with </w:t>
      </w:r>
      <w:r w:rsidR="00DF64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MSC-CM 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DF6427">
        <w:rPr>
          <w:rFonts w:ascii="Times New Roman" w:hAnsi="Times New Roman" w:cs="Times New Roman"/>
          <w:color w:val="000000" w:themeColor="text1"/>
          <w:sz w:val="24"/>
          <w:szCs w:val="24"/>
        </w:rPr>
        <w:t>MSC-CM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FF363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10.8 mg/ml α-lactose </w:t>
      </w:r>
      <w:r w:rsidRPr="00FF363A">
        <w:rPr>
          <w:rFonts w:ascii="Times New Roman" w:hAnsi="Times New Roman" w:cs="Times New Roman" w:hint="eastAsia"/>
          <w:bCs/>
          <w:iCs/>
          <w:color w:val="000000" w:themeColor="text1"/>
          <w:sz w:val="24"/>
          <w:szCs w:val="24"/>
        </w:rPr>
        <w:t>(</w:t>
      </w:r>
      <w:r w:rsidRPr="00FF363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Sigma-Aldrich</w:t>
      </w:r>
      <w:r w:rsidRPr="00FF363A">
        <w:rPr>
          <w:rFonts w:ascii="Times New Roman" w:hAnsi="Times New Roman" w:cs="Times New Roman" w:hint="eastAsia"/>
          <w:bCs/>
          <w:iCs/>
          <w:color w:val="000000" w:themeColor="text1"/>
          <w:sz w:val="24"/>
          <w:szCs w:val="24"/>
        </w:rPr>
        <w:t>)</w:t>
      </w:r>
      <w:r w:rsidRPr="00FF3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4 days. Cell division was determined by measuring the CFSE fluorescence intensity by flow cytometry.</w:t>
      </w:r>
    </w:p>
    <w:p w:rsidR="00F16180" w:rsidRDefault="00F16180" w:rsidP="009959B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6180">
        <w:rPr>
          <w:rFonts w:ascii="Times New Roman" w:hAnsi="Times New Roman" w:cs="Times New Roman"/>
          <w:b/>
          <w:bCs/>
          <w:sz w:val="24"/>
          <w:szCs w:val="24"/>
        </w:rPr>
        <w:t>Enzyme-linked immunosorbent assay</w:t>
      </w:r>
    </w:p>
    <w:p w:rsidR="009959B0" w:rsidRPr="00F16180" w:rsidRDefault="009959B0" w:rsidP="00AC7939">
      <w:pPr>
        <w:spacing w:line="480" w:lineRule="auto"/>
        <w:ind w:firstLineChars="200" w:firstLine="480"/>
        <w:rPr>
          <w:rFonts w:ascii="Times New Roman" w:hAnsi="Times New Roman" w:cs="Times New Roman"/>
          <w:bCs/>
          <w:sz w:val="24"/>
          <w:szCs w:val="24"/>
        </w:rPr>
      </w:pPr>
      <w:r w:rsidRPr="00F16180">
        <w:rPr>
          <w:rFonts w:ascii="Times New Roman" w:hAnsi="Times New Roman" w:cs="Times New Roman"/>
          <w:bCs/>
          <w:sz w:val="24"/>
          <w:szCs w:val="24"/>
        </w:rPr>
        <w:t>The serum levels of Gal-9 (Cloud-Clone Corp, Houston, Texas, USA) in</w:t>
      </w:r>
      <w:r w:rsidRPr="00F16180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F16180" w:rsidRPr="00F16180">
        <w:rPr>
          <w:rFonts w:ascii="Times New Roman" w:hAnsi="Times New Roman" w:cs="Times New Roman"/>
          <w:bCs/>
          <w:sz w:val="24"/>
          <w:szCs w:val="24"/>
        </w:rPr>
        <w:t xml:space="preserve">different groups </w:t>
      </w:r>
      <w:r w:rsidR="007D6C90">
        <w:rPr>
          <w:rFonts w:ascii="Times New Roman" w:hAnsi="Times New Roman" w:cs="Times New Roman"/>
          <w:bCs/>
          <w:sz w:val="24"/>
          <w:szCs w:val="24"/>
        </w:rPr>
        <w:t xml:space="preserve">were </w:t>
      </w:r>
      <w:r w:rsidRPr="00F16180">
        <w:rPr>
          <w:rFonts w:ascii="Times New Roman" w:hAnsi="Times New Roman" w:cs="Times New Roman"/>
          <w:bCs/>
          <w:sz w:val="24"/>
          <w:szCs w:val="24"/>
        </w:rPr>
        <w:t>measured by ELISA</w:t>
      </w:r>
      <w:r w:rsidR="000F3F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16180">
        <w:rPr>
          <w:rFonts w:ascii="Times New Roman" w:hAnsi="Times New Roman" w:cs="Times New Roman"/>
          <w:bCs/>
          <w:sz w:val="24"/>
          <w:szCs w:val="24"/>
        </w:rPr>
        <w:t xml:space="preserve">kits. </w:t>
      </w:r>
      <w:r w:rsidR="00F16180" w:rsidRPr="00F16180">
        <w:rPr>
          <w:rFonts w:ascii="Times New Roman" w:hAnsi="Times New Roman" w:cs="Times New Roman"/>
          <w:bCs/>
          <w:sz w:val="24"/>
          <w:szCs w:val="24"/>
        </w:rPr>
        <w:t>T</w:t>
      </w:r>
      <w:r w:rsidRPr="00F16180">
        <w:rPr>
          <w:rFonts w:ascii="Times New Roman" w:hAnsi="Times New Roman" w:cs="Times New Roman"/>
          <w:bCs/>
          <w:sz w:val="24"/>
          <w:szCs w:val="24"/>
        </w:rPr>
        <w:t xml:space="preserve">he procedures were performed according to the manufacturer’s instructions. </w:t>
      </w:r>
    </w:p>
    <w:p w:rsidR="00FC0E23" w:rsidRPr="00FC0E23" w:rsidRDefault="00FC0E23" w:rsidP="00FC0E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0E23">
        <w:rPr>
          <w:rFonts w:ascii="Times New Roman" w:hAnsi="Times New Roman" w:cs="Times New Roman"/>
          <w:b/>
          <w:bCs/>
          <w:sz w:val="24"/>
          <w:szCs w:val="24"/>
        </w:rPr>
        <w:t>Western blot assay</w:t>
      </w:r>
    </w:p>
    <w:p w:rsidR="00FC0E23" w:rsidRPr="00FC0E23" w:rsidRDefault="00FC0E23" w:rsidP="00FC0E23">
      <w:pPr>
        <w:spacing w:line="480" w:lineRule="auto"/>
        <w:ind w:firstLineChars="200" w:firstLine="480"/>
        <w:rPr>
          <w:rFonts w:ascii="Times New Roman" w:hAnsi="Times New Roman" w:cs="Times New Roman"/>
          <w:b/>
          <w:bCs/>
          <w:sz w:val="24"/>
          <w:szCs w:val="24"/>
        </w:rPr>
      </w:pPr>
      <w:r w:rsidRPr="00FC0E23">
        <w:rPr>
          <w:rFonts w:ascii="Times New Roman" w:hAnsi="Times New Roman" w:cs="Times New Roman"/>
          <w:sz w:val="24"/>
          <w:szCs w:val="24"/>
        </w:rPr>
        <w:t>For western blot assay, rabbit anti-Gal-9 antibody (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Proteintech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>, Wuhan, Hubei, P.R. China), and mouse anti-GAPDH antibody (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Proteintech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) were used as primary antibodies. Horseradish peroxidase (HRP)-conjugated anti-rabbit 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 (H+L) and anti-mouse IgG (H +L) (</w:t>
      </w:r>
      <w:bookmarkStart w:id="11" w:name="_Hlk492843086"/>
      <w:proofErr w:type="spellStart"/>
      <w:r w:rsidRPr="00FC0E23">
        <w:rPr>
          <w:rFonts w:ascii="Times New Roman" w:hAnsi="Times New Roman" w:cs="Times New Roman"/>
          <w:sz w:val="24"/>
          <w:szCs w:val="24"/>
        </w:rPr>
        <w:t>Proteintech</w:t>
      </w:r>
      <w:bookmarkEnd w:id="11"/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) were used as secondary antibodies, respectively. UC-MSCs were washed twice with PBS and lysed on ice for 30 min with 1× 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radioimmunoprecipitation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 assay (RIPA) buffer (CST) containing 1% 100× protease/phosphatase inhibitor cocktail (CST). Lysates were centrifuged at 12,000 </w:t>
      </w:r>
      <w:r w:rsidRPr="00FC0E23">
        <w:rPr>
          <w:rFonts w:ascii="Times New Roman" w:hAnsi="Times New Roman" w:cs="Times New Roman"/>
          <w:i/>
          <w:iCs/>
          <w:sz w:val="24"/>
          <w:szCs w:val="24"/>
        </w:rPr>
        <w:t xml:space="preserve">g </w:t>
      </w:r>
      <w:r w:rsidRPr="00FC0E23">
        <w:rPr>
          <w:rFonts w:ascii="Times New Roman" w:hAnsi="Times New Roman" w:cs="Times New Roman"/>
          <w:sz w:val="24"/>
          <w:szCs w:val="24"/>
        </w:rPr>
        <w:t xml:space="preserve">at </w:t>
      </w:r>
      <w:r w:rsidRPr="00FC0E23">
        <w:rPr>
          <w:rFonts w:ascii="Times New Roman" w:hAnsi="Times New Roman" w:cs="Times New Roman"/>
          <w:sz w:val="24"/>
          <w:szCs w:val="24"/>
        </w:rPr>
        <w:lastRenderedPageBreak/>
        <w:t>4°C for 20 min, and then the supernatants were subjected to sodium dodecyl sulfate polyacrylamide gel electrophoresis (SDS-PAGE). Protein</w:t>
      </w:r>
      <w:r w:rsidRPr="00FC0E23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FC0E23">
        <w:rPr>
          <w:rFonts w:ascii="Times New Roman" w:hAnsi="Times New Roman" w:cs="Times New Roman"/>
          <w:sz w:val="24"/>
          <w:szCs w:val="24"/>
        </w:rPr>
        <w:t xml:space="preserve">was then transferred to polyvinylidene fluoride membranes (Millipore), blocked for 1 h in 5% nonfat milk in TBST [10 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Tris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BioSharp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>, Hefei, Anhui,</w:t>
      </w:r>
      <w:bookmarkStart w:id="12" w:name="_Hlk492993502"/>
      <w:r w:rsidRPr="00FC0E23">
        <w:rPr>
          <w:rFonts w:ascii="Times New Roman" w:hAnsi="Times New Roman" w:cs="Times New Roman"/>
          <w:sz w:val="24"/>
          <w:szCs w:val="24"/>
        </w:rPr>
        <w:t xml:space="preserve"> P.R. </w:t>
      </w:r>
      <w:bookmarkEnd w:id="12"/>
      <w:r w:rsidRPr="00FC0E23">
        <w:rPr>
          <w:rFonts w:ascii="Times New Roman" w:hAnsi="Times New Roman" w:cs="Times New Roman"/>
          <w:sz w:val="24"/>
          <w:szCs w:val="24"/>
        </w:rPr>
        <w:t xml:space="preserve">China) (pH 7) and 150 mM NaCl, 0.1% Tween 20], and then immunoblotted with the above-listed primary antibodies and appropriate HRP conjugated secondary antibodies. 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Chemiluminescence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 HRP substrate (Millipore) was used to detect the specific proteins, and the bands were visualized using the G</w:t>
      </w:r>
      <w:proofErr w:type="gramStart"/>
      <w:r w:rsidRPr="00FC0E23">
        <w:rPr>
          <w:rFonts w:ascii="Times New Roman" w:hAnsi="Times New Roman" w:cs="Times New Roman"/>
          <w:sz w:val="24"/>
          <w:szCs w:val="24"/>
        </w:rPr>
        <w:t>:BOX</w:t>
      </w:r>
      <w:proofErr w:type="gramEnd"/>
      <w:r w:rsidRPr="00FC0E23">
        <w:rPr>
          <w:rFonts w:ascii="Times New Roman" w:hAnsi="Times New Roman" w:cs="Times New Roman"/>
          <w:sz w:val="24"/>
          <w:szCs w:val="24"/>
        </w:rPr>
        <w:t xml:space="preserve"> gel imaging system (</w:t>
      </w:r>
      <w:proofErr w:type="spellStart"/>
      <w:r w:rsidRPr="00FC0E23">
        <w:rPr>
          <w:rFonts w:ascii="Times New Roman" w:hAnsi="Times New Roman" w:cs="Times New Roman"/>
          <w:sz w:val="24"/>
          <w:szCs w:val="24"/>
        </w:rPr>
        <w:t>Syngene</w:t>
      </w:r>
      <w:proofErr w:type="spellEnd"/>
      <w:r w:rsidRPr="00FC0E23">
        <w:rPr>
          <w:rFonts w:ascii="Times New Roman" w:hAnsi="Times New Roman" w:cs="Times New Roman"/>
          <w:sz w:val="24"/>
          <w:szCs w:val="24"/>
        </w:rPr>
        <w:t xml:space="preserve">, Cambridge, UK). Analysis was performed using ImageJ software (NIH, Bethesda, MD, USA). </w:t>
      </w:r>
    </w:p>
    <w:p w:rsidR="003B5E25" w:rsidRPr="003B5E25" w:rsidRDefault="003B5E25" w:rsidP="00B5287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5E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Immunohistochemistry</w:t>
      </w:r>
    </w:p>
    <w:p w:rsidR="003B5E25" w:rsidRDefault="003B5E25" w:rsidP="002A5C6C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5E25">
        <w:rPr>
          <w:rFonts w:ascii="Times New Roman" w:hAnsi="Times New Roman" w:cs="Times New Roman"/>
          <w:color w:val="000000" w:themeColor="text1"/>
          <w:sz w:val="24"/>
          <w:szCs w:val="24"/>
        </w:rPr>
        <w:t>For immunohistochemistry, paraffin sections of the liver were incubated with primary rat anti-</w:t>
      </w:r>
      <w:r w:rsidRPr="003B5E2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INF-γ</w:t>
      </w:r>
      <w:r w:rsidRPr="003B5E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followed by appropriate secondary antibodies incubation. The immunostaining was developed using diaminobenzidine tetrahydrochloride, followed by counterstain with Mayer’s Hematoxylin. </w:t>
      </w:r>
    </w:p>
    <w:p w:rsidR="00B839C0" w:rsidRPr="00E55BD7" w:rsidRDefault="00B839C0" w:rsidP="00B839C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5B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Cells labeling with GFP</w:t>
      </w:r>
    </w:p>
    <w:p w:rsidR="00B839C0" w:rsidRPr="00E55BD7" w:rsidRDefault="00B839C0" w:rsidP="00B839C0">
      <w:pPr>
        <w:spacing w:line="480" w:lineRule="auto"/>
        <w:ind w:firstLineChars="200" w:firstLine="4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 track the transplanted cells </w:t>
      </w:r>
      <w:r w:rsidRPr="00E55BD7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in vivo</w:t>
      </w:r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UC-MSCs were labeled with GFP by </w:t>
      </w:r>
      <w:proofErr w:type="spellStart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lentivirus</w:t>
      </w:r>
      <w:proofErr w:type="spellEnd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infection. Briefly, the </w:t>
      </w:r>
      <w:proofErr w:type="spellStart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pLV</w:t>
      </w:r>
      <w:proofErr w:type="spellEnd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-CMV-GFP-Neo vector, PMD2.G and PSPAX2 packaging plasmids, and the X-</w:t>
      </w:r>
      <w:proofErr w:type="spellStart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treme</w:t>
      </w:r>
      <w:proofErr w:type="spellEnd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GENE HP DNA Transfection Reagent (Roche, Basel, Switzerland) were added to 10% FBS DMEM medium, mixed gently, and incubated at room temperature for 20 min. The mixture was added </w:t>
      </w:r>
      <w:proofErr w:type="spellStart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dropwise</w:t>
      </w:r>
      <w:proofErr w:type="spellEnd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into 293T cells in a 10cm plate. After 48h incubation, the virus supernatant was collected and filtered using a 0.45-mm filter. UC-MSCs were then infected with the virus. After </w:t>
      </w:r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being cocultured for 48 h, the aminoglycoside antibiotic G418 (</w:t>
      </w:r>
      <w:proofErr w:type="spellStart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Gibco</w:t>
      </w:r>
      <w:proofErr w:type="spellEnd"/>
      <w:r w:rsidRPr="00E55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-BRL, Carlsbad, CA, USA) was added to the medium at a final concentration of 600 mg/mL to select UC-MSCs with a stable GFP expression. The UC-MSCs labeled with GFP were observed with a fluorescence emission ratio at 530 nm using an epifluorescence microscope and an excitation wavelength of 488 nm.</w:t>
      </w:r>
    </w:p>
    <w:p w:rsidR="00377D51" w:rsidRPr="00377D51" w:rsidRDefault="00377D51" w:rsidP="00377D5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77D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Immunoﬂuorescence</w:t>
      </w:r>
    </w:p>
    <w:p w:rsidR="00377D51" w:rsidRDefault="00377D51" w:rsidP="005828B3">
      <w:pPr>
        <w:spacing w:line="480" w:lineRule="auto"/>
        <w:ind w:firstLineChars="200" w:firstLine="4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the </w:t>
      </w:r>
      <w:bookmarkStart w:id="13" w:name="_Hlk517803135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immunoﬂuorescence</w:t>
      </w:r>
      <w:bookmarkEnd w:id="13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examination, liver tissues were OCT-embedded, snap-frozen, and cut into 3 </w:t>
      </w:r>
      <w:proofErr w:type="spellStart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μm</w:t>
      </w:r>
      <w:proofErr w:type="spellEnd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slides. Then slides </w:t>
      </w:r>
      <w:r w:rsidRPr="00377D51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were</w:t>
      </w:r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incubated with primary antibody overnight at 4 °C. Primary antibodies were as follows: G</w:t>
      </w:r>
      <w:r w:rsidRPr="00377D51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al-</w:t>
      </w:r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9 (1:200; </w:t>
      </w:r>
      <w:proofErr w:type="spellStart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abcam</w:t>
      </w:r>
      <w:proofErr w:type="spellEnd"/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USA). Slides were stained with DAPI and then examined by ﬂuorescence microscope. T</w:t>
      </w:r>
      <w:r w:rsidRPr="00377D51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h</w:t>
      </w:r>
      <w:r w:rsidRPr="00377D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scale bar of the picture at 200 magnification represent 50μm.</w:t>
      </w:r>
    </w:p>
    <w:p w:rsidR="00C77F99" w:rsidRPr="00C77F99" w:rsidRDefault="00C77F99" w:rsidP="00C77F99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77F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Statistical analysis </w:t>
      </w:r>
    </w:p>
    <w:p w:rsidR="00C77F99" w:rsidRPr="00C77F99" w:rsidRDefault="00C77F99" w:rsidP="005828B3">
      <w:pPr>
        <w:spacing w:line="480" w:lineRule="auto"/>
        <w:ind w:firstLineChars="200" w:firstLine="48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77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Data are presented as the mean ± standard error of the mean (SEM). Student’s </w:t>
      </w:r>
      <w:r w:rsidRPr="00C77F9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t</w:t>
      </w:r>
      <w:r w:rsidRPr="00C77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-test was applied when two groups were compared for significant differences. A one-way analysis of variance (ANOVA) followed by the Newman–</w:t>
      </w:r>
      <w:proofErr w:type="spellStart"/>
      <w:r w:rsidRPr="00C77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Keuls</w:t>
      </w:r>
      <w:proofErr w:type="spellEnd"/>
      <w:r w:rsidRPr="00C77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test was used to compare more than two groups. The Prism statistical package (Graph Pad Software Inc, La Jolla, CA, USA) was used. A </w:t>
      </w:r>
      <w:r w:rsidRPr="00C77F99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P</w:t>
      </w:r>
      <w:r w:rsidRPr="00C77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-value &lt; 0.05 was considered statistically significant.</w:t>
      </w:r>
    </w:p>
    <w:p w:rsidR="00C77F99" w:rsidRPr="00377D51" w:rsidRDefault="00C77F99" w:rsidP="00377D51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77D51" w:rsidRPr="00377D51" w:rsidRDefault="00377D51" w:rsidP="00B5287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5E25" w:rsidRPr="003B5E25" w:rsidRDefault="003B5E25" w:rsidP="00FF36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363A" w:rsidRPr="00FF363A" w:rsidRDefault="00FF36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F363A" w:rsidRPr="00FF3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b65e897d.B">
    <w:altName w:val="Cambria"/>
    <w:panose1 w:val="00000000000000000000"/>
    <w:charset w:val="00"/>
    <w:family w:val="roman"/>
    <w:notTrueType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8"/>
  </w:docVars>
  <w:rsids>
    <w:rsidRoot w:val="00F9726A"/>
    <w:rsid w:val="000A229C"/>
    <w:rsid w:val="000B754E"/>
    <w:rsid w:val="000F3FA5"/>
    <w:rsid w:val="001663C2"/>
    <w:rsid w:val="00195EDE"/>
    <w:rsid w:val="001A5F13"/>
    <w:rsid w:val="001B2227"/>
    <w:rsid w:val="001F0697"/>
    <w:rsid w:val="001F1138"/>
    <w:rsid w:val="00275E66"/>
    <w:rsid w:val="002A5C6C"/>
    <w:rsid w:val="00377D51"/>
    <w:rsid w:val="003B5E25"/>
    <w:rsid w:val="003C4316"/>
    <w:rsid w:val="003E7004"/>
    <w:rsid w:val="004A3264"/>
    <w:rsid w:val="004D02B5"/>
    <w:rsid w:val="004F5F5C"/>
    <w:rsid w:val="0053756F"/>
    <w:rsid w:val="0054416C"/>
    <w:rsid w:val="005828B3"/>
    <w:rsid w:val="005A1ACB"/>
    <w:rsid w:val="005A6BF7"/>
    <w:rsid w:val="005D01CD"/>
    <w:rsid w:val="00701E39"/>
    <w:rsid w:val="00796B2B"/>
    <w:rsid w:val="007D6C90"/>
    <w:rsid w:val="007E1BA1"/>
    <w:rsid w:val="00850B6F"/>
    <w:rsid w:val="008C3E37"/>
    <w:rsid w:val="008E6D05"/>
    <w:rsid w:val="00911B53"/>
    <w:rsid w:val="00921BA6"/>
    <w:rsid w:val="0093619E"/>
    <w:rsid w:val="00955161"/>
    <w:rsid w:val="00955C39"/>
    <w:rsid w:val="009959B0"/>
    <w:rsid w:val="00A17B6B"/>
    <w:rsid w:val="00A44229"/>
    <w:rsid w:val="00AA00FB"/>
    <w:rsid w:val="00AC7939"/>
    <w:rsid w:val="00B34DD7"/>
    <w:rsid w:val="00B5287A"/>
    <w:rsid w:val="00B56080"/>
    <w:rsid w:val="00B839C0"/>
    <w:rsid w:val="00C07EF6"/>
    <w:rsid w:val="00C35791"/>
    <w:rsid w:val="00C5565C"/>
    <w:rsid w:val="00C77F99"/>
    <w:rsid w:val="00D045F0"/>
    <w:rsid w:val="00D76885"/>
    <w:rsid w:val="00DB4206"/>
    <w:rsid w:val="00DD78EB"/>
    <w:rsid w:val="00DF6427"/>
    <w:rsid w:val="00E55BD7"/>
    <w:rsid w:val="00E67B94"/>
    <w:rsid w:val="00E87D02"/>
    <w:rsid w:val="00F16180"/>
    <w:rsid w:val="00F871AD"/>
    <w:rsid w:val="00F91653"/>
    <w:rsid w:val="00F9726A"/>
    <w:rsid w:val="00FC0E23"/>
    <w:rsid w:val="00FE764A"/>
    <w:rsid w:val="00FF363A"/>
    <w:rsid w:val="00FF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9726A"/>
    <w:rPr>
      <w:rFonts w:ascii="AdvOTb65e897d.B" w:hAnsi="AdvOTb65e897d.B" w:hint="default"/>
      <w:b w:val="0"/>
      <w:bCs w:val="0"/>
      <w:i w:val="0"/>
      <w:iCs w:val="0"/>
      <w:color w:val="76015C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36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363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9726A"/>
    <w:rPr>
      <w:rFonts w:ascii="AdvOTb65e897d.B" w:hAnsi="AdvOTb65e897d.B" w:hint="default"/>
      <w:b w:val="0"/>
      <w:bCs w:val="0"/>
      <w:i w:val="0"/>
      <w:iCs w:val="0"/>
      <w:color w:val="76015C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36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3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1103</Words>
  <Characters>6455</Characters>
  <Application>Microsoft Office Word</Application>
  <DocSecurity>0</DocSecurity>
  <Lines>109</Lines>
  <Paragraphs>24</Paragraphs>
  <ScaleCrop>false</ScaleCrop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anyone</dc:creator>
  <cp:keywords/>
  <dc:description/>
  <cp:lastModifiedBy>JADIQUE</cp:lastModifiedBy>
  <cp:revision>269</cp:revision>
  <dcterms:created xsi:type="dcterms:W3CDTF">2018-08-07T06:23:00Z</dcterms:created>
  <dcterms:modified xsi:type="dcterms:W3CDTF">2018-08-14T16:26:00Z</dcterms:modified>
</cp:coreProperties>
</file>