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B0F5A" w14:textId="371F8E73" w:rsidR="0028012E" w:rsidRPr="00FA23BE" w:rsidRDefault="0028012E" w:rsidP="00B35379">
      <w:pPr>
        <w:spacing w:line="480" w:lineRule="auto"/>
        <w:rPr>
          <w:b/>
          <w:sz w:val="32"/>
          <w:szCs w:val="32"/>
        </w:rPr>
      </w:pPr>
      <w:r w:rsidRPr="00FA23BE">
        <w:rPr>
          <w:b/>
          <w:sz w:val="32"/>
          <w:szCs w:val="32"/>
        </w:rPr>
        <w:t>Supplemen</w:t>
      </w:r>
      <w:bookmarkStart w:id="0" w:name="_GoBack"/>
      <w:bookmarkEnd w:id="0"/>
      <w:r w:rsidRPr="00FA23BE">
        <w:rPr>
          <w:b/>
          <w:sz w:val="32"/>
          <w:szCs w:val="32"/>
        </w:rPr>
        <w:t>tary Materials and Methods</w:t>
      </w:r>
    </w:p>
    <w:p w14:paraId="6C9964A4" w14:textId="445D9888" w:rsidR="00455441" w:rsidRPr="00FA23BE" w:rsidRDefault="00455441" w:rsidP="00B35379">
      <w:pPr>
        <w:spacing w:line="480" w:lineRule="auto"/>
        <w:rPr>
          <w:sz w:val="28"/>
          <w:szCs w:val="28"/>
        </w:rPr>
      </w:pPr>
      <w:r w:rsidRPr="00FA23BE">
        <w:rPr>
          <w:b/>
          <w:sz w:val="28"/>
          <w:szCs w:val="28"/>
        </w:rPr>
        <w:t>Cell characterization</w:t>
      </w:r>
    </w:p>
    <w:p w14:paraId="17B9A85D" w14:textId="1979099B" w:rsidR="009E55E0" w:rsidRPr="00FA23BE" w:rsidRDefault="009A2A16" w:rsidP="00B35379">
      <w:pPr>
        <w:spacing w:line="480" w:lineRule="auto"/>
      </w:pPr>
      <w:r w:rsidRPr="00FA23BE">
        <w:t xml:space="preserve">After isolation process, undifferentiated </w:t>
      </w:r>
      <w:r w:rsidR="008671D0" w:rsidRPr="00FA23BE">
        <w:rPr>
          <w:color w:val="000000" w:themeColor="text1"/>
          <w:lang w:val="en-GB"/>
        </w:rPr>
        <w:t>human adipose-derived mesenchymal stem/stromal cells</w:t>
      </w:r>
      <w:r w:rsidR="008671D0" w:rsidRPr="00FA23BE">
        <w:t xml:space="preserve"> (</w:t>
      </w:r>
      <w:r w:rsidRPr="00FA23BE">
        <w:t>hASCs</w:t>
      </w:r>
      <w:r w:rsidR="008671D0" w:rsidRPr="00FA23BE">
        <w:t>)</w:t>
      </w:r>
      <w:r w:rsidRPr="00FA23BE">
        <w:t xml:space="preserve"> of passage 1 were characterized by flow cytometry </w:t>
      </w:r>
      <w:r w:rsidR="008F67D1" w:rsidRPr="00FA23BE">
        <w:t>as described by Vuornos et al.</w:t>
      </w:r>
      <w:sdt>
        <w:sdtPr>
          <w:tag w:val="265;body"/>
          <w:id w:val="-395503671"/>
          <w:placeholder>
            <w:docPart w:val="E104B7E9AD8E1A4B89568E07479731D3"/>
          </w:placeholder>
          <w15:webExtensionLinked/>
        </w:sdtPr>
        <w:sdtEndPr/>
        <w:sdtContent>
          <w:r w:rsidR="00CC20F5" w:rsidRPr="00FA23BE">
            <w:rPr>
              <w:rFonts w:eastAsia="Times New Roman"/>
            </w:rPr>
            <w:t>[1]</w:t>
          </w:r>
        </w:sdtContent>
      </w:sdt>
      <w:r w:rsidR="008F67D1" w:rsidRPr="00FA23BE">
        <w:t xml:space="preserve">. </w:t>
      </w:r>
      <w:r w:rsidR="00253A06" w:rsidRPr="00FA23BE">
        <w:t xml:space="preserve"> Results </w:t>
      </w:r>
      <w:r w:rsidR="00C927DC" w:rsidRPr="00FA23BE">
        <w:t>showed</w:t>
      </w:r>
      <w:r w:rsidR="00253A06" w:rsidRPr="00FA23BE">
        <w:t xml:space="preserve"> that </w:t>
      </w:r>
      <w:r w:rsidR="00114D8E" w:rsidRPr="00FA23BE">
        <w:t xml:space="preserve">majority of the </w:t>
      </w:r>
      <w:r w:rsidR="00253A06" w:rsidRPr="00FA23BE">
        <w:t>cells expressed the cell surface markers CD73, CD90, CD105</w:t>
      </w:r>
      <w:r w:rsidR="00114D8E" w:rsidRPr="00FA23BE">
        <w:t xml:space="preserve"> while expression of CD54 and CD34 w</w:t>
      </w:r>
      <w:r w:rsidR="00A55F15" w:rsidRPr="00FA23BE">
        <w:t>ere</w:t>
      </w:r>
      <w:r w:rsidR="00114D8E" w:rsidRPr="00FA23BE">
        <w:t xml:space="preserve"> moderate and expression of CD3, CD11a</w:t>
      </w:r>
      <w:r w:rsidR="00114D8E" w:rsidRPr="00FA23BE">
        <w:rPr>
          <w:color w:val="000000" w:themeColor="text1"/>
        </w:rPr>
        <w:t>, CD14, CD19, CD45, CD80, CD86 and HLA-DR were low (</w:t>
      </w:r>
      <w:r w:rsidR="00EE53D2" w:rsidRPr="00FA23BE">
        <w:rPr>
          <w:color w:val="000000" w:themeColor="text1"/>
        </w:rPr>
        <w:t>see Additional file 2</w:t>
      </w:r>
      <w:r w:rsidR="00114D8E" w:rsidRPr="00FA23BE">
        <w:rPr>
          <w:color w:val="000000" w:themeColor="text1"/>
        </w:rPr>
        <w:t>)</w:t>
      </w:r>
      <w:r w:rsidR="009F15B0" w:rsidRPr="00FA23BE">
        <w:rPr>
          <w:color w:val="000000" w:themeColor="text1"/>
        </w:rPr>
        <w:t xml:space="preserve"> indicating </w:t>
      </w:r>
      <w:r w:rsidR="009F15B0" w:rsidRPr="00FA23BE">
        <w:t>mesenchymal o</w:t>
      </w:r>
      <w:r w:rsidR="00671B48" w:rsidRPr="00FA23BE">
        <w:t>r</w:t>
      </w:r>
      <w:r w:rsidR="009F15B0" w:rsidRPr="00FA23BE">
        <w:t>igin of isolated hASCs.</w:t>
      </w:r>
      <w:r w:rsidR="009663D4" w:rsidRPr="00FA23BE">
        <w:t xml:space="preserve"> </w:t>
      </w:r>
    </w:p>
    <w:p w14:paraId="710C26D7" w14:textId="77777777" w:rsidR="00B35379" w:rsidRPr="00FA23BE" w:rsidRDefault="00B35379" w:rsidP="00B35379">
      <w:pPr>
        <w:spacing w:line="480" w:lineRule="auto"/>
      </w:pPr>
    </w:p>
    <w:p w14:paraId="12AA0DA3" w14:textId="77777777" w:rsidR="006E7A8C" w:rsidRPr="00FA23BE" w:rsidRDefault="006E7A8C" w:rsidP="00B35379">
      <w:pPr>
        <w:spacing w:line="480" w:lineRule="auto"/>
        <w:rPr>
          <w:sz w:val="28"/>
          <w:szCs w:val="28"/>
        </w:rPr>
      </w:pPr>
      <w:r w:rsidRPr="00FA23BE">
        <w:rPr>
          <w:b/>
          <w:sz w:val="28"/>
          <w:szCs w:val="28"/>
        </w:rPr>
        <w:t>Preliminary cell viability and cytotoxicity experiments</w:t>
      </w:r>
    </w:p>
    <w:p w14:paraId="20D9E9CD" w14:textId="0C5B45C6" w:rsidR="006E7A8C" w:rsidRPr="00FA23BE" w:rsidRDefault="006E7A8C" w:rsidP="00B35379">
      <w:pPr>
        <w:spacing w:line="480" w:lineRule="auto"/>
      </w:pPr>
      <w:r w:rsidRPr="00FA23BE">
        <w:t xml:space="preserve">A commercial cell line from ATCC® (ATCC-PCS-500-011 Adipose-derived Mesenchymal stem cells; normal; human, USA) was used for preliminary alamarBlue™ </w:t>
      </w:r>
      <w:r w:rsidR="00767A02" w:rsidRPr="00FA23BE">
        <w:t>(</w:t>
      </w:r>
      <w:r w:rsidR="00767A02" w:rsidRPr="00FA23BE">
        <w:rPr>
          <w:color w:val="000000" w:themeColor="text1"/>
        </w:rPr>
        <w:t>Invitrogen, USA</w:t>
      </w:r>
      <w:r w:rsidR="00767A02" w:rsidRPr="00FA23BE">
        <w:t xml:space="preserve">) </w:t>
      </w:r>
      <w:r w:rsidRPr="00FA23BE">
        <w:t xml:space="preserve">measurements. Cells were cultured in Dulbecco´s modified eagle medium (DMEM; Gibco, UK) with 6% human serum for </w:t>
      </w:r>
      <w:r w:rsidR="000E7B0F" w:rsidRPr="00FA23BE">
        <w:t>7</w:t>
      </w:r>
      <w:r w:rsidRPr="00FA23BE">
        <w:t xml:space="preserve"> days. Cells were seeded with 30 000 cell</w:t>
      </w:r>
      <w:r w:rsidR="004014B7" w:rsidRPr="00FA23BE">
        <w:t>s</w:t>
      </w:r>
      <w:r w:rsidRPr="00FA23BE">
        <w:t>/cm</w:t>
      </w:r>
      <w:r w:rsidRPr="00FA23BE">
        <w:rPr>
          <w:vertAlign w:val="superscript"/>
        </w:rPr>
        <w:t>2</w:t>
      </w:r>
      <w:r w:rsidRPr="00FA23BE">
        <w:t xml:space="preserve"> (30k)-150k cell densities on Type 1, Type 3 and</w:t>
      </w:r>
      <w:r w:rsidR="004D796B" w:rsidRPr="00FA23BE">
        <w:t xml:space="preserve"> </w:t>
      </w:r>
      <w:r w:rsidR="00D87CDA" w:rsidRPr="00FA23BE">
        <w:rPr>
          <w:color w:val="000000" w:themeColor="text1"/>
        </w:rPr>
        <w:t>Type 4 NFC dressing</w:t>
      </w:r>
      <w:r w:rsidR="004D796B" w:rsidRPr="00FA23BE">
        <w:rPr>
          <w:color w:val="000000" w:themeColor="text1"/>
        </w:rPr>
        <w:t xml:space="preserve"> (</w:t>
      </w:r>
      <w:r w:rsidR="004D796B" w:rsidRPr="00FA23BE">
        <w:t>FibDex®)</w:t>
      </w:r>
      <w:r w:rsidRPr="00FA23BE">
        <w:rPr>
          <w:color w:val="000000" w:themeColor="text1"/>
        </w:rPr>
        <w:t xml:space="preserve"> </w:t>
      </w:r>
      <w:r w:rsidRPr="00FA23BE">
        <w:t>dressings on low adhesion 96-well inertGrade BRANDplates® (Sigma-Aldrich</w:t>
      </w:r>
      <w:r w:rsidR="002C6EFC" w:rsidRPr="00FA23BE">
        <w:t>, USA</w:t>
      </w:r>
      <w:r w:rsidRPr="00FA23BE">
        <w:t xml:space="preserve">). AlamarBlue™ and cytotoxicity assays </w:t>
      </w:r>
      <w:r w:rsidR="00132E4A" w:rsidRPr="00FA23BE">
        <w:t>(</w:t>
      </w:r>
      <w:r w:rsidR="00132E4A" w:rsidRPr="00FA23BE">
        <w:rPr>
          <w:color w:val="000000" w:themeColor="text1"/>
        </w:rPr>
        <w:t>Pierce™ LDH Cytotoxicity assay kit; Thermo Scientific, USA)</w:t>
      </w:r>
      <w:r w:rsidR="00132E4A" w:rsidRPr="00FA23BE">
        <w:t xml:space="preserve"> </w:t>
      </w:r>
      <w:r w:rsidRPr="00FA23BE">
        <w:t>were performed as described in manuscript.</w:t>
      </w:r>
    </w:p>
    <w:p w14:paraId="7BB4E4D5" w14:textId="77777777" w:rsidR="00EF018E" w:rsidRPr="00FA23BE" w:rsidRDefault="00EF018E" w:rsidP="00B35379">
      <w:pPr>
        <w:spacing w:line="480" w:lineRule="auto"/>
      </w:pPr>
    </w:p>
    <w:p w14:paraId="4BDE232B" w14:textId="77777777" w:rsidR="006E7A8C" w:rsidRPr="00FA23BE" w:rsidRDefault="006E7A8C" w:rsidP="00B35379">
      <w:pPr>
        <w:spacing w:line="480" w:lineRule="auto"/>
        <w:rPr>
          <w:rStyle w:val="normaltextrun"/>
          <w:b/>
          <w:color w:val="000000"/>
          <w:sz w:val="28"/>
          <w:szCs w:val="28"/>
          <w:shd w:val="clear" w:color="auto" w:fill="FFFFFF"/>
        </w:rPr>
      </w:pPr>
      <w:r w:rsidRPr="00FA23BE">
        <w:rPr>
          <w:rStyle w:val="normaltextrun"/>
          <w:b/>
          <w:color w:val="000000"/>
          <w:sz w:val="28"/>
          <w:szCs w:val="28"/>
          <w:shd w:val="clear" w:color="auto" w:fill="FFFFFF"/>
        </w:rPr>
        <w:t>Enzyme-linked immunosorbent assay</w:t>
      </w:r>
    </w:p>
    <w:p w14:paraId="23F7FDF7" w14:textId="7B9D03EA" w:rsidR="006E7A8C" w:rsidRPr="00FA23BE" w:rsidRDefault="006E7A8C" w:rsidP="00B35379">
      <w:pPr>
        <w:spacing w:line="480" w:lineRule="auto"/>
        <w:rPr>
          <w:rStyle w:val="eop"/>
          <w:color w:val="000000"/>
          <w:shd w:val="clear" w:color="auto" w:fill="FFFFFF"/>
        </w:rPr>
      </w:pPr>
      <w:r w:rsidRPr="00FA23BE">
        <w:rPr>
          <w:rStyle w:val="normaltextrun"/>
          <w:color w:val="000000"/>
          <w:shd w:val="clear" w:color="auto" w:fill="FFFFFF"/>
        </w:rPr>
        <w:t>hASCs from ATCC were seeded on top of Type 3 NFC dressing with 10 000 cell</w:t>
      </w:r>
      <w:r w:rsidR="00295574" w:rsidRPr="00FA23BE">
        <w:rPr>
          <w:rStyle w:val="normaltextrun"/>
          <w:color w:val="000000"/>
          <w:shd w:val="clear" w:color="auto" w:fill="FFFFFF"/>
        </w:rPr>
        <w:t>s</w:t>
      </w:r>
      <w:r w:rsidRPr="00FA23BE">
        <w:rPr>
          <w:rStyle w:val="normaltextrun"/>
          <w:color w:val="000000"/>
          <w:shd w:val="clear" w:color="auto" w:fill="FFFFFF"/>
        </w:rPr>
        <w:t>/cm</w:t>
      </w:r>
      <w:r w:rsidRPr="00FA23BE">
        <w:rPr>
          <w:rStyle w:val="normaltextrun"/>
          <w:color w:val="000000"/>
          <w:shd w:val="clear" w:color="auto" w:fill="FFFFFF"/>
          <w:vertAlign w:val="superscript"/>
        </w:rPr>
        <w:t>2 </w:t>
      </w:r>
      <w:r w:rsidRPr="00FA23BE">
        <w:rPr>
          <w:rStyle w:val="normaltextrun"/>
          <w:color w:val="000000"/>
          <w:shd w:val="clear" w:color="auto" w:fill="FFFFFF"/>
        </w:rPr>
        <w:t>cell density. </w:t>
      </w:r>
      <w:r w:rsidRPr="00FA23BE">
        <w:t xml:space="preserve">NFC dressings were coated with gelatin (Embryomax® 0,1% gelatin solution; </w:t>
      </w:r>
      <w:r w:rsidRPr="00FA23BE">
        <w:lastRenderedPageBreak/>
        <w:t>Millipore</w:t>
      </w:r>
      <w:r w:rsidR="002C6EFC" w:rsidRPr="00FA23BE">
        <w:t>, Germany</w:t>
      </w:r>
      <w:r w:rsidRPr="00FA23BE">
        <w:t xml:space="preserve">) for 30 minutes in RT prior to seeding. </w:t>
      </w:r>
      <w:r w:rsidRPr="00FA23BE">
        <w:rPr>
          <w:rStyle w:val="normaltextrun"/>
          <w:color w:val="000000"/>
          <w:shd w:val="clear" w:color="auto" w:fill="FFFFFF"/>
        </w:rPr>
        <w:t>At 80% confluency, cell medium was changed to serum-free medium and cell cultures were further incubated for 24 hours before collecting supernatant samples. Human Essential Th1/Th2 Cytokine 6-plex </w:t>
      </w:r>
      <w:r w:rsidRPr="00FA23BE">
        <w:rPr>
          <w:rStyle w:val="spellingerror"/>
          <w:color w:val="000000"/>
          <w:shd w:val="clear" w:color="auto" w:fill="FFFFFF"/>
        </w:rPr>
        <w:t>ProcartaPlex</w:t>
      </w:r>
      <w:r w:rsidRPr="00FA23BE">
        <w:rPr>
          <w:rStyle w:val="normaltextrun"/>
          <w:color w:val="000000"/>
          <w:shd w:val="clear" w:color="auto" w:fill="FFFFFF"/>
        </w:rPr>
        <w:t xml:space="preserve"> Panel™ (Thermo Scientific) was used to measure the secreted interleukin (IL)-4, IL-5, IL-6, IL-12p70, tumor necrosis factor </w:t>
      </w:r>
      <w:r w:rsidR="007C20AD" w:rsidRPr="00FA23BE">
        <w:rPr>
          <w:rStyle w:val="normaltextrun"/>
          <w:color w:val="000000"/>
          <w:shd w:val="clear" w:color="auto" w:fill="FFFFFF"/>
        </w:rPr>
        <w:t>(</w:t>
      </w:r>
      <w:r w:rsidR="00581F86" w:rsidRPr="00FA23BE">
        <w:rPr>
          <w:rStyle w:val="normaltextrun"/>
          <w:color w:val="000000"/>
          <w:shd w:val="clear" w:color="auto" w:fill="FFFFFF"/>
        </w:rPr>
        <w:t>TNF</w:t>
      </w:r>
      <w:r w:rsidR="007C20AD" w:rsidRPr="00FA23BE">
        <w:rPr>
          <w:rStyle w:val="normaltextrun"/>
          <w:color w:val="000000"/>
          <w:shd w:val="clear" w:color="auto" w:fill="FFFFFF"/>
        </w:rPr>
        <w:t>)</w:t>
      </w:r>
      <w:r w:rsidR="00581F86" w:rsidRPr="00FA23BE">
        <w:rPr>
          <w:rStyle w:val="normaltextrun"/>
          <w:color w:val="000000"/>
          <w:shd w:val="clear" w:color="auto" w:fill="FFFFFF"/>
        </w:rPr>
        <w:t>-</w:t>
      </w:r>
      <w:r w:rsidR="00DE1E25" w:rsidRPr="00FA23BE">
        <w:rPr>
          <w:rStyle w:val="normaltextrun"/>
          <w:color w:val="000000"/>
          <w:shd w:val="clear" w:color="auto" w:fill="FFFFFF"/>
        </w:rPr>
        <w:sym w:font="Symbol" w:char="F061"/>
      </w:r>
      <w:r w:rsidRPr="00FA23BE">
        <w:rPr>
          <w:rStyle w:val="normaltextrun"/>
          <w:color w:val="000000"/>
          <w:shd w:val="clear" w:color="auto" w:fill="FFFFFF"/>
        </w:rPr>
        <w:t xml:space="preserve"> and interferon </w:t>
      </w:r>
      <w:r w:rsidR="007C20AD" w:rsidRPr="00FA23BE">
        <w:rPr>
          <w:rStyle w:val="normaltextrun"/>
          <w:color w:val="000000"/>
          <w:shd w:val="clear" w:color="auto" w:fill="FFFFFF"/>
        </w:rPr>
        <w:t>(</w:t>
      </w:r>
      <w:r w:rsidRPr="00FA23BE">
        <w:rPr>
          <w:rStyle w:val="normaltextrun"/>
          <w:color w:val="000000"/>
          <w:shd w:val="clear" w:color="auto" w:fill="FFFFFF"/>
        </w:rPr>
        <w:t>IFN</w:t>
      </w:r>
      <w:r w:rsidR="007C20AD" w:rsidRPr="00FA23BE">
        <w:rPr>
          <w:rStyle w:val="normaltextrun"/>
          <w:color w:val="000000"/>
          <w:shd w:val="clear" w:color="auto" w:fill="FFFFFF"/>
        </w:rPr>
        <w:t>)</w:t>
      </w:r>
      <w:r w:rsidRPr="00FA23BE">
        <w:rPr>
          <w:rStyle w:val="normaltextrun"/>
          <w:color w:val="000000"/>
          <w:shd w:val="clear" w:color="auto" w:fill="FFFFFF"/>
        </w:rPr>
        <w:t>-γ. Human </w:t>
      </w:r>
      <w:r w:rsidRPr="00FA23BE">
        <w:rPr>
          <w:rStyle w:val="spellingerror"/>
          <w:color w:val="000000"/>
          <w:shd w:val="clear" w:color="auto" w:fill="FFFFFF"/>
        </w:rPr>
        <w:t>ProcartaPlex</w:t>
      </w:r>
      <w:r w:rsidRPr="00FA23BE">
        <w:rPr>
          <w:rStyle w:val="normaltextrun"/>
          <w:color w:val="000000"/>
          <w:shd w:val="clear" w:color="auto" w:fill="FFFFFF"/>
        </w:rPr>
        <w:t xml:space="preserve">™ Simplex kits (Thermo Scientific) were used to measure the secreted IL-10, </w:t>
      </w:r>
      <w:r w:rsidR="00E533DC" w:rsidRPr="00FA23BE">
        <w:rPr>
          <w:rStyle w:val="normaltextrun"/>
          <w:color w:val="000000"/>
          <w:shd w:val="clear" w:color="auto" w:fill="FFFFFF"/>
        </w:rPr>
        <w:t xml:space="preserve">epidermal </w:t>
      </w:r>
      <w:r w:rsidRPr="00FA23BE">
        <w:rPr>
          <w:rStyle w:val="normaltextrun"/>
          <w:color w:val="000000"/>
          <w:shd w:val="clear" w:color="auto" w:fill="FFFFFF"/>
        </w:rPr>
        <w:t>growth factor (EGF), fibroblast growth factor (FGF)2 and granulocyte-colony stimulation factor (G-CSF). VEGF-A Human ELISA kit (Thermo Scientific) and Human TGF-beta 1 ELISA kit (</w:t>
      </w:r>
      <w:r w:rsidRPr="00FA23BE">
        <w:rPr>
          <w:rStyle w:val="spellingerror"/>
          <w:color w:val="000000"/>
          <w:shd w:val="clear" w:color="auto" w:fill="FFFFFF"/>
        </w:rPr>
        <w:t>RayBiotech</w:t>
      </w:r>
      <w:r w:rsidRPr="00FA23BE">
        <w:rPr>
          <w:rStyle w:val="normaltextrun"/>
          <w:color w:val="000000"/>
          <w:shd w:val="clear" w:color="auto" w:fill="FFFFFF"/>
        </w:rPr>
        <w:t>, USA) were used to measure levels of secreted vascular endothelial growth factor-A (VEGF-A) and human transforming growth factor (TGF)</w:t>
      </w:r>
      <w:r w:rsidR="00AE15A1" w:rsidRPr="00FA23BE">
        <w:rPr>
          <w:rStyle w:val="normaltextrun"/>
          <w:color w:val="000000"/>
          <w:shd w:val="clear" w:color="auto" w:fill="FFFFFF"/>
        </w:rPr>
        <w:sym w:font="Symbol" w:char="F062"/>
      </w:r>
      <w:r w:rsidRPr="00FA23BE">
        <w:rPr>
          <w:rStyle w:val="normaltextrun"/>
          <w:color w:val="000000"/>
          <w:shd w:val="clear" w:color="auto" w:fill="FFFFFF"/>
        </w:rPr>
        <w:t>-1, respectively. All the assays were performed according to manufacturer’s instructions and analyzed using </w:t>
      </w:r>
      <w:r w:rsidRPr="00FA23BE">
        <w:rPr>
          <w:rStyle w:val="spellingerror"/>
          <w:color w:val="000000"/>
          <w:shd w:val="clear" w:color="auto" w:fill="FFFFFF"/>
        </w:rPr>
        <w:t>Varioskan</w:t>
      </w:r>
      <w:r w:rsidRPr="00FA23BE">
        <w:rPr>
          <w:rStyle w:val="normaltextrun"/>
          <w:color w:val="000000"/>
          <w:shd w:val="clear" w:color="auto" w:fill="FFFFFF"/>
        </w:rPr>
        <w:t> LUX and </w:t>
      </w:r>
      <w:r w:rsidRPr="00FA23BE">
        <w:rPr>
          <w:rStyle w:val="spellingerror"/>
          <w:color w:val="000000"/>
          <w:shd w:val="clear" w:color="auto" w:fill="FFFFFF"/>
        </w:rPr>
        <w:t>SkanIt</w:t>
      </w:r>
      <w:r w:rsidRPr="00FA23BE">
        <w:rPr>
          <w:rStyle w:val="normaltextrun"/>
          <w:color w:val="000000"/>
          <w:shd w:val="clear" w:color="auto" w:fill="FFFFFF"/>
        </w:rPr>
        <w:t> RE- program 5.0.</w:t>
      </w:r>
      <w:r w:rsidRPr="00FA23BE">
        <w:rPr>
          <w:rStyle w:val="eop"/>
          <w:color w:val="000000"/>
          <w:shd w:val="clear" w:color="auto" w:fill="FFFFFF"/>
        </w:rPr>
        <w:t> </w:t>
      </w:r>
    </w:p>
    <w:p w14:paraId="6D7B16D7" w14:textId="77777777" w:rsidR="00EF018E" w:rsidRPr="00FA23BE" w:rsidRDefault="00EF018E" w:rsidP="00B35379">
      <w:pPr>
        <w:spacing w:line="480" w:lineRule="auto"/>
        <w:rPr>
          <w:rStyle w:val="eop"/>
          <w:color w:val="000000"/>
          <w:shd w:val="clear" w:color="auto" w:fill="FFFFFF"/>
        </w:rPr>
      </w:pPr>
    </w:p>
    <w:p w14:paraId="589C4788" w14:textId="72334403" w:rsidR="006E7A8C" w:rsidRPr="00FA23BE" w:rsidRDefault="00D11F67" w:rsidP="00B35379">
      <w:pPr>
        <w:pStyle w:val="Heading2"/>
        <w:spacing w:line="48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A23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Supplementary r</w:t>
      </w:r>
      <w:r w:rsidR="006E7A8C" w:rsidRPr="00FA23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eferences</w:t>
      </w:r>
    </w:p>
    <w:sdt>
      <w:sdtPr>
        <w:rPr>
          <w:sz w:val="20"/>
          <w:szCs w:val="20"/>
        </w:rPr>
        <w:id w:val="1699346313"/>
        <w:placeholder>
          <w:docPart w:val="B042F69EF9194B439ADDF60047913A1E"/>
        </w:placeholder>
      </w:sdtPr>
      <w:sdtEndPr/>
      <w:sdtContent>
        <w:p w14:paraId="0608943A" w14:textId="5A63F7F0" w:rsidR="00CC20F5" w:rsidRPr="00FA23BE" w:rsidRDefault="006E7A8C" w:rsidP="00B35379">
          <w:pPr>
            <w:spacing w:line="480" w:lineRule="auto"/>
          </w:pPr>
          <w:r w:rsidRPr="00FA23BE">
            <w:t xml:space="preserve">1. Vuornos K, Ojansivu M, Koivisto JT, et al. Bioactive glass ions induce efficient osteogenic differentiation of human adipose stem cells encapsulated in gellan gum and collagen type I hydrogels. </w:t>
          </w:r>
          <w:r w:rsidRPr="00FA23BE">
            <w:rPr>
              <w:i/>
              <w:iCs/>
            </w:rPr>
            <w:t>Ma</w:t>
          </w:r>
          <w:r w:rsidR="00CC20F5" w:rsidRPr="00FA23BE">
            <w:rPr>
              <w:i/>
              <w:iCs/>
            </w:rPr>
            <w:t>ter Sci Eng C Mater Biol Appl.2019;</w:t>
          </w:r>
          <w:r w:rsidRPr="00FA23BE">
            <w:rPr>
              <w:i/>
              <w:iCs/>
            </w:rPr>
            <w:t xml:space="preserve"> </w:t>
          </w:r>
          <w:r w:rsidRPr="00FA23BE">
            <w:t>doi:10.1016/j.msec.2019.02.035.</w:t>
          </w:r>
        </w:p>
        <w:p w14:paraId="2ACAC77B" w14:textId="122A90FA" w:rsidR="001518B0" w:rsidRPr="00AF3035" w:rsidRDefault="00316883" w:rsidP="00B35379">
          <w:pPr>
            <w:spacing w:line="480" w:lineRule="auto"/>
          </w:pPr>
        </w:p>
      </w:sdtContent>
    </w:sdt>
    <w:sectPr w:rsidR="001518B0" w:rsidRPr="00AF3035" w:rsidSect="006C3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C5CE1" w14:textId="77777777" w:rsidR="00316883" w:rsidRDefault="00316883" w:rsidP="00CE767A">
      <w:pPr>
        <w:spacing w:after="0" w:line="240" w:lineRule="auto"/>
      </w:pPr>
      <w:r>
        <w:separator/>
      </w:r>
    </w:p>
  </w:endnote>
  <w:endnote w:type="continuationSeparator" w:id="0">
    <w:p w14:paraId="01512FD4" w14:textId="77777777" w:rsidR="00316883" w:rsidRDefault="00316883" w:rsidP="00CE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5FBD2" w14:textId="77777777" w:rsidR="00CE767A" w:rsidRDefault="00CE76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742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88859" w14:textId="584FF031" w:rsidR="00CD45F8" w:rsidRDefault="00CD45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3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A7AC3A" w14:textId="77777777" w:rsidR="00CE767A" w:rsidRDefault="00CE76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6AFF0" w14:textId="77777777" w:rsidR="00CE767A" w:rsidRDefault="00CE7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7641B" w14:textId="77777777" w:rsidR="00316883" w:rsidRDefault="00316883" w:rsidP="00CE767A">
      <w:pPr>
        <w:spacing w:after="0" w:line="240" w:lineRule="auto"/>
      </w:pPr>
      <w:r>
        <w:separator/>
      </w:r>
    </w:p>
  </w:footnote>
  <w:footnote w:type="continuationSeparator" w:id="0">
    <w:p w14:paraId="2129DC1E" w14:textId="77777777" w:rsidR="00316883" w:rsidRDefault="00316883" w:rsidP="00CE7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0C47F" w14:textId="77777777" w:rsidR="00CE767A" w:rsidRDefault="00CE76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DFB06" w14:textId="77777777" w:rsidR="00CE767A" w:rsidRDefault="00CE76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2576" w14:textId="77777777" w:rsidR="00CE767A" w:rsidRDefault="00CE7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264B1"/>
    <w:multiLevelType w:val="hybridMultilevel"/>
    <w:tmpl w:val="7D1E65E0"/>
    <w:lvl w:ilvl="0" w:tplc="199E415A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C358E"/>
    <w:multiLevelType w:val="hybridMultilevel"/>
    <w:tmpl w:val="8E34E3A2"/>
    <w:lvl w:ilvl="0" w:tplc="9956E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94"/>
    <w:rsid w:val="00011CA0"/>
    <w:rsid w:val="00016E0A"/>
    <w:rsid w:val="00020A4A"/>
    <w:rsid w:val="0002126B"/>
    <w:rsid w:val="00033632"/>
    <w:rsid w:val="0004217B"/>
    <w:rsid w:val="00043C7F"/>
    <w:rsid w:val="00044B04"/>
    <w:rsid w:val="00045F6D"/>
    <w:rsid w:val="00046B98"/>
    <w:rsid w:val="0004784A"/>
    <w:rsid w:val="000529FD"/>
    <w:rsid w:val="00067306"/>
    <w:rsid w:val="0006749C"/>
    <w:rsid w:val="0007083C"/>
    <w:rsid w:val="00073109"/>
    <w:rsid w:val="00081642"/>
    <w:rsid w:val="000837E6"/>
    <w:rsid w:val="00091A3B"/>
    <w:rsid w:val="00094C72"/>
    <w:rsid w:val="000A680F"/>
    <w:rsid w:val="000A6FCB"/>
    <w:rsid w:val="000A7A1E"/>
    <w:rsid w:val="000B480A"/>
    <w:rsid w:val="000B53EE"/>
    <w:rsid w:val="000C4DC4"/>
    <w:rsid w:val="000C57B9"/>
    <w:rsid w:val="000D17D0"/>
    <w:rsid w:val="000D1D09"/>
    <w:rsid w:val="000D2789"/>
    <w:rsid w:val="000D46CB"/>
    <w:rsid w:val="000D5091"/>
    <w:rsid w:val="000D5EFB"/>
    <w:rsid w:val="000E1102"/>
    <w:rsid w:val="000E3FD4"/>
    <w:rsid w:val="000E677F"/>
    <w:rsid w:val="000E7B0F"/>
    <w:rsid w:val="000F44DF"/>
    <w:rsid w:val="000F58AC"/>
    <w:rsid w:val="000F7EE0"/>
    <w:rsid w:val="00100284"/>
    <w:rsid w:val="001034FE"/>
    <w:rsid w:val="001043A5"/>
    <w:rsid w:val="0010469C"/>
    <w:rsid w:val="0010511E"/>
    <w:rsid w:val="00107C10"/>
    <w:rsid w:val="00111253"/>
    <w:rsid w:val="00111B04"/>
    <w:rsid w:val="00113A31"/>
    <w:rsid w:val="001146EE"/>
    <w:rsid w:val="0011478F"/>
    <w:rsid w:val="00114D8E"/>
    <w:rsid w:val="00120602"/>
    <w:rsid w:val="00121093"/>
    <w:rsid w:val="001212F9"/>
    <w:rsid w:val="001229F7"/>
    <w:rsid w:val="001232C7"/>
    <w:rsid w:val="0012364B"/>
    <w:rsid w:val="001276D9"/>
    <w:rsid w:val="00131CD6"/>
    <w:rsid w:val="00132E4A"/>
    <w:rsid w:val="00144D46"/>
    <w:rsid w:val="001478ED"/>
    <w:rsid w:val="001518B0"/>
    <w:rsid w:val="00151C48"/>
    <w:rsid w:val="00152615"/>
    <w:rsid w:val="00154D68"/>
    <w:rsid w:val="00155CF1"/>
    <w:rsid w:val="001567F4"/>
    <w:rsid w:val="00157A04"/>
    <w:rsid w:val="001612A4"/>
    <w:rsid w:val="001615C5"/>
    <w:rsid w:val="00161AC0"/>
    <w:rsid w:val="00162F9D"/>
    <w:rsid w:val="00164114"/>
    <w:rsid w:val="001673B6"/>
    <w:rsid w:val="00173972"/>
    <w:rsid w:val="0017740A"/>
    <w:rsid w:val="00177A87"/>
    <w:rsid w:val="00186305"/>
    <w:rsid w:val="00191B5B"/>
    <w:rsid w:val="00192C93"/>
    <w:rsid w:val="001930E1"/>
    <w:rsid w:val="00196B5D"/>
    <w:rsid w:val="0019750A"/>
    <w:rsid w:val="001A1435"/>
    <w:rsid w:val="001A6283"/>
    <w:rsid w:val="001B2461"/>
    <w:rsid w:val="001B3AB8"/>
    <w:rsid w:val="001B76C9"/>
    <w:rsid w:val="001C043B"/>
    <w:rsid w:val="001C4F95"/>
    <w:rsid w:val="001D1659"/>
    <w:rsid w:val="001D2EC0"/>
    <w:rsid w:val="001D3E0B"/>
    <w:rsid w:val="001D53EC"/>
    <w:rsid w:val="001D6BCE"/>
    <w:rsid w:val="001D6DF5"/>
    <w:rsid w:val="001E19B8"/>
    <w:rsid w:val="001E3972"/>
    <w:rsid w:val="001E757F"/>
    <w:rsid w:val="001F033C"/>
    <w:rsid w:val="001F1255"/>
    <w:rsid w:val="001F1F0D"/>
    <w:rsid w:val="00203734"/>
    <w:rsid w:val="00204DF1"/>
    <w:rsid w:val="0021038C"/>
    <w:rsid w:val="00216D9D"/>
    <w:rsid w:val="00221953"/>
    <w:rsid w:val="00221A90"/>
    <w:rsid w:val="00227963"/>
    <w:rsid w:val="00233AB0"/>
    <w:rsid w:val="00233EB7"/>
    <w:rsid w:val="00242AF9"/>
    <w:rsid w:val="00247CA1"/>
    <w:rsid w:val="00250813"/>
    <w:rsid w:val="00250BA8"/>
    <w:rsid w:val="00253A06"/>
    <w:rsid w:val="002570E6"/>
    <w:rsid w:val="00261FA4"/>
    <w:rsid w:val="00265740"/>
    <w:rsid w:val="00266691"/>
    <w:rsid w:val="00266A23"/>
    <w:rsid w:val="0027771A"/>
    <w:rsid w:val="0028012E"/>
    <w:rsid w:val="00281335"/>
    <w:rsid w:val="00284FA1"/>
    <w:rsid w:val="002917B7"/>
    <w:rsid w:val="00292BE1"/>
    <w:rsid w:val="00292F3B"/>
    <w:rsid w:val="002940E4"/>
    <w:rsid w:val="002944B7"/>
    <w:rsid w:val="00295574"/>
    <w:rsid w:val="002A0A22"/>
    <w:rsid w:val="002A21A8"/>
    <w:rsid w:val="002A23BF"/>
    <w:rsid w:val="002A24C7"/>
    <w:rsid w:val="002A5C5C"/>
    <w:rsid w:val="002A65E7"/>
    <w:rsid w:val="002A762C"/>
    <w:rsid w:val="002B4DAE"/>
    <w:rsid w:val="002C00F3"/>
    <w:rsid w:val="002C3B33"/>
    <w:rsid w:val="002C64CC"/>
    <w:rsid w:val="002C6EFC"/>
    <w:rsid w:val="002D6534"/>
    <w:rsid w:val="002E191D"/>
    <w:rsid w:val="002E1EF8"/>
    <w:rsid w:val="002E2B2B"/>
    <w:rsid w:val="002E4E79"/>
    <w:rsid w:val="002E66FA"/>
    <w:rsid w:val="002F7D32"/>
    <w:rsid w:val="00300326"/>
    <w:rsid w:val="00303758"/>
    <w:rsid w:val="00310691"/>
    <w:rsid w:val="003146B7"/>
    <w:rsid w:val="00316883"/>
    <w:rsid w:val="003222A9"/>
    <w:rsid w:val="00330EF4"/>
    <w:rsid w:val="003344BB"/>
    <w:rsid w:val="0033610F"/>
    <w:rsid w:val="003366D0"/>
    <w:rsid w:val="0034061C"/>
    <w:rsid w:val="00341FB5"/>
    <w:rsid w:val="0034441F"/>
    <w:rsid w:val="00352837"/>
    <w:rsid w:val="00352E92"/>
    <w:rsid w:val="00356AB6"/>
    <w:rsid w:val="003609F4"/>
    <w:rsid w:val="00365019"/>
    <w:rsid w:val="00375875"/>
    <w:rsid w:val="00375D9E"/>
    <w:rsid w:val="00377C93"/>
    <w:rsid w:val="0038492A"/>
    <w:rsid w:val="00385263"/>
    <w:rsid w:val="00386290"/>
    <w:rsid w:val="00387B41"/>
    <w:rsid w:val="00391D8D"/>
    <w:rsid w:val="00392646"/>
    <w:rsid w:val="00395714"/>
    <w:rsid w:val="003A26DD"/>
    <w:rsid w:val="003A59D3"/>
    <w:rsid w:val="003A5F15"/>
    <w:rsid w:val="003A74A8"/>
    <w:rsid w:val="003B0FE6"/>
    <w:rsid w:val="003B3A48"/>
    <w:rsid w:val="003B3FCE"/>
    <w:rsid w:val="003B5EBC"/>
    <w:rsid w:val="003C62FC"/>
    <w:rsid w:val="003D533D"/>
    <w:rsid w:val="003D6311"/>
    <w:rsid w:val="003D7F52"/>
    <w:rsid w:val="003E4A98"/>
    <w:rsid w:val="003F0617"/>
    <w:rsid w:val="003F0EDF"/>
    <w:rsid w:val="003F1DB8"/>
    <w:rsid w:val="003F270B"/>
    <w:rsid w:val="00400609"/>
    <w:rsid w:val="004014B7"/>
    <w:rsid w:val="00403806"/>
    <w:rsid w:val="00403828"/>
    <w:rsid w:val="00404A70"/>
    <w:rsid w:val="00404D48"/>
    <w:rsid w:val="00407D5F"/>
    <w:rsid w:val="004170F4"/>
    <w:rsid w:val="004177F8"/>
    <w:rsid w:val="004235D7"/>
    <w:rsid w:val="004256A9"/>
    <w:rsid w:val="00426B63"/>
    <w:rsid w:val="004279E0"/>
    <w:rsid w:val="00430F34"/>
    <w:rsid w:val="004334B5"/>
    <w:rsid w:val="0044264F"/>
    <w:rsid w:val="004477F0"/>
    <w:rsid w:val="004501CB"/>
    <w:rsid w:val="0045317A"/>
    <w:rsid w:val="00453D83"/>
    <w:rsid w:val="00455441"/>
    <w:rsid w:val="00455FC0"/>
    <w:rsid w:val="004563A3"/>
    <w:rsid w:val="00466E9B"/>
    <w:rsid w:val="00471E60"/>
    <w:rsid w:val="004726A0"/>
    <w:rsid w:val="004752C7"/>
    <w:rsid w:val="00481F32"/>
    <w:rsid w:val="00482576"/>
    <w:rsid w:val="00484C47"/>
    <w:rsid w:val="00490D10"/>
    <w:rsid w:val="00490FC9"/>
    <w:rsid w:val="00491B00"/>
    <w:rsid w:val="0049321B"/>
    <w:rsid w:val="004A08E0"/>
    <w:rsid w:val="004A0D2F"/>
    <w:rsid w:val="004A7195"/>
    <w:rsid w:val="004B1EFC"/>
    <w:rsid w:val="004B21DA"/>
    <w:rsid w:val="004B5496"/>
    <w:rsid w:val="004B7F28"/>
    <w:rsid w:val="004C299C"/>
    <w:rsid w:val="004C4B30"/>
    <w:rsid w:val="004C4CFD"/>
    <w:rsid w:val="004C757F"/>
    <w:rsid w:val="004D1341"/>
    <w:rsid w:val="004D1971"/>
    <w:rsid w:val="004D5794"/>
    <w:rsid w:val="004D6155"/>
    <w:rsid w:val="004D6491"/>
    <w:rsid w:val="004D796B"/>
    <w:rsid w:val="004D7C33"/>
    <w:rsid w:val="004E1F6F"/>
    <w:rsid w:val="004E4901"/>
    <w:rsid w:val="004E56D2"/>
    <w:rsid w:val="004F018C"/>
    <w:rsid w:val="004F086E"/>
    <w:rsid w:val="004F0E74"/>
    <w:rsid w:val="004F35E9"/>
    <w:rsid w:val="004F42D8"/>
    <w:rsid w:val="004F501F"/>
    <w:rsid w:val="00502044"/>
    <w:rsid w:val="00505D65"/>
    <w:rsid w:val="005122B5"/>
    <w:rsid w:val="005130B4"/>
    <w:rsid w:val="00515981"/>
    <w:rsid w:val="00520655"/>
    <w:rsid w:val="0052081A"/>
    <w:rsid w:val="005303D0"/>
    <w:rsid w:val="005337CD"/>
    <w:rsid w:val="00534FB9"/>
    <w:rsid w:val="0053581A"/>
    <w:rsid w:val="00537651"/>
    <w:rsid w:val="0054117B"/>
    <w:rsid w:val="0055247D"/>
    <w:rsid w:val="0055305B"/>
    <w:rsid w:val="00554C1E"/>
    <w:rsid w:val="00562EDA"/>
    <w:rsid w:val="00565E31"/>
    <w:rsid w:val="00570300"/>
    <w:rsid w:val="00573BD0"/>
    <w:rsid w:val="0057619C"/>
    <w:rsid w:val="00581F86"/>
    <w:rsid w:val="00582D15"/>
    <w:rsid w:val="00583E53"/>
    <w:rsid w:val="0058410D"/>
    <w:rsid w:val="00586AB5"/>
    <w:rsid w:val="0058777E"/>
    <w:rsid w:val="0059701A"/>
    <w:rsid w:val="005A1C38"/>
    <w:rsid w:val="005A3B31"/>
    <w:rsid w:val="005A45CC"/>
    <w:rsid w:val="005A5652"/>
    <w:rsid w:val="005B092B"/>
    <w:rsid w:val="005B3A80"/>
    <w:rsid w:val="005D3CA3"/>
    <w:rsid w:val="005D588E"/>
    <w:rsid w:val="005E0A7F"/>
    <w:rsid w:val="005E2CFC"/>
    <w:rsid w:val="00601CEE"/>
    <w:rsid w:val="00604293"/>
    <w:rsid w:val="00604477"/>
    <w:rsid w:val="00604A5F"/>
    <w:rsid w:val="006073C2"/>
    <w:rsid w:val="00612304"/>
    <w:rsid w:val="00622131"/>
    <w:rsid w:val="00624101"/>
    <w:rsid w:val="006364A0"/>
    <w:rsid w:val="00644FE7"/>
    <w:rsid w:val="00645717"/>
    <w:rsid w:val="0064754E"/>
    <w:rsid w:val="00653B6C"/>
    <w:rsid w:val="00656783"/>
    <w:rsid w:val="00657B5E"/>
    <w:rsid w:val="00665A69"/>
    <w:rsid w:val="00671B48"/>
    <w:rsid w:val="00676666"/>
    <w:rsid w:val="00676AD2"/>
    <w:rsid w:val="00676F0E"/>
    <w:rsid w:val="006771C1"/>
    <w:rsid w:val="00683979"/>
    <w:rsid w:val="00686505"/>
    <w:rsid w:val="0068664E"/>
    <w:rsid w:val="0068746A"/>
    <w:rsid w:val="00691631"/>
    <w:rsid w:val="0069410D"/>
    <w:rsid w:val="00694D05"/>
    <w:rsid w:val="0069648B"/>
    <w:rsid w:val="00696716"/>
    <w:rsid w:val="006A0410"/>
    <w:rsid w:val="006A0FC6"/>
    <w:rsid w:val="006A501F"/>
    <w:rsid w:val="006A519B"/>
    <w:rsid w:val="006B39F5"/>
    <w:rsid w:val="006B72E0"/>
    <w:rsid w:val="006B7899"/>
    <w:rsid w:val="006C0AD8"/>
    <w:rsid w:val="006C3CCE"/>
    <w:rsid w:val="006D61FB"/>
    <w:rsid w:val="006E1F8B"/>
    <w:rsid w:val="006E2C37"/>
    <w:rsid w:val="006E5992"/>
    <w:rsid w:val="006E5B88"/>
    <w:rsid w:val="006E6598"/>
    <w:rsid w:val="006E78D6"/>
    <w:rsid w:val="006E7A8C"/>
    <w:rsid w:val="006F06DD"/>
    <w:rsid w:val="006F7EAE"/>
    <w:rsid w:val="00705190"/>
    <w:rsid w:val="007150E0"/>
    <w:rsid w:val="00721D97"/>
    <w:rsid w:val="007224BB"/>
    <w:rsid w:val="007273C8"/>
    <w:rsid w:val="0073209B"/>
    <w:rsid w:val="00732524"/>
    <w:rsid w:val="007342C4"/>
    <w:rsid w:val="00740C19"/>
    <w:rsid w:val="00742324"/>
    <w:rsid w:val="0074310E"/>
    <w:rsid w:val="007451EB"/>
    <w:rsid w:val="00745422"/>
    <w:rsid w:val="00745D9E"/>
    <w:rsid w:val="007520B3"/>
    <w:rsid w:val="007552CD"/>
    <w:rsid w:val="007555B3"/>
    <w:rsid w:val="00765713"/>
    <w:rsid w:val="00767504"/>
    <w:rsid w:val="007676D8"/>
    <w:rsid w:val="00767A02"/>
    <w:rsid w:val="00767EB5"/>
    <w:rsid w:val="007746EC"/>
    <w:rsid w:val="00783076"/>
    <w:rsid w:val="007851DA"/>
    <w:rsid w:val="00790410"/>
    <w:rsid w:val="00792CED"/>
    <w:rsid w:val="00794122"/>
    <w:rsid w:val="00797608"/>
    <w:rsid w:val="00797909"/>
    <w:rsid w:val="007A12C0"/>
    <w:rsid w:val="007A3B38"/>
    <w:rsid w:val="007A600E"/>
    <w:rsid w:val="007B19E0"/>
    <w:rsid w:val="007B2EC8"/>
    <w:rsid w:val="007C01B6"/>
    <w:rsid w:val="007C20AD"/>
    <w:rsid w:val="007C4A30"/>
    <w:rsid w:val="007C66A3"/>
    <w:rsid w:val="007C6E39"/>
    <w:rsid w:val="007D043C"/>
    <w:rsid w:val="007D2AB3"/>
    <w:rsid w:val="007E02BD"/>
    <w:rsid w:val="007E52B3"/>
    <w:rsid w:val="007E6F78"/>
    <w:rsid w:val="007F1046"/>
    <w:rsid w:val="00805AB6"/>
    <w:rsid w:val="00807605"/>
    <w:rsid w:val="00814925"/>
    <w:rsid w:val="00815490"/>
    <w:rsid w:val="0082036C"/>
    <w:rsid w:val="0082169A"/>
    <w:rsid w:val="008257A1"/>
    <w:rsid w:val="008267AE"/>
    <w:rsid w:val="00832030"/>
    <w:rsid w:val="00833E0F"/>
    <w:rsid w:val="008375A7"/>
    <w:rsid w:val="00841D09"/>
    <w:rsid w:val="00851A7A"/>
    <w:rsid w:val="0086050D"/>
    <w:rsid w:val="008619C8"/>
    <w:rsid w:val="008642FC"/>
    <w:rsid w:val="00865536"/>
    <w:rsid w:val="008671D0"/>
    <w:rsid w:val="0086734B"/>
    <w:rsid w:val="008771D2"/>
    <w:rsid w:val="00886A1E"/>
    <w:rsid w:val="008906DF"/>
    <w:rsid w:val="0089081F"/>
    <w:rsid w:val="0089290E"/>
    <w:rsid w:val="00896A3F"/>
    <w:rsid w:val="008A0856"/>
    <w:rsid w:val="008A1E5F"/>
    <w:rsid w:val="008A6030"/>
    <w:rsid w:val="008A6976"/>
    <w:rsid w:val="008A6AAA"/>
    <w:rsid w:val="008B3402"/>
    <w:rsid w:val="008B5C1C"/>
    <w:rsid w:val="008C2272"/>
    <w:rsid w:val="008C3306"/>
    <w:rsid w:val="008C525C"/>
    <w:rsid w:val="008C62C4"/>
    <w:rsid w:val="008C6C91"/>
    <w:rsid w:val="008C7900"/>
    <w:rsid w:val="008D4192"/>
    <w:rsid w:val="008D639D"/>
    <w:rsid w:val="008E0CFD"/>
    <w:rsid w:val="008E7055"/>
    <w:rsid w:val="008E70AB"/>
    <w:rsid w:val="008F3BAE"/>
    <w:rsid w:val="008F4450"/>
    <w:rsid w:val="008F4CB7"/>
    <w:rsid w:val="008F67D1"/>
    <w:rsid w:val="008F76FC"/>
    <w:rsid w:val="00900273"/>
    <w:rsid w:val="00900ADE"/>
    <w:rsid w:val="00901D26"/>
    <w:rsid w:val="009027C7"/>
    <w:rsid w:val="00911EE0"/>
    <w:rsid w:val="009125A6"/>
    <w:rsid w:val="00915C0E"/>
    <w:rsid w:val="00921A04"/>
    <w:rsid w:val="0092433B"/>
    <w:rsid w:val="00930762"/>
    <w:rsid w:val="009312A8"/>
    <w:rsid w:val="009337F1"/>
    <w:rsid w:val="00937863"/>
    <w:rsid w:val="0094217F"/>
    <w:rsid w:val="009509A8"/>
    <w:rsid w:val="009516A2"/>
    <w:rsid w:val="00954BDB"/>
    <w:rsid w:val="0095507B"/>
    <w:rsid w:val="0095731F"/>
    <w:rsid w:val="009576B0"/>
    <w:rsid w:val="00962087"/>
    <w:rsid w:val="009663D4"/>
    <w:rsid w:val="00966F4D"/>
    <w:rsid w:val="00967280"/>
    <w:rsid w:val="00967B50"/>
    <w:rsid w:val="00971663"/>
    <w:rsid w:val="00980A1E"/>
    <w:rsid w:val="009870BE"/>
    <w:rsid w:val="009941DF"/>
    <w:rsid w:val="00997213"/>
    <w:rsid w:val="009A2A16"/>
    <w:rsid w:val="009A314C"/>
    <w:rsid w:val="009A69E7"/>
    <w:rsid w:val="009B4C85"/>
    <w:rsid w:val="009C2604"/>
    <w:rsid w:val="009C2ADE"/>
    <w:rsid w:val="009C60C1"/>
    <w:rsid w:val="009C6249"/>
    <w:rsid w:val="009D540D"/>
    <w:rsid w:val="009D6544"/>
    <w:rsid w:val="009E1706"/>
    <w:rsid w:val="009E3BAC"/>
    <w:rsid w:val="009E55E0"/>
    <w:rsid w:val="009E5F82"/>
    <w:rsid w:val="009F15B0"/>
    <w:rsid w:val="009F1D47"/>
    <w:rsid w:val="00A010FD"/>
    <w:rsid w:val="00A02E9C"/>
    <w:rsid w:val="00A05BC4"/>
    <w:rsid w:val="00A07701"/>
    <w:rsid w:val="00A10000"/>
    <w:rsid w:val="00A121E1"/>
    <w:rsid w:val="00A13D21"/>
    <w:rsid w:val="00A2128F"/>
    <w:rsid w:val="00A27439"/>
    <w:rsid w:val="00A31088"/>
    <w:rsid w:val="00A37C2A"/>
    <w:rsid w:val="00A42EBA"/>
    <w:rsid w:val="00A469EE"/>
    <w:rsid w:val="00A539F3"/>
    <w:rsid w:val="00A55F15"/>
    <w:rsid w:val="00A56AA7"/>
    <w:rsid w:val="00A64BD8"/>
    <w:rsid w:val="00A6699F"/>
    <w:rsid w:val="00A70CC9"/>
    <w:rsid w:val="00A75721"/>
    <w:rsid w:val="00A75ED1"/>
    <w:rsid w:val="00A8099A"/>
    <w:rsid w:val="00A878F8"/>
    <w:rsid w:val="00A87AAF"/>
    <w:rsid w:val="00A91708"/>
    <w:rsid w:val="00A919C6"/>
    <w:rsid w:val="00A94951"/>
    <w:rsid w:val="00A949B8"/>
    <w:rsid w:val="00A97545"/>
    <w:rsid w:val="00AA05A2"/>
    <w:rsid w:val="00AA0CBD"/>
    <w:rsid w:val="00AA6BB2"/>
    <w:rsid w:val="00AA7451"/>
    <w:rsid w:val="00AC2471"/>
    <w:rsid w:val="00AC36EF"/>
    <w:rsid w:val="00AC417A"/>
    <w:rsid w:val="00AC4D2A"/>
    <w:rsid w:val="00AC5376"/>
    <w:rsid w:val="00AC61EE"/>
    <w:rsid w:val="00AC75B1"/>
    <w:rsid w:val="00AD061E"/>
    <w:rsid w:val="00AD1D0D"/>
    <w:rsid w:val="00AD43AE"/>
    <w:rsid w:val="00AD5144"/>
    <w:rsid w:val="00AE15A1"/>
    <w:rsid w:val="00AE2B8F"/>
    <w:rsid w:val="00AF3035"/>
    <w:rsid w:val="00B06145"/>
    <w:rsid w:val="00B134B7"/>
    <w:rsid w:val="00B242B5"/>
    <w:rsid w:val="00B249D7"/>
    <w:rsid w:val="00B25387"/>
    <w:rsid w:val="00B3261E"/>
    <w:rsid w:val="00B35379"/>
    <w:rsid w:val="00B35B76"/>
    <w:rsid w:val="00B417A9"/>
    <w:rsid w:val="00B52162"/>
    <w:rsid w:val="00B536B0"/>
    <w:rsid w:val="00B55CFB"/>
    <w:rsid w:val="00B60154"/>
    <w:rsid w:val="00B60A2E"/>
    <w:rsid w:val="00B63205"/>
    <w:rsid w:val="00B6720E"/>
    <w:rsid w:val="00B724E2"/>
    <w:rsid w:val="00B72978"/>
    <w:rsid w:val="00B73A0F"/>
    <w:rsid w:val="00B746A4"/>
    <w:rsid w:val="00B778B0"/>
    <w:rsid w:val="00B801D7"/>
    <w:rsid w:val="00B878F9"/>
    <w:rsid w:val="00BA109C"/>
    <w:rsid w:val="00BA269A"/>
    <w:rsid w:val="00BA4A36"/>
    <w:rsid w:val="00BB1FF5"/>
    <w:rsid w:val="00BB50B9"/>
    <w:rsid w:val="00BB58A9"/>
    <w:rsid w:val="00BB5EBD"/>
    <w:rsid w:val="00BC0314"/>
    <w:rsid w:val="00BC1E69"/>
    <w:rsid w:val="00BC33D4"/>
    <w:rsid w:val="00BC474A"/>
    <w:rsid w:val="00BC5285"/>
    <w:rsid w:val="00BC7EE0"/>
    <w:rsid w:val="00BD45CE"/>
    <w:rsid w:val="00BE35FF"/>
    <w:rsid w:val="00BF350E"/>
    <w:rsid w:val="00C02670"/>
    <w:rsid w:val="00C05CC9"/>
    <w:rsid w:val="00C06BD2"/>
    <w:rsid w:val="00C100D6"/>
    <w:rsid w:val="00C2266A"/>
    <w:rsid w:val="00C23FDB"/>
    <w:rsid w:val="00C32A2B"/>
    <w:rsid w:val="00C33016"/>
    <w:rsid w:val="00C36B4D"/>
    <w:rsid w:val="00C42445"/>
    <w:rsid w:val="00C4359A"/>
    <w:rsid w:val="00C43C5E"/>
    <w:rsid w:val="00C44ED1"/>
    <w:rsid w:val="00C47317"/>
    <w:rsid w:val="00C562C7"/>
    <w:rsid w:val="00C61BEA"/>
    <w:rsid w:val="00C62629"/>
    <w:rsid w:val="00C658CB"/>
    <w:rsid w:val="00C735F8"/>
    <w:rsid w:val="00C740FC"/>
    <w:rsid w:val="00C82572"/>
    <w:rsid w:val="00C848B7"/>
    <w:rsid w:val="00C87794"/>
    <w:rsid w:val="00C90774"/>
    <w:rsid w:val="00C927DC"/>
    <w:rsid w:val="00C9684A"/>
    <w:rsid w:val="00CA05D9"/>
    <w:rsid w:val="00CA156D"/>
    <w:rsid w:val="00CA1C1A"/>
    <w:rsid w:val="00CA3C3A"/>
    <w:rsid w:val="00CB4A8C"/>
    <w:rsid w:val="00CB5239"/>
    <w:rsid w:val="00CB768A"/>
    <w:rsid w:val="00CC1DCC"/>
    <w:rsid w:val="00CC1ECD"/>
    <w:rsid w:val="00CC20F5"/>
    <w:rsid w:val="00CC754C"/>
    <w:rsid w:val="00CC7CE2"/>
    <w:rsid w:val="00CD45F8"/>
    <w:rsid w:val="00CE1510"/>
    <w:rsid w:val="00CE287D"/>
    <w:rsid w:val="00CE41C7"/>
    <w:rsid w:val="00CE6DCB"/>
    <w:rsid w:val="00CE7040"/>
    <w:rsid w:val="00CE767A"/>
    <w:rsid w:val="00CF13F0"/>
    <w:rsid w:val="00CF1B0E"/>
    <w:rsid w:val="00D04910"/>
    <w:rsid w:val="00D10E98"/>
    <w:rsid w:val="00D11F67"/>
    <w:rsid w:val="00D130D0"/>
    <w:rsid w:val="00D16072"/>
    <w:rsid w:val="00D170E4"/>
    <w:rsid w:val="00D174BA"/>
    <w:rsid w:val="00D24B58"/>
    <w:rsid w:val="00D27810"/>
    <w:rsid w:val="00D45761"/>
    <w:rsid w:val="00D5345E"/>
    <w:rsid w:val="00D53BC5"/>
    <w:rsid w:val="00D548FA"/>
    <w:rsid w:val="00D62F96"/>
    <w:rsid w:val="00D706F7"/>
    <w:rsid w:val="00D725D8"/>
    <w:rsid w:val="00D73FB8"/>
    <w:rsid w:val="00D775A2"/>
    <w:rsid w:val="00D824F1"/>
    <w:rsid w:val="00D832FE"/>
    <w:rsid w:val="00D83FB8"/>
    <w:rsid w:val="00D849FA"/>
    <w:rsid w:val="00D87CDA"/>
    <w:rsid w:val="00D92880"/>
    <w:rsid w:val="00D9497F"/>
    <w:rsid w:val="00D96D6B"/>
    <w:rsid w:val="00DA6FE7"/>
    <w:rsid w:val="00DA7A61"/>
    <w:rsid w:val="00DB056F"/>
    <w:rsid w:val="00DB5375"/>
    <w:rsid w:val="00DC0B74"/>
    <w:rsid w:val="00DC0DF7"/>
    <w:rsid w:val="00DC1611"/>
    <w:rsid w:val="00DD02BD"/>
    <w:rsid w:val="00DD2BAB"/>
    <w:rsid w:val="00DE0F58"/>
    <w:rsid w:val="00DE1E25"/>
    <w:rsid w:val="00DE33E1"/>
    <w:rsid w:val="00DF7C32"/>
    <w:rsid w:val="00E028B3"/>
    <w:rsid w:val="00E03299"/>
    <w:rsid w:val="00E03853"/>
    <w:rsid w:val="00E064EE"/>
    <w:rsid w:val="00E0725F"/>
    <w:rsid w:val="00E22AC6"/>
    <w:rsid w:val="00E2614D"/>
    <w:rsid w:val="00E26376"/>
    <w:rsid w:val="00E322A8"/>
    <w:rsid w:val="00E32BC6"/>
    <w:rsid w:val="00E33FE0"/>
    <w:rsid w:val="00E346A9"/>
    <w:rsid w:val="00E41284"/>
    <w:rsid w:val="00E454D7"/>
    <w:rsid w:val="00E46D27"/>
    <w:rsid w:val="00E47572"/>
    <w:rsid w:val="00E50584"/>
    <w:rsid w:val="00E50A88"/>
    <w:rsid w:val="00E510EC"/>
    <w:rsid w:val="00E533DC"/>
    <w:rsid w:val="00E60CA8"/>
    <w:rsid w:val="00E61B2D"/>
    <w:rsid w:val="00E638FB"/>
    <w:rsid w:val="00E670FF"/>
    <w:rsid w:val="00E67703"/>
    <w:rsid w:val="00E70EF0"/>
    <w:rsid w:val="00E71459"/>
    <w:rsid w:val="00E74FD2"/>
    <w:rsid w:val="00E777D6"/>
    <w:rsid w:val="00E77D4B"/>
    <w:rsid w:val="00E80B09"/>
    <w:rsid w:val="00E833A6"/>
    <w:rsid w:val="00E83E6E"/>
    <w:rsid w:val="00E85FED"/>
    <w:rsid w:val="00E912AC"/>
    <w:rsid w:val="00E97C76"/>
    <w:rsid w:val="00EA4710"/>
    <w:rsid w:val="00EA7723"/>
    <w:rsid w:val="00EB0468"/>
    <w:rsid w:val="00EB0E2B"/>
    <w:rsid w:val="00EB32A1"/>
    <w:rsid w:val="00EB4E80"/>
    <w:rsid w:val="00ED26B6"/>
    <w:rsid w:val="00ED332C"/>
    <w:rsid w:val="00ED3FB6"/>
    <w:rsid w:val="00ED6195"/>
    <w:rsid w:val="00EE1727"/>
    <w:rsid w:val="00EE32BD"/>
    <w:rsid w:val="00EE4465"/>
    <w:rsid w:val="00EE4AFB"/>
    <w:rsid w:val="00EE53D2"/>
    <w:rsid w:val="00EE635F"/>
    <w:rsid w:val="00EF018E"/>
    <w:rsid w:val="00EF1045"/>
    <w:rsid w:val="00EF15D8"/>
    <w:rsid w:val="00EF191D"/>
    <w:rsid w:val="00EF1C8D"/>
    <w:rsid w:val="00EF2C67"/>
    <w:rsid w:val="00EF72A0"/>
    <w:rsid w:val="00EF7F3D"/>
    <w:rsid w:val="00F017A3"/>
    <w:rsid w:val="00F03356"/>
    <w:rsid w:val="00F04DA0"/>
    <w:rsid w:val="00F0725C"/>
    <w:rsid w:val="00F07AE6"/>
    <w:rsid w:val="00F11CEC"/>
    <w:rsid w:val="00F1704E"/>
    <w:rsid w:val="00F2059C"/>
    <w:rsid w:val="00F20EC4"/>
    <w:rsid w:val="00F25CCD"/>
    <w:rsid w:val="00F26FED"/>
    <w:rsid w:val="00F27F0E"/>
    <w:rsid w:val="00F30C3A"/>
    <w:rsid w:val="00F32AB7"/>
    <w:rsid w:val="00F36A72"/>
    <w:rsid w:val="00F46F4D"/>
    <w:rsid w:val="00F5173D"/>
    <w:rsid w:val="00F52E9A"/>
    <w:rsid w:val="00F55ACD"/>
    <w:rsid w:val="00F57C7D"/>
    <w:rsid w:val="00F6079D"/>
    <w:rsid w:val="00F72D73"/>
    <w:rsid w:val="00F75BB6"/>
    <w:rsid w:val="00F772D7"/>
    <w:rsid w:val="00F84B75"/>
    <w:rsid w:val="00F86F93"/>
    <w:rsid w:val="00F91BAA"/>
    <w:rsid w:val="00FA23BE"/>
    <w:rsid w:val="00FA4538"/>
    <w:rsid w:val="00FA4D09"/>
    <w:rsid w:val="00FA53F7"/>
    <w:rsid w:val="00FB4345"/>
    <w:rsid w:val="00FB7F26"/>
    <w:rsid w:val="00FC1287"/>
    <w:rsid w:val="00FC289B"/>
    <w:rsid w:val="00FC465D"/>
    <w:rsid w:val="00FC6470"/>
    <w:rsid w:val="00FD02A7"/>
    <w:rsid w:val="00FD3674"/>
    <w:rsid w:val="00FD67AE"/>
    <w:rsid w:val="00FE0716"/>
    <w:rsid w:val="00FE1754"/>
    <w:rsid w:val="00FE17F3"/>
    <w:rsid w:val="00FE2A7E"/>
    <w:rsid w:val="00FE6C9A"/>
    <w:rsid w:val="00FE7A23"/>
    <w:rsid w:val="00FF5599"/>
    <w:rsid w:val="00FF59EC"/>
    <w:rsid w:val="00FF636E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9FC80"/>
  <w15:docId w15:val="{71378E5E-FB6E-407A-8C62-65FDD3F3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94"/>
    <w:pPr>
      <w:spacing w:line="36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7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1F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87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7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794"/>
    <w:pPr>
      <w:spacing w:line="240" w:lineRule="auto"/>
      <w:jc w:val="left"/>
    </w:pPr>
    <w:rPr>
      <w:rFonts w:asciiTheme="minorHAnsi" w:hAnsiTheme="minorHAnsi" w:cstheme="minorBidi"/>
      <w:sz w:val="20"/>
      <w:szCs w:val="20"/>
      <w:lang w:val="fi-F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79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94"/>
    <w:rPr>
      <w:rFonts w:ascii="Segoe UI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DefaultParagraphFont"/>
    <w:rsid w:val="00266A23"/>
  </w:style>
  <w:style w:type="character" w:customStyle="1" w:styleId="spellingerror">
    <w:name w:val="spellingerror"/>
    <w:basedOn w:val="DefaultParagraphFont"/>
    <w:rsid w:val="00266A23"/>
  </w:style>
  <w:style w:type="character" w:customStyle="1" w:styleId="unsupportedobjecttext">
    <w:name w:val="unsupportedobjecttext"/>
    <w:basedOn w:val="DefaultParagraphFont"/>
    <w:rsid w:val="00266A23"/>
  </w:style>
  <w:style w:type="character" w:customStyle="1" w:styleId="eop">
    <w:name w:val="eop"/>
    <w:basedOn w:val="DefaultParagraphFont"/>
    <w:rsid w:val="00266A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E5F"/>
    <w:pPr>
      <w:jc w:val="both"/>
    </w:pPr>
    <w:rPr>
      <w:rFonts w:ascii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E5F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E76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67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76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67A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0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0154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B6015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11F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42F69EF9194B439ADDF60047913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1D076-96A9-44AE-84F2-5341A8377C23}"/>
      </w:docPartPr>
      <w:docPartBody>
        <w:p w:rsidR="00DF2518" w:rsidRDefault="009A56C2" w:rsidP="009A56C2">
          <w:pPr>
            <w:pStyle w:val="B042F69EF9194B439ADDF60047913A1E"/>
          </w:pPr>
          <w:r w:rsidRPr="00C4019E">
            <w:rPr>
              <w:rStyle w:val="PlaceholderText"/>
            </w:rPr>
            <w:t>Generating bibliography... please wait</w:t>
          </w:r>
        </w:p>
      </w:docPartBody>
    </w:docPart>
    <w:docPart>
      <w:docPartPr>
        <w:name w:val="E104B7E9AD8E1A4B89568E0747973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E3BAF-43FC-4E40-BC91-31701D37038B}"/>
      </w:docPartPr>
      <w:docPartBody>
        <w:p w:rsidR="00285550" w:rsidRDefault="00254E72">
          <w:r w:rsidRPr="001057B0">
            <w:rPr>
              <w:rStyle w:val="PlaceholderText"/>
            </w:rPr>
            <w:t>Formatting... please wait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4F"/>
    <w:rsid w:val="00032FF9"/>
    <w:rsid w:val="000B2004"/>
    <w:rsid w:val="00170084"/>
    <w:rsid w:val="00186E7D"/>
    <w:rsid w:val="00254E72"/>
    <w:rsid w:val="00285550"/>
    <w:rsid w:val="002E718C"/>
    <w:rsid w:val="00312925"/>
    <w:rsid w:val="00312C79"/>
    <w:rsid w:val="004C32B7"/>
    <w:rsid w:val="005B494F"/>
    <w:rsid w:val="005E2009"/>
    <w:rsid w:val="00653A1D"/>
    <w:rsid w:val="00741D06"/>
    <w:rsid w:val="00807F93"/>
    <w:rsid w:val="008D747B"/>
    <w:rsid w:val="008E3A4D"/>
    <w:rsid w:val="00963EC3"/>
    <w:rsid w:val="009A56C2"/>
    <w:rsid w:val="00A41F2B"/>
    <w:rsid w:val="00B50986"/>
    <w:rsid w:val="00B859FF"/>
    <w:rsid w:val="00BB1C93"/>
    <w:rsid w:val="00D017EE"/>
    <w:rsid w:val="00D644E7"/>
    <w:rsid w:val="00D70BB6"/>
    <w:rsid w:val="00DF1FE6"/>
    <w:rsid w:val="00DF2518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47B"/>
    <w:rPr>
      <w:color w:val="808080"/>
    </w:rPr>
  </w:style>
  <w:style w:type="paragraph" w:customStyle="1" w:styleId="CE0E2F1395CF7E48B578F41B62C46D26">
    <w:name w:val="CE0E2F1395CF7E48B578F41B62C46D26"/>
    <w:rsid w:val="00BB1C93"/>
  </w:style>
  <w:style w:type="paragraph" w:customStyle="1" w:styleId="B042F69EF9194B439ADDF60047913A1E">
    <w:name w:val="B042F69EF9194B439ADDF60047913A1E"/>
    <w:rsid w:val="009A56C2"/>
    <w:pPr>
      <w:spacing w:after="160" w:line="259" w:lineRule="auto"/>
    </w:pPr>
    <w:rPr>
      <w:sz w:val="22"/>
      <w:szCs w:val="22"/>
      <w:lang w:eastAsia="fi-F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93432B7-7EED-034D-B41D-E6B8F9C67947}">
  <we:reference id="wa104380122" version="1.0.0.1" store="en-US" storeType="OMEX"/>
  <we:alternateReferences>
    <we:reference id="wa104380122" version="1.0.0.1" store="wa104380122" storeType="OMEX"/>
  </we:alternateReferences>
  <we:properties>
    <we:property name="RCMSubscriberId" value="&quot;1494&quot;"/>
    <we:property name="RCMUserId" value="&quot;24937&quot;"/>
    <we:property name="biblioId" value="-883558738"/>
    <we:property name="cit:_1370604048" value="&quot;{\&quot;docs\&quot;:[{\&quot;id\&quot;:\&quot;26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395503671" value="&quot;{\&quot;docs\&quot;:[{\&quot;id\&quot;:\&quot;26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ationStyle" value="&quot;{\&quot;id\&quot;:\&quot;3961\&quot;,\&quot;name\&quot;:\&quot;Stem Cell Research &amp; Therapy\&quot;,\&quot;isInstitutional\&quot;:false,\&quot;$$hashKey\&quot;:\&quot;object:510\&quot;}&quot;"/>
    <we:property name="contentControlsValues" value="&quot;{}&quot;"/>
    <we:property name="optionsValues" value="&quot;{\&quot;265&amp;-1370604048\&quot;:{\&quot;id\&quot;:\&quot;265\&quot;,\&quot;projectId\&quot;:null,\&quot;pageReplace\&quot;:\&quot;\&quot;,\&quot;author\&quot;:true,\&quot;year\&quot;:true,\&quot;prefix\&quot;:\&quot;\&quot;,\&quot;suffix\&quot;:\&quot;\&quot;},\&quot;265&amp;-395503671\&quot;:{\&quot;id\&quot;:\&quot;265\&quot;,\&quot;projectId\&quot;:null,\&quot;pageReplace\&quot;:\&quot;\&quot;,\&quot;author\&quot;:true,\&quot;year\&quot;:true,\&quot;prefix\&quot;:\&quot;\&quot;,\&quot;suffix\&quot;:\&quot;\&quot;}}&quot;"/>
  </we:properties>
  <we:bindings>
    <we:binding id="-395503671" type="text" appref="3899463625"/>
  </we:bindings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Merivaara, Arto O</dc:creator>
  <cp:keywords/>
  <dc:description/>
  <cp:lastModifiedBy>Abella, Jerard Dave</cp:lastModifiedBy>
  <cp:revision>5</cp:revision>
  <dcterms:created xsi:type="dcterms:W3CDTF">2019-08-26T12:18:00Z</dcterms:created>
  <dcterms:modified xsi:type="dcterms:W3CDTF">2019-10-29T17:14:00Z</dcterms:modified>
</cp:coreProperties>
</file>