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5FE" w:rsidRPr="00F13E62" w:rsidRDefault="00E705FE" w:rsidP="00E705FE">
      <w:pPr>
        <w:spacing w:line="360" w:lineRule="auto"/>
        <w:rPr>
          <w:rFonts w:eastAsia="굴림"/>
          <w:b/>
          <w:bCs/>
          <w:kern w:val="36"/>
          <w:sz w:val="22"/>
        </w:rPr>
      </w:pPr>
      <w:r w:rsidRPr="00F13E62">
        <w:rPr>
          <w:rFonts w:eastAsia="굴림"/>
          <w:b/>
          <w:bCs/>
          <w:kern w:val="36"/>
          <w:sz w:val="22"/>
        </w:rPr>
        <w:t>Supplement</w:t>
      </w:r>
      <w:r>
        <w:rPr>
          <w:rFonts w:eastAsia="굴림"/>
          <w:b/>
          <w:bCs/>
          <w:kern w:val="36"/>
          <w:sz w:val="22"/>
        </w:rPr>
        <w:t>ary</w:t>
      </w:r>
      <w:r w:rsidRPr="00F13E62">
        <w:rPr>
          <w:rFonts w:eastAsia="굴림"/>
          <w:b/>
          <w:bCs/>
          <w:kern w:val="36"/>
          <w:sz w:val="22"/>
        </w:rPr>
        <w:t xml:space="preserve"> materials and methods </w:t>
      </w:r>
    </w:p>
    <w:p w:rsidR="00E705FE" w:rsidRPr="00F13E62" w:rsidRDefault="00E705FE" w:rsidP="00E705FE">
      <w:pPr>
        <w:spacing w:line="360" w:lineRule="auto"/>
        <w:rPr>
          <w:b/>
          <w:sz w:val="22"/>
        </w:rPr>
      </w:pPr>
    </w:p>
    <w:p w:rsidR="00E705FE" w:rsidRPr="00F13E62" w:rsidRDefault="00E705FE" w:rsidP="00E705FE">
      <w:pPr>
        <w:spacing w:line="360" w:lineRule="auto"/>
        <w:rPr>
          <w:b/>
          <w:sz w:val="22"/>
        </w:rPr>
      </w:pPr>
      <w:r w:rsidRPr="00F13E62">
        <w:rPr>
          <w:b/>
          <w:sz w:val="22"/>
        </w:rPr>
        <w:t>Differentiation of human embryonic stem cells (hESC</w:t>
      </w:r>
      <w:r>
        <w:rPr>
          <w:b/>
          <w:sz w:val="22"/>
        </w:rPr>
        <w:t>s</w:t>
      </w:r>
      <w:r w:rsidRPr="00F13E62">
        <w:rPr>
          <w:b/>
          <w:sz w:val="22"/>
        </w:rPr>
        <w:t>) into mesenchymal stem cells (MSC</w:t>
      </w:r>
      <w:r>
        <w:rPr>
          <w:b/>
          <w:sz w:val="22"/>
        </w:rPr>
        <w:t>s</w:t>
      </w:r>
      <w:r w:rsidRPr="00F13E62">
        <w:rPr>
          <w:b/>
          <w:sz w:val="22"/>
        </w:rPr>
        <w:t>)</w:t>
      </w:r>
    </w:p>
    <w:p w:rsidR="00E705FE" w:rsidRDefault="00E705FE" w:rsidP="00E705FE">
      <w:pPr>
        <w:spacing w:line="360" w:lineRule="auto"/>
        <w:ind w:firstLine="180"/>
        <w:rPr>
          <w:sz w:val="22"/>
        </w:rPr>
      </w:pPr>
      <w:r w:rsidRPr="00F13E62">
        <w:rPr>
          <w:sz w:val="22"/>
        </w:rPr>
        <w:t xml:space="preserve">Human embryonic stem cell line CHA-hES15 (Korea Stem Cell Registry No. hES12010028) was cultured on </w:t>
      </w:r>
      <w:r>
        <w:rPr>
          <w:sz w:val="22"/>
        </w:rPr>
        <w:t xml:space="preserve">a feeder layer of </w:t>
      </w:r>
      <w:r w:rsidRPr="00F13E62">
        <w:rPr>
          <w:sz w:val="22"/>
        </w:rPr>
        <w:t>mouse embryonic fibroblasts (MEFs)</w:t>
      </w:r>
      <w:r>
        <w:rPr>
          <w:sz w:val="22"/>
        </w:rPr>
        <w:t>,</w:t>
      </w:r>
      <w:r w:rsidRPr="00F13E62">
        <w:rPr>
          <w:sz w:val="22"/>
        </w:rPr>
        <w:t xml:space="preserve"> </w:t>
      </w:r>
      <w:r>
        <w:rPr>
          <w:sz w:val="22"/>
        </w:rPr>
        <w:t>in</w:t>
      </w:r>
      <w:r w:rsidRPr="00F13E62">
        <w:rPr>
          <w:sz w:val="22"/>
        </w:rPr>
        <w:t xml:space="preserve"> ES maintenance medi</w:t>
      </w:r>
      <w:r>
        <w:rPr>
          <w:sz w:val="22"/>
        </w:rPr>
        <w:t>um</w:t>
      </w:r>
      <w:r w:rsidRPr="00F13E62">
        <w:rPr>
          <w:sz w:val="22"/>
        </w:rPr>
        <w:t xml:space="preserve"> composed of Dulbecco's modified </w:t>
      </w:r>
      <w:r>
        <w:rPr>
          <w:sz w:val="22"/>
        </w:rPr>
        <w:t>E</w:t>
      </w:r>
      <w:r w:rsidRPr="00F13E62">
        <w:rPr>
          <w:sz w:val="22"/>
        </w:rPr>
        <w:t xml:space="preserve">agle medium: nutrient mixture F12 (DMEM/F12) supplemented with 20% (v/v) </w:t>
      </w:r>
      <w:r>
        <w:rPr>
          <w:sz w:val="22"/>
        </w:rPr>
        <w:t>K</w:t>
      </w:r>
      <w:r w:rsidRPr="00F13E62">
        <w:rPr>
          <w:sz w:val="22"/>
        </w:rPr>
        <w:t>nockOut serum replacemen</w:t>
      </w:r>
      <w:r>
        <w:rPr>
          <w:sz w:val="22"/>
        </w:rPr>
        <w:t>t</w:t>
      </w:r>
      <w:r w:rsidRPr="00F13E62">
        <w:rPr>
          <w:sz w:val="22"/>
        </w:rPr>
        <w:t>, 1% (v/v) non-essential amino acids, 0.1% (v/v) β-mercaptoethanol</w:t>
      </w:r>
      <w:r>
        <w:rPr>
          <w:sz w:val="22"/>
        </w:rPr>
        <w:t>,</w:t>
      </w:r>
      <w:r w:rsidRPr="00F13E62">
        <w:rPr>
          <w:sz w:val="22"/>
        </w:rPr>
        <w:t xml:space="preserve"> and 4</w:t>
      </w:r>
      <w:r>
        <w:rPr>
          <w:sz w:val="22"/>
        </w:rPr>
        <w:t xml:space="preserve"> </w:t>
      </w:r>
      <w:r w:rsidRPr="00F13E62">
        <w:rPr>
          <w:sz w:val="22"/>
        </w:rPr>
        <w:t xml:space="preserve">ng/ml human recombinant basic fibroblast growth factor (bFGF, </w:t>
      </w:r>
      <w:r>
        <w:rPr>
          <w:sz w:val="22"/>
        </w:rPr>
        <w:t xml:space="preserve">all from </w:t>
      </w:r>
      <w:r w:rsidRPr="00F13E62">
        <w:rPr>
          <w:sz w:val="22"/>
        </w:rPr>
        <w:t>Gibco-BRL</w:t>
      </w:r>
      <w:r>
        <w:rPr>
          <w:sz w:val="22"/>
        </w:rPr>
        <w:t xml:space="preserve">, </w:t>
      </w:r>
      <w:r w:rsidRPr="00F13E62">
        <w:rPr>
          <w:color w:val="131413"/>
          <w:kern w:val="0"/>
          <w:sz w:val="22"/>
        </w:rPr>
        <w:t>Grand Island, NY, USA</w:t>
      </w:r>
      <w:r w:rsidRPr="00F13E62">
        <w:rPr>
          <w:sz w:val="22"/>
        </w:rPr>
        <w:t>).</w:t>
      </w:r>
    </w:p>
    <w:p w:rsidR="00E705FE" w:rsidRDefault="00E705FE" w:rsidP="00E705FE">
      <w:pPr>
        <w:spacing w:line="360" w:lineRule="auto"/>
        <w:ind w:firstLine="180"/>
        <w:rPr>
          <w:sz w:val="22"/>
        </w:rPr>
      </w:pPr>
      <w:r w:rsidRPr="00F13E62">
        <w:rPr>
          <w:sz w:val="22"/>
        </w:rPr>
        <w:t>To form embryoid bodies (EBs), a single hESC colony was fragmented into two to three small clumps using a steril</w:t>
      </w:r>
      <w:r>
        <w:rPr>
          <w:sz w:val="22"/>
        </w:rPr>
        <w:t>e</w:t>
      </w:r>
      <w:r w:rsidRPr="00F13E62">
        <w:rPr>
          <w:sz w:val="22"/>
        </w:rPr>
        <w:t xml:space="preserve"> micro-tip (Axygen, </w:t>
      </w:r>
      <w:r>
        <w:rPr>
          <w:sz w:val="22"/>
        </w:rPr>
        <w:t xml:space="preserve">Corning, NY, </w:t>
      </w:r>
      <w:r w:rsidRPr="00F13E62">
        <w:rPr>
          <w:sz w:val="22"/>
        </w:rPr>
        <w:t xml:space="preserve">USA) under microscopic observation. These were transferred to </w:t>
      </w:r>
      <w:r>
        <w:rPr>
          <w:sz w:val="22"/>
        </w:rPr>
        <w:t>a P</w:t>
      </w:r>
      <w:r w:rsidRPr="00F13E62">
        <w:rPr>
          <w:sz w:val="22"/>
        </w:rPr>
        <w:t>etri dish (Corning, USA) contain</w:t>
      </w:r>
      <w:r>
        <w:rPr>
          <w:sz w:val="22"/>
        </w:rPr>
        <w:t>ing</w:t>
      </w:r>
      <w:r w:rsidRPr="00F13E62">
        <w:rPr>
          <w:sz w:val="22"/>
        </w:rPr>
        <w:t xml:space="preserve"> ES maintenance medi</w:t>
      </w:r>
      <w:r>
        <w:rPr>
          <w:sz w:val="22"/>
        </w:rPr>
        <w:t>um</w:t>
      </w:r>
      <w:r w:rsidRPr="00F13E62">
        <w:rPr>
          <w:sz w:val="22"/>
        </w:rPr>
        <w:t xml:space="preserve"> without bFGF (EB medi</w:t>
      </w:r>
      <w:r>
        <w:rPr>
          <w:sz w:val="22"/>
        </w:rPr>
        <w:t>um</w:t>
      </w:r>
      <w:r w:rsidRPr="00F13E62">
        <w:rPr>
          <w:sz w:val="22"/>
        </w:rPr>
        <w:t>)</w:t>
      </w:r>
      <w:r>
        <w:rPr>
          <w:sz w:val="22"/>
        </w:rPr>
        <w:t>,</w:t>
      </w:r>
      <w:r w:rsidRPr="00F13E62">
        <w:rPr>
          <w:sz w:val="22"/>
        </w:rPr>
        <w:t xml:space="preserve"> for suspension culture. </w:t>
      </w:r>
    </w:p>
    <w:p w:rsidR="00E705FE" w:rsidRPr="00F13E62" w:rsidRDefault="00E705FE" w:rsidP="00E705FE">
      <w:pPr>
        <w:spacing w:line="360" w:lineRule="auto"/>
        <w:rPr>
          <w:sz w:val="22"/>
        </w:rPr>
      </w:pPr>
      <w:bookmarkStart w:id="0" w:name="_GoBack"/>
      <w:bookmarkEnd w:id="0"/>
    </w:p>
    <w:p w:rsidR="00E705FE" w:rsidRPr="00F13E62" w:rsidRDefault="00E705FE" w:rsidP="00E705FE">
      <w:pPr>
        <w:spacing w:line="360" w:lineRule="auto"/>
        <w:rPr>
          <w:b/>
          <w:sz w:val="22"/>
        </w:rPr>
      </w:pPr>
      <w:r w:rsidRPr="00F13E62">
        <w:rPr>
          <w:b/>
          <w:sz w:val="22"/>
        </w:rPr>
        <w:t>Chromosome analysis</w:t>
      </w:r>
    </w:p>
    <w:p w:rsidR="00E705FE" w:rsidRPr="00F13E62" w:rsidRDefault="00E705FE" w:rsidP="00E705FE">
      <w:pPr>
        <w:tabs>
          <w:tab w:val="left" w:pos="5000"/>
        </w:tabs>
        <w:wordWrap/>
        <w:spacing w:line="360" w:lineRule="auto"/>
        <w:ind w:firstLine="180"/>
        <w:rPr>
          <w:sz w:val="22"/>
        </w:rPr>
      </w:pPr>
      <w:r w:rsidRPr="00F13E62">
        <w:rPr>
          <w:sz w:val="22"/>
        </w:rPr>
        <w:t>For cytogenetic analysis, hESC-derived MSC</w:t>
      </w:r>
      <w:r>
        <w:rPr>
          <w:sz w:val="22"/>
        </w:rPr>
        <w:t>s</w:t>
      </w:r>
      <w:r w:rsidRPr="00F13E62">
        <w:rPr>
          <w:sz w:val="22"/>
        </w:rPr>
        <w:t xml:space="preserve"> were incubated for 30 min in MSC expansion medi</w:t>
      </w:r>
      <w:r>
        <w:rPr>
          <w:sz w:val="22"/>
        </w:rPr>
        <w:t>um</w:t>
      </w:r>
      <w:r w:rsidRPr="00F13E62">
        <w:rPr>
          <w:sz w:val="22"/>
        </w:rPr>
        <w:t xml:space="preserve"> containing 0.2 </w:t>
      </w:r>
      <w:r w:rsidRPr="00F13E62">
        <w:rPr>
          <w:sz w:val="22"/>
        </w:rPr>
        <w:sym w:font="Symbol" w:char="F06D"/>
      </w:r>
      <w:r w:rsidRPr="00F13E62">
        <w:rPr>
          <w:sz w:val="22"/>
        </w:rPr>
        <w:t>g/ml colcemid (KaryoMax</w:t>
      </w:r>
      <w:r>
        <w:rPr>
          <w:sz w:val="22"/>
        </w:rPr>
        <w:t>,</w:t>
      </w:r>
      <w:r w:rsidRPr="00F13E62">
        <w:rPr>
          <w:sz w:val="22"/>
        </w:rPr>
        <w:t xml:space="preserve"> Gibco-BRL). Thereafter, they were treated </w:t>
      </w:r>
      <w:r>
        <w:rPr>
          <w:sz w:val="22"/>
        </w:rPr>
        <w:t xml:space="preserve">30 min </w:t>
      </w:r>
      <w:r w:rsidRPr="00F13E62">
        <w:rPr>
          <w:sz w:val="22"/>
        </w:rPr>
        <w:t xml:space="preserve">with a hypotonic solution (0.7% sodium citrate buffer), then fixed with </w:t>
      </w:r>
      <w:r>
        <w:rPr>
          <w:sz w:val="22"/>
        </w:rPr>
        <w:t xml:space="preserve">a 3:1 (v/v) mixture of </w:t>
      </w:r>
      <w:r w:rsidRPr="00F13E62">
        <w:rPr>
          <w:sz w:val="22"/>
        </w:rPr>
        <w:t>methanol (Merck, KGaA, Germany) and acetic acid (</w:t>
      </w:r>
      <w:r w:rsidRPr="00F13E62">
        <w:rPr>
          <w:rFonts w:eastAsia="으뜸돋움MR"/>
          <w:kern w:val="16"/>
          <w:sz w:val="22"/>
        </w:rPr>
        <w:t>Sigma-Aldrich</w:t>
      </w:r>
      <w:r w:rsidRPr="00F13E62">
        <w:rPr>
          <w:sz w:val="22"/>
        </w:rPr>
        <w:t xml:space="preserve">). Cells were spread onto a glass slide and dried. Metaphase spreads were stained </w:t>
      </w:r>
      <w:r>
        <w:rPr>
          <w:sz w:val="22"/>
        </w:rPr>
        <w:t>using</w:t>
      </w:r>
      <w:r w:rsidRPr="00F13E62">
        <w:rPr>
          <w:sz w:val="22"/>
        </w:rPr>
        <w:t xml:space="preserve"> </w:t>
      </w:r>
      <w:r>
        <w:rPr>
          <w:sz w:val="22"/>
        </w:rPr>
        <w:t xml:space="preserve">the </w:t>
      </w:r>
      <w:r w:rsidRPr="00F13E62">
        <w:rPr>
          <w:sz w:val="22"/>
        </w:rPr>
        <w:t>G-</w:t>
      </w:r>
      <w:r w:rsidRPr="00FE0F55">
        <w:rPr>
          <w:sz w:val="22"/>
        </w:rPr>
        <w:t>bands by trypsin using the Giemsa (GTG)-banding technique, and 20 metaphases were analyzed and karyotyped by two cytogenetic experts. The ideogram was produced by the Ikaros karyotyping system (MetaSystems, Altlussheim, Germany</w:t>
      </w:r>
      <w:r w:rsidRPr="00F13E62">
        <w:rPr>
          <w:sz w:val="22"/>
        </w:rPr>
        <w:t>).</w:t>
      </w:r>
    </w:p>
    <w:p w:rsidR="00E705FE" w:rsidRPr="00F13E62" w:rsidRDefault="00E705FE" w:rsidP="00E705FE">
      <w:pPr>
        <w:spacing w:line="360" w:lineRule="auto"/>
        <w:rPr>
          <w:sz w:val="22"/>
        </w:rPr>
      </w:pPr>
    </w:p>
    <w:p w:rsidR="00E705FE" w:rsidRDefault="00E705FE" w:rsidP="00E705FE">
      <w:pPr>
        <w:spacing w:line="360" w:lineRule="auto"/>
        <w:rPr>
          <w:b/>
          <w:sz w:val="22"/>
        </w:rPr>
      </w:pPr>
      <w:r w:rsidRPr="000B1939">
        <w:rPr>
          <w:b/>
          <w:sz w:val="22"/>
        </w:rPr>
        <w:t xml:space="preserve">Flow cytometry </w:t>
      </w:r>
      <w:r w:rsidRPr="009A076B">
        <w:rPr>
          <w:b/>
          <w:sz w:val="22"/>
        </w:rPr>
        <w:t>a</w:t>
      </w:r>
      <w:r w:rsidRPr="00F13E62">
        <w:rPr>
          <w:b/>
          <w:sz w:val="22"/>
        </w:rPr>
        <w:t xml:space="preserve">nalysis of cell surface </w:t>
      </w:r>
      <w:r>
        <w:rPr>
          <w:b/>
          <w:sz w:val="22"/>
        </w:rPr>
        <w:t xml:space="preserve">MSC </w:t>
      </w:r>
      <w:r w:rsidRPr="00F13E62">
        <w:rPr>
          <w:b/>
          <w:sz w:val="22"/>
        </w:rPr>
        <w:t>marker</w:t>
      </w:r>
      <w:r>
        <w:rPr>
          <w:b/>
          <w:sz w:val="22"/>
        </w:rPr>
        <w:t>s</w:t>
      </w:r>
    </w:p>
    <w:p w:rsidR="00E705FE" w:rsidRDefault="00E705FE" w:rsidP="00E705FE">
      <w:pPr>
        <w:spacing w:line="360" w:lineRule="auto"/>
        <w:ind w:firstLine="180"/>
        <w:rPr>
          <w:sz w:val="22"/>
        </w:rPr>
      </w:pPr>
      <w:r w:rsidRPr="00F13E62">
        <w:rPr>
          <w:sz w:val="22"/>
        </w:rPr>
        <w:t>hES</w:t>
      </w:r>
      <w:r>
        <w:rPr>
          <w:sz w:val="22"/>
        </w:rPr>
        <w:t>C</w:t>
      </w:r>
      <w:r w:rsidRPr="00F13E62">
        <w:rPr>
          <w:sz w:val="22"/>
        </w:rPr>
        <w:t>-MSC</w:t>
      </w:r>
      <w:r>
        <w:rPr>
          <w:sz w:val="22"/>
        </w:rPr>
        <w:t>s</w:t>
      </w:r>
      <w:r w:rsidRPr="00F13E62">
        <w:rPr>
          <w:sz w:val="22"/>
        </w:rPr>
        <w:t xml:space="preserve"> were washed with PBS</w:t>
      </w:r>
      <w:r>
        <w:rPr>
          <w:sz w:val="22"/>
        </w:rPr>
        <w:t>,</w:t>
      </w:r>
      <w:r w:rsidRPr="00F13E62">
        <w:rPr>
          <w:sz w:val="22"/>
        </w:rPr>
        <w:t xml:space="preserve"> </w:t>
      </w:r>
      <w:r>
        <w:rPr>
          <w:sz w:val="22"/>
        </w:rPr>
        <w:t>treated</w:t>
      </w:r>
      <w:r w:rsidRPr="00F13E62">
        <w:rPr>
          <w:sz w:val="22"/>
        </w:rPr>
        <w:t xml:space="preserve"> with 0.05% trypsin-EDTA (Gibco-BRL) for 2 min in </w:t>
      </w:r>
      <w:r>
        <w:rPr>
          <w:sz w:val="22"/>
        </w:rPr>
        <w:t xml:space="preserve">a </w:t>
      </w:r>
      <w:r w:rsidRPr="00F13E62">
        <w:rPr>
          <w:sz w:val="22"/>
        </w:rPr>
        <w:t>37</w:t>
      </w:r>
      <w:r>
        <w:rPr>
          <w:rFonts w:ascii="Cambria Math" w:hAnsi="Cambria Math"/>
          <w:sz w:val="22"/>
        </w:rPr>
        <w:t>°</w:t>
      </w:r>
      <w:r>
        <w:rPr>
          <w:sz w:val="22"/>
        </w:rPr>
        <w:t>C</w:t>
      </w:r>
      <w:r w:rsidRPr="00F13E62">
        <w:rPr>
          <w:sz w:val="22"/>
        </w:rPr>
        <w:t>, 5% CO</w:t>
      </w:r>
      <w:r w:rsidRPr="000B1939">
        <w:rPr>
          <w:sz w:val="22"/>
          <w:vertAlign w:val="subscript"/>
        </w:rPr>
        <w:t>2</w:t>
      </w:r>
      <w:r w:rsidRPr="00F13E62">
        <w:rPr>
          <w:sz w:val="22"/>
        </w:rPr>
        <w:t xml:space="preserve"> incubator</w:t>
      </w:r>
      <w:r>
        <w:rPr>
          <w:sz w:val="22"/>
        </w:rPr>
        <w:t>,</w:t>
      </w:r>
      <w:r w:rsidRPr="00F13E62">
        <w:rPr>
          <w:sz w:val="22"/>
        </w:rPr>
        <w:t xml:space="preserve"> and centrifuged at 1,000 rpm for 5 min. Cells were fixed for 1 h</w:t>
      </w:r>
      <w:r>
        <w:rPr>
          <w:sz w:val="22"/>
        </w:rPr>
        <w:t>our</w:t>
      </w:r>
      <w:r w:rsidRPr="00F13E62">
        <w:rPr>
          <w:sz w:val="22"/>
        </w:rPr>
        <w:t xml:space="preserve"> in pre-chilled 4 % paraformaldehyde solution (EL </w:t>
      </w:r>
      <w:r w:rsidRPr="00FE0F55">
        <w:rPr>
          <w:sz w:val="22"/>
        </w:rPr>
        <w:t xml:space="preserve">Bio, </w:t>
      </w:r>
      <w:r w:rsidRPr="00FE0F55">
        <w:rPr>
          <w:rFonts w:eastAsia="Times New Roman"/>
          <w:color w:val="000000"/>
          <w:kern w:val="0"/>
          <w:sz w:val="22"/>
        </w:rPr>
        <w:t>Seongnam si,</w:t>
      </w:r>
      <w:r w:rsidRPr="00FE0F55">
        <w:rPr>
          <w:sz w:val="22"/>
        </w:rPr>
        <w:t xml:space="preserve"> Korea)</w:t>
      </w:r>
      <w:r w:rsidRPr="00F13E62">
        <w:rPr>
          <w:sz w:val="22"/>
        </w:rPr>
        <w:t xml:space="preserve"> at 4</w:t>
      </w:r>
      <w:r>
        <w:rPr>
          <w:rFonts w:ascii="Cambria Math" w:hAnsi="Cambria Math"/>
          <w:sz w:val="22"/>
        </w:rPr>
        <w:t>°</w:t>
      </w:r>
      <w:r>
        <w:rPr>
          <w:sz w:val="22"/>
        </w:rPr>
        <w:t>C</w:t>
      </w:r>
      <w:r>
        <w:rPr>
          <w:rFonts w:ascii="Cambria Math" w:eastAsia="바탕" w:hAnsi="Cambria Math" w:cs="Cambria Math"/>
          <w:sz w:val="22"/>
        </w:rPr>
        <w:t xml:space="preserve">, </w:t>
      </w:r>
      <w:r w:rsidRPr="00F13E62">
        <w:rPr>
          <w:sz w:val="22"/>
        </w:rPr>
        <w:t xml:space="preserve">washed with FACS buffer composed </w:t>
      </w:r>
      <w:r>
        <w:rPr>
          <w:sz w:val="22"/>
        </w:rPr>
        <w:t>of</w:t>
      </w:r>
      <w:r w:rsidRPr="00F13E62">
        <w:rPr>
          <w:sz w:val="22"/>
        </w:rPr>
        <w:t xml:space="preserve"> 2 % (v/v) FBS in PBS</w:t>
      </w:r>
      <w:r>
        <w:rPr>
          <w:sz w:val="22"/>
        </w:rPr>
        <w:t>,</w:t>
      </w:r>
      <w:r w:rsidRPr="00F13E62">
        <w:rPr>
          <w:sz w:val="22"/>
        </w:rPr>
        <w:t xml:space="preserve"> and centrifuged three times. The </w:t>
      </w:r>
      <w:r>
        <w:rPr>
          <w:sz w:val="22"/>
        </w:rPr>
        <w:t xml:space="preserve">cell </w:t>
      </w:r>
      <w:r w:rsidRPr="00F13E62">
        <w:rPr>
          <w:sz w:val="22"/>
        </w:rPr>
        <w:t xml:space="preserve">pellet was resuspended in 100 </w:t>
      </w:r>
      <w:r w:rsidRPr="00F13E62">
        <w:rPr>
          <w:rFonts w:eastAsiaTheme="minorHAnsi"/>
          <w:sz w:val="22"/>
        </w:rPr>
        <w:t>μ</w:t>
      </w:r>
      <w:r w:rsidRPr="00F13E62">
        <w:rPr>
          <w:sz w:val="22"/>
        </w:rPr>
        <w:t xml:space="preserve">l FACS buffer </w:t>
      </w:r>
      <w:r>
        <w:rPr>
          <w:sz w:val="22"/>
        </w:rPr>
        <w:t xml:space="preserve">containing </w:t>
      </w:r>
      <w:r w:rsidRPr="00F13E62">
        <w:rPr>
          <w:sz w:val="22"/>
        </w:rPr>
        <w:t>fluor</w:t>
      </w:r>
      <w:r>
        <w:rPr>
          <w:sz w:val="22"/>
        </w:rPr>
        <w:t>o</w:t>
      </w:r>
      <w:r w:rsidRPr="00F13E62">
        <w:rPr>
          <w:sz w:val="22"/>
        </w:rPr>
        <w:t>chrome</w:t>
      </w:r>
      <w:r>
        <w:rPr>
          <w:sz w:val="22"/>
        </w:rPr>
        <w:t>-</w:t>
      </w:r>
      <w:r w:rsidRPr="00F13E62">
        <w:rPr>
          <w:sz w:val="22"/>
        </w:rPr>
        <w:t>conjugated antibody</w:t>
      </w:r>
      <w:r>
        <w:rPr>
          <w:sz w:val="22"/>
        </w:rPr>
        <w:t>,</w:t>
      </w:r>
      <w:r w:rsidRPr="00F13E62">
        <w:rPr>
          <w:sz w:val="22"/>
        </w:rPr>
        <w:t xml:space="preserve"> and incubated at room temperature for 30 min in the dark. </w:t>
      </w:r>
      <w:r>
        <w:rPr>
          <w:sz w:val="22"/>
        </w:rPr>
        <w:t>P</w:t>
      </w:r>
      <w:r w:rsidRPr="00F13E62">
        <w:rPr>
          <w:sz w:val="22"/>
        </w:rPr>
        <w:t xml:space="preserve">hycoerythrin-conjugated mouse anti-human TRA-1-60 and allophycocyanin (APC)-conjugated mouse anti-human/mouse SSEA4 (Cat. FAB/435A, R&amp;D </w:t>
      </w:r>
      <w:r>
        <w:rPr>
          <w:sz w:val="22"/>
        </w:rPr>
        <w:t>S</w:t>
      </w:r>
      <w:r w:rsidRPr="00F13E62">
        <w:rPr>
          <w:sz w:val="22"/>
        </w:rPr>
        <w:t xml:space="preserve">ystems, </w:t>
      </w:r>
      <w:r w:rsidRPr="00F13E62">
        <w:rPr>
          <w:color w:val="373737"/>
          <w:sz w:val="22"/>
          <w:shd w:val="clear" w:color="auto" w:fill="FFFFFF"/>
        </w:rPr>
        <w:t>Minneapolis, MN, USA)</w:t>
      </w:r>
      <w:r w:rsidRPr="00F13E62">
        <w:rPr>
          <w:sz w:val="22"/>
        </w:rPr>
        <w:t xml:space="preserve"> </w:t>
      </w:r>
      <w:r>
        <w:rPr>
          <w:sz w:val="22"/>
        </w:rPr>
        <w:t xml:space="preserve">were used </w:t>
      </w:r>
      <w:r w:rsidRPr="00F13E62">
        <w:rPr>
          <w:sz w:val="22"/>
        </w:rPr>
        <w:t>as stemness markers,</w:t>
      </w:r>
      <w:r>
        <w:rPr>
          <w:sz w:val="22"/>
        </w:rPr>
        <w:t xml:space="preserve"> </w:t>
      </w:r>
      <w:r w:rsidRPr="00F13E62">
        <w:rPr>
          <w:sz w:val="22"/>
        </w:rPr>
        <w:t xml:space="preserve">APC-conjugated mouse anti human CD34 and APC-conjugated mouse anti-human CD45 as hematopoietic markers, </w:t>
      </w:r>
      <w:r>
        <w:rPr>
          <w:sz w:val="22"/>
        </w:rPr>
        <w:t xml:space="preserve">and </w:t>
      </w:r>
      <w:r w:rsidRPr="00F13E62">
        <w:rPr>
          <w:sz w:val="22"/>
        </w:rPr>
        <w:t xml:space="preserve">APC-conjugated mouse anti-human CD29, APC-conjugated mouse </w:t>
      </w:r>
      <w:r w:rsidRPr="00F13E62">
        <w:rPr>
          <w:sz w:val="22"/>
        </w:rPr>
        <w:lastRenderedPageBreak/>
        <w:t>anti-human CD44, APC-conjugated mouse anti-human CD90</w:t>
      </w:r>
      <w:r>
        <w:rPr>
          <w:sz w:val="22"/>
        </w:rPr>
        <w:t>,</w:t>
      </w:r>
      <w:r w:rsidRPr="00F13E62">
        <w:rPr>
          <w:sz w:val="22"/>
        </w:rPr>
        <w:t xml:space="preserve"> and APC-conjugated mouse anti-human CD105 as MSC markers</w:t>
      </w:r>
      <w:r>
        <w:rPr>
          <w:sz w:val="22"/>
        </w:rPr>
        <w:t xml:space="preserve"> (except as otherwise stated, all antibody conjugates were from </w:t>
      </w:r>
      <w:r w:rsidRPr="00F13E62">
        <w:rPr>
          <w:sz w:val="22"/>
        </w:rPr>
        <w:t>BD Pharmingen</w:t>
      </w:r>
      <w:r w:rsidRPr="00F13E62">
        <w:rPr>
          <w:spacing w:val="2"/>
          <w:sz w:val="22"/>
          <w:shd w:val="clear" w:color="auto" w:fill="FFFFFF"/>
        </w:rPr>
        <w:t>, San Diego, CA, USA</w:t>
      </w:r>
      <w:r>
        <w:rPr>
          <w:spacing w:val="2"/>
          <w:sz w:val="22"/>
          <w:shd w:val="clear" w:color="auto" w:fill="FFFFFF"/>
        </w:rPr>
        <w:t>)</w:t>
      </w:r>
      <w:r w:rsidRPr="00F13E62">
        <w:rPr>
          <w:sz w:val="22"/>
        </w:rPr>
        <w:t xml:space="preserve">. After incubation, </w:t>
      </w:r>
      <w:r>
        <w:rPr>
          <w:sz w:val="22"/>
        </w:rPr>
        <w:t xml:space="preserve">cell samples were washed by addition of </w:t>
      </w:r>
      <w:r w:rsidRPr="00F13E62">
        <w:rPr>
          <w:sz w:val="22"/>
        </w:rPr>
        <w:t>1</w:t>
      </w:r>
      <w:r>
        <w:rPr>
          <w:sz w:val="22"/>
        </w:rPr>
        <w:t xml:space="preserve"> </w:t>
      </w:r>
      <w:r w:rsidRPr="00F13E62">
        <w:rPr>
          <w:sz w:val="22"/>
        </w:rPr>
        <w:t>ml PBS and centrifug</w:t>
      </w:r>
      <w:r>
        <w:rPr>
          <w:sz w:val="22"/>
        </w:rPr>
        <w:t>ation</w:t>
      </w:r>
      <w:r w:rsidRPr="00F13E62">
        <w:rPr>
          <w:sz w:val="22"/>
        </w:rPr>
        <w:t xml:space="preserve"> at 1,000 rpm for 5 min</w:t>
      </w:r>
      <w:r>
        <w:rPr>
          <w:sz w:val="22"/>
        </w:rPr>
        <w:t>,</w:t>
      </w:r>
      <w:r w:rsidRPr="00F13E62">
        <w:rPr>
          <w:sz w:val="22"/>
        </w:rPr>
        <w:t xml:space="preserve"> </w:t>
      </w:r>
      <w:r>
        <w:rPr>
          <w:sz w:val="22"/>
        </w:rPr>
        <w:t xml:space="preserve">then </w:t>
      </w:r>
      <w:r w:rsidRPr="00F13E62">
        <w:rPr>
          <w:sz w:val="22"/>
        </w:rPr>
        <w:t>analyzed using an Accuri C6 Plus flow cytometer equipped with Cell Quest software (BD Biosciences, San Diego, CA, USA).</w:t>
      </w:r>
    </w:p>
    <w:p w:rsidR="00E705FE" w:rsidRDefault="00E705FE" w:rsidP="00E705FE">
      <w:pPr>
        <w:spacing w:line="360" w:lineRule="auto"/>
        <w:ind w:firstLine="180"/>
        <w:rPr>
          <w:sz w:val="22"/>
        </w:rPr>
      </w:pPr>
    </w:p>
    <w:p w:rsidR="00E705FE" w:rsidRPr="00F13E62" w:rsidRDefault="00E705FE" w:rsidP="00E705FE">
      <w:pPr>
        <w:spacing w:line="360" w:lineRule="auto"/>
        <w:rPr>
          <w:b/>
          <w:sz w:val="22"/>
        </w:rPr>
      </w:pPr>
      <w:r w:rsidRPr="00F13E62">
        <w:rPr>
          <w:b/>
          <w:sz w:val="22"/>
        </w:rPr>
        <w:t>Mesodermal lineage differentiation and characterization</w:t>
      </w:r>
    </w:p>
    <w:p w:rsidR="00E705FE" w:rsidRPr="00F13E62" w:rsidRDefault="00E705FE" w:rsidP="00E705FE">
      <w:pPr>
        <w:spacing w:line="360" w:lineRule="auto"/>
        <w:ind w:firstLine="180"/>
        <w:rPr>
          <w:sz w:val="22"/>
        </w:rPr>
      </w:pPr>
      <w:r>
        <w:rPr>
          <w:sz w:val="22"/>
        </w:rPr>
        <w:t>To demonstrate</w:t>
      </w:r>
      <w:r w:rsidRPr="00F13E62">
        <w:rPr>
          <w:sz w:val="22"/>
        </w:rPr>
        <w:t xml:space="preserve"> adipogenic differentiation, hES</w:t>
      </w:r>
      <w:r>
        <w:rPr>
          <w:sz w:val="22"/>
        </w:rPr>
        <w:t>C-</w:t>
      </w:r>
      <w:r w:rsidRPr="00F13E62">
        <w:rPr>
          <w:sz w:val="22"/>
        </w:rPr>
        <w:t>MSC were seeded</w:t>
      </w:r>
      <w:r>
        <w:rPr>
          <w:sz w:val="22"/>
        </w:rPr>
        <w:t xml:space="preserve"> </w:t>
      </w:r>
      <w:r w:rsidRPr="00F13E62">
        <w:rPr>
          <w:sz w:val="22"/>
        </w:rPr>
        <w:t>at 2</w:t>
      </w:r>
      <w:r>
        <w:rPr>
          <w:sz w:val="22"/>
        </w:rPr>
        <w:t>×</w:t>
      </w:r>
      <w:r w:rsidRPr="00F13E62">
        <w:rPr>
          <w:sz w:val="22"/>
        </w:rPr>
        <w:t>10</w:t>
      </w:r>
      <w:r w:rsidRPr="00F13E62">
        <w:rPr>
          <w:sz w:val="22"/>
          <w:vertAlign w:val="superscript"/>
        </w:rPr>
        <w:t>5</w:t>
      </w:r>
      <w:r w:rsidRPr="00F13E62">
        <w:rPr>
          <w:sz w:val="22"/>
        </w:rPr>
        <w:t xml:space="preserve"> cells/well into 0.1% gelatin</w:t>
      </w:r>
      <w:r>
        <w:rPr>
          <w:sz w:val="22"/>
        </w:rPr>
        <w:t>-</w:t>
      </w:r>
      <w:r w:rsidRPr="00F13E62">
        <w:rPr>
          <w:sz w:val="22"/>
        </w:rPr>
        <w:t>coated 12-well tissue culture dish</w:t>
      </w:r>
      <w:r>
        <w:rPr>
          <w:sz w:val="22"/>
        </w:rPr>
        <w:t>es</w:t>
      </w:r>
      <w:r w:rsidRPr="00F13E62">
        <w:rPr>
          <w:sz w:val="22"/>
        </w:rPr>
        <w:t xml:space="preserve"> in MSC expansion medi</w:t>
      </w:r>
      <w:r>
        <w:rPr>
          <w:sz w:val="22"/>
        </w:rPr>
        <w:t>um</w:t>
      </w:r>
      <w:r w:rsidRPr="00F13E62">
        <w:rPr>
          <w:sz w:val="22"/>
        </w:rPr>
        <w:t>. When fully confluent, adipogenic differentiation medi</w:t>
      </w:r>
      <w:r>
        <w:rPr>
          <w:sz w:val="22"/>
        </w:rPr>
        <w:t>um</w:t>
      </w:r>
      <w:r w:rsidRPr="00F13E62">
        <w:rPr>
          <w:sz w:val="22"/>
        </w:rPr>
        <w:t xml:space="preserve"> (StemPro</w:t>
      </w:r>
      <w:r w:rsidRPr="00F13E62">
        <w:rPr>
          <w:sz w:val="22"/>
          <w:vertAlign w:val="superscript"/>
        </w:rPr>
        <w:t>®</w:t>
      </w:r>
      <w:r w:rsidRPr="00F13E62">
        <w:rPr>
          <w:sz w:val="22"/>
        </w:rPr>
        <w:t xml:space="preserve"> Adipogenesis Differentiation Kit, Gibco-BRL) was </w:t>
      </w:r>
      <w:r>
        <w:rPr>
          <w:sz w:val="22"/>
        </w:rPr>
        <w:t>introduced</w:t>
      </w:r>
      <w:r w:rsidRPr="00F13E62">
        <w:rPr>
          <w:sz w:val="22"/>
        </w:rPr>
        <w:t xml:space="preserve"> for 21 days</w:t>
      </w:r>
      <w:r>
        <w:rPr>
          <w:sz w:val="22"/>
        </w:rPr>
        <w:t>, with</w:t>
      </w:r>
      <w:r w:rsidRPr="00F13E62">
        <w:rPr>
          <w:sz w:val="22"/>
        </w:rPr>
        <w:t xml:space="preserve"> </w:t>
      </w:r>
      <w:r>
        <w:rPr>
          <w:sz w:val="22"/>
        </w:rPr>
        <w:t xml:space="preserve">three </w:t>
      </w:r>
      <w:r w:rsidRPr="00F13E62">
        <w:rPr>
          <w:sz w:val="22"/>
        </w:rPr>
        <w:t>media change</w:t>
      </w:r>
      <w:r>
        <w:rPr>
          <w:sz w:val="22"/>
        </w:rPr>
        <w:t>s</w:t>
      </w:r>
      <w:r w:rsidRPr="00F13E62">
        <w:rPr>
          <w:sz w:val="22"/>
        </w:rPr>
        <w:t xml:space="preserve"> per week. After </w:t>
      </w:r>
      <w:r>
        <w:rPr>
          <w:sz w:val="22"/>
        </w:rPr>
        <w:t>complete</w:t>
      </w:r>
      <w:r w:rsidRPr="00F13E62">
        <w:rPr>
          <w:sz w:val="22"/>
        </w:rPr>
        <w:t xml:space="preserve"> differentiation,</w:t>
      </w:r>
      <w:r>
        <w:rPr>
          <w:sz w:val="22"/>
        </w:rPr>
        <w:t xml:space="preserve"> </w:t>
      </w:r>
      <w:r w:rsidRPr="00F13E62">
        <w:rPr>
          <w:sz w:val="22"/>
        </w:rPr>
        <w:t>cells were washed twice with PBS</w:t>
      </w:r>
      <w:r>
        <w:rPr>
          <w:sz w:val="22"/>
        </w:rPr>
        <w:t>,</w:t>
      </w:r>
      <w:r w:rsidRPr="00F13E62">
        <w:rPr>
          <w:sz w:val="22"/>
        </w:rPr>
        <w:t xml:space="preserve"> fixed in pre-chilled 4 % paraformaldehyde solution</w:t>
      </w:r>
      <w:r>
        <w:rPr>
          <w:sz w:val="22"/>
        </w:rPr>
        <w:t>,</w:t>
      </w:r>
      <w:r w:rsidRPr="00F13E62">
        <w:rPr>
          <w:sz w:val="22"/>
        </w:rPr>
        <w:t xml:space="preserve"> then stained with Oil Red O solution (IHC </w:t>
      </w:r>
      <w:r>
        <w:rPr>
          <w:sz w:val="22"/>
        </w:rPr>
        <w:t>W</w:t>
      </w:r>
      <w:r w:rsidRPr="00F13E62">
        <w:rPr>
          <w:sz w:val="22"/>
        </w:rPr>
        <w:t xml:space="preserve">orld, </w:t>
      </w:r>
      <w:r>
        <w:rPr>
          <w:sz w:val="22"/>
        </w:rPr>
        <w:t xml:space="preserve">Woodstock, MD, </w:t>
      </w:r>
      <w:r w:rsidRPr="00F13E62">
        <w:rPr>
          <w:sz w:val="22"/>
        </w:rPr>
        <w:t>USA)</w:t>
      </w:r>
      <w:r>
        <w:rPr>
          <w:sz w:val="22"/>
        </w:rPr>
        <w:t>,</w:t>
      </w:r>
      <w:r w:rsidRPr="00F13E62">
        <w:rPr>
          <w:sz w:val="22"/>
        </w:rPr>
        <w:t xml:space="preserve"> according to the manufacturer's instruction</w:t>
      </w:r>
      <w:r>
        <w:rPr>
          <w:sz w:val="22"/>
        </w:rPr>
        <w:t>s</w:t>
      </w:r>
      <w:r w:rsidRPr="00F13E62">
        <w:rPr>
          <w:sz w:val="22"/>
        </w:rPr>
        <w:t>. Stained lipid drop</w:t>
      </w:r>
      <w:r>
        <w:rPr>
          <w:sz w:val="22"/>
        </w:rPr>
        <w:t>let</w:t>
      </w:r>
      <w:r w:rsidRPr="00F13E62">
        <w:rPr>
          <w:sz w:val="22"/>
        </w:rPr>
        <w:t xml:space="preserve">s in </w:t>
      </w:r>
      <w:r>
        <w:rPr>
          <w:sz w:val="22"/>
        </w:rPr>
        <w:t xml:space="preserve">the </w:t>
      </w:r>
      <w:r w:rsidRPr="00F13E62">
        <w:rPr>
          <w:sz w:val="22"/>
        </w:rPr>
        <w:t>cells were visualized and photographed</w:t>
      </w:r>
      <w:r>
        <w:rPr>
          <w:sz w:val="22"/>
        </w:rPr>
        <w:t xml:space="preserve"> with an </w:t>
      </w:r>
      <w:r w:rsidRPr="00F13E62">
        <w:rPr>
          <w:sz w:val="22"/>
        </w:rPr>
        <w:t>inverted microscop</w:t>
      </w:r>
      <w:r>
        <w:rPr>
          <w:sz w:val="22"/>
        </w:rPr>
        <w:t>e</w:t>
      </w:r>
      <w:r w:rsidRPr="00F13E62">
        <w:rPr>
          <w:sz w:val="22"/>
        </w:rPr>
        <w:t xml:space="preserve"> (TE2000-U, Nikon, Japan). </w:t>
      </w:r>
      <w:r>
        <w:rPr>
          <w:sz w:val="22"/>
        </w:rPr>
        <w:t>To demonstrate</w:t>
      </w:r>
      <w:r w:rsidRPr="00F13E62">
        <w:rPr>
          <w:sz w:val="22"/>
        </w:rPr>
        <w:t xml:space="preserve"> </w:t>
      </w:r>
      <w:r>
        <w:rPr>
          <w:sz w:val="22"/>
        </w:rPr>
        <w:t xml:space="preserve">potential for </w:t>
      </w:r>
      <w:r w:rsidRPr="00F13E62">
        <w:rPr>
          <w:sz w:val="22"/>
        </w:rPr>
        <w:t xml:space="preserve">osteogenic differentiation, these cells were cultured </w:t>
      </w:r>
      <w:r>
        <w:rPr>
          <w:sz w:val="22"/>
        </w:rPr>
        <w:t xml:space="preserve">with the </w:t>
      </w:r>
      <w:r w:rsidRPr="00F13E62">
        <w:rPr>
          <w:sz w:val="22"/>
        </w:rPr>
        <w:t>StemPro</w:t>
      </w:r>
      <w:r w:rsidRPr="00F13E62">
        <w:rPr>
          <w:sz w:val="22"/>
          <w:vertAlign w:val="superscript"/>
        </w:rPr>
        <w:t>®</w:t>
      </w:r>
      <w:r w:rsidRPr="00F13E62">
        <w:rPr>
          <w:sz w:val="22"/>
        </w:rPr>
        <w:t xml:space="preserve"> Osteogenesis Differentiation Kit (Gibco-BRL)</w:t>
      </w:r>
      <w:r>
        <w:rPr>
          <w:sz w:val="22"/>
        </w:rPr>
        <w:t xml:space="preserve">, then intracellular </w:t>
      </w:r>
      <w:r w:rsidRPr="00F13E62">
        <w:rPr>
          <w:sz w:val="22"/>
        </w:rPr>
        <w:t>calcium deposit</w:t>
      </w:r>
      <w:r>
        <w:rPr>
          <w:sz w:val="22"/>
        </w:rPr>
        <w:t>s</w:t>
      </w:r>
      <w:r w:rsidRPr="00F13E62">
        <w:rPr>
          <w:color w:val="333333"/>
          <w:spacing w:val="2"/>
          <w:kern w:val="36"/>
          <w:sz w:val="22"/>
        </w:rPr>
        <w:t xml:space="preserve"> in osteocyte</w:t>
      </w:r>
      <w:r>
        <w:rPr>
          <w:color w:val="333333"/>
          <w:spacing w:val="2"/>
          <w:kern w:val="36"/>
          <w:sz w:val="22"/>
        </w:rPr>
        <w:t>s</w:t>
      </w:r>
      <w:r w:rsidRPr="00F13E62">
        <w:rPr>
          <w:color w:val="333333"/>
          <w:spacing w:val="2"/>
          <w:kern w:val="36"/>
          <w:sz w:val="22"/>
        </w:rPr>
        <w:t xml:space="preserve"> were stained with alizarin red solution</w:t>
      </w:r>
      <w:r w:rsidRPr="00F13E62">
        <w:rPr>
          <w:sz w:val="22"/>
        </w:rPr>
        <w:t xml:space="preserve">. </w:t>
      </w:r>
      <w:r>
        <w:rPr>
          <w:sz w:val="22"/>
        </w:rPr>
        <w:t>To demonstrate potential f</w:t>
      </w:r>
      <w:r w:rsidRPr="00F13E62">
        <w:rPr>
          <w:sz w:val="22"/>
        </w:rPr>
        <w:t>or chondrogenic differentiation, cells were cultured in StemPro</w:t>
      </w:r>
      <w:r w:rsidRPr="00F13E62">
        <w:rPr>
          <w:sz w:val="22"/>
          <w:vertAlign w:val="superscript"/>
        </w:rPr>
        <w:t>®</w:t>
      </w:r>
      <w:r w:rsidRPr="00F13E62">
        <w:rPr>
          <w:sz w:val="22"/>
        </w:rPr>
        <w:t xml:space="preserve"> Chondrogenesis Differentiation Kit (Gibco-BRL)</w:t>
      </w:r>
      <w:r>
        <w:rPr>
          <w:sz w:val="22"/>
        </w:rPr>
        <w:t>,</w:t>
      </w:r>
      <w:r w:rsidRPr="00F13E62">
        <w:rPr>
          <w:sz w:val="22"/>
        </w:rPr>
        <w:t xml:space="preserve"> </w:t>
      </w:r>
      <w:r>
        <w:rPr>
          <w:sz w:val="22"/>
        </w:rPr>
        <w:t>then</w:t>
      </w:r>
      <w:r w:rsidRPr="00F13E62">
        <w:rPr>
          <w:sz w:val="22"/>
        </w:rPr>
        <w:t xml:space="preserve"> fixed and embedded in paraffin. </w:t>
      </w:r>
      <w:r>
        <w:rPr>
          <w:color w:val="333333"/>
          <w:spacing w:val="2"/>
          <w:kern w:val="36"/>
          <w:sz w:val="22"/>
        </w:rPr>
        <w:t>C</w:t>
      </w:r>
      <w:r w:rsidRPr="00F13E62">
        <w:rPr>
          <w:color w:val="333333"/>
          <w:spacing w:val="2"/>
          <w:kern w:val="36"/>
          <w:sz w:val="22"/>
        </w:rPr>
        <w:t>hondrocyte</w:t>
      </w:r>
      <w:r>
        <w:rPr>
          <w:color w:val="333333"/>
          <w:spacing w:val="2"/>
          <w:kern w:val="36"/>
          <w:sz w:val="22"/>
        </w:rPr>
        <w:t xml:space="preserve">s in </w:t>
      </w:r>
      <w:r>
        <w:rPr>
          <w:sz w:val="22"/>
        </w:rPr>
        <w:t>t</w:t>
      </w:r>
      <w:r w:rsidRPr="00F13E62">
        <w:rPr>
          <w:sz w:val="22"/>
        </w:rPr>
        <w:t xml:space="preserve">he sectioned samples </w:t>
      </w:r>
      <w:r>
        <w:rPr>
          <w:sz w:val="22"/>
        </w:rPr>
        <w:t>were demonstrated by staining of cell surface alkaline</w:t>
      </w:r>
      <w:r w:rsidRPr="00F13E62">
        <w:rPr>
          <w:sz w:val="22"/>
        </w:rPr>
        <w:t xml:space="preserve"> </w:t>
      </w:r>
      <w:r>
        <w:rPr>
          <w:sz w:val="22"/>
        </w:rPr>
        <w:t xml:space="preserve">phosphatase </w:t>
      </w:r>
      <w:r w:rsidRPr="00F13E62">
        <w:rPr>
          <w:sz w:val="22"/>
        </w:rPr>
        <w:t>with Alcian blue solution (Cat.</w:t>
      </w:r>
      <w:r>
        <w:rPr>
          <w:sz w:val="22"/>
        </w:rPr>
        <w:t xml:space="preserve"> </w:t>
      </w:r>
      <w:r w:rsidRPr="00F13E62">
        <w:rPr>
          <w:sz w:val="22"/>
        </w:rPr>
        <w:t>IW3000, IHC World) according to the manufacturer's instruction</w:t>
      </w:r>
      <w:r>
        <w:rPr>
          <w:sz w:val="22"/>
        </w:rPr>
        <w:t>s</w:t>
      </w:r>
      <w:r w:rsidRPr="00F13E62">
        <w:rPr>
          <w:sz w:val="22"/>
        </w:rPr>
        <w:t xml:space="preserve">. </w:t>
      </w:r>
      <w:r>
        <w:rPr>
          <w:sz w:val="22"/>
        </w:rPr>
        <w:t>S</w:t>
      </w:r>
      <w:r w:rsidRPr="00F13E62">
        <w:rPr>
          <w:sz w:val="22"/>
        </w:rPr>
        <w:t xml:space="preserve">tained carboxylated mucins on differentiated chondrocytes were visualized and photographed </w:t>
      </w:r>
      <w:r>
        <w:rPr>
          <w:sz w:val="22"/>
        </w:rPr>
        <w:t xml:space="preserve">using a light microscope </w:t>
      </w:r>
      <w:r w:rsidRPr="00F13E62">
        <w:rPr>
          <w:sz w:val="22"/>
        </w:rPr>
        <w:t xml:space="preserve">(Primo </w:t>
      </w:r>
      <w:r>
        <w:rPr>
          <w:sz w:val="22"/>
        </w:rPr>
        <w:t>S</w:t>
      </w:r>
      <w:r w:rsidRPr="00F13E62">
        <w:rPr>
          <w:sz w:val="22"/>
        </w:rPr>
        <w:t>tar, Zeiss, Germany).</w:t>
      </w:r>
    </w:p>
    <w:p w:rsidR="00625BFA" w:rsidRPr="00E705FE" w:rsidRDefault="00625BFA" w:rsidP="00E705FE"/>
    <w:sectPr w:rsidR="00625BFA" w:rsidRPr="00E705FE">
      <w:pgSz w:w="12240" w:h="15840"/>
      <w:pgMar w:top="170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2FB" w:rsidRDefault="00F462FB" w:rsidP="00CE62C6">
      <w:r>
        <w:separator/>
      </w:r>
    </w:p>
  </w:endnote>
  <w:endnote w:type="continuationSeparator" w:id="0">
    <w:p w:rsidR="00F462FB" w:rsidRDefault="00F462FB" w:rsidP="00CE6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으뜸돋움MR">
    <w:altName w:val="맑은 고딕"/>
    <w:charset w:val="81"/>
    <w:family w:val="auto"/>
    <w:pitch w:val="variable"/>
    <w:sig w:usb0="00000000" w:usb1="09D77CFB" w:usb2="00000010" w:usb3="00000000" w:csb0="0008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2FB" w:rsidRDefault="00F462FB" w:rsidP="00CE62C6">
      <w:r>
        <w:separator/>
      </w:r>
    </w:p>
  </w:footnote>
  <w:footnote w:type="continuationSeparator" w:id="0">
    <w:p w:rsidR="00F462FB" w:rsidRDefault="00F462FB" w:rsidP="00CE62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5FE"/>
    <w:rsid w:val="001D5FA7"/>
    <w:rsid w:val="00625BFA"/>
    <w:rsid w:val="00B93F01"/>
    <w:rsid w:val="00CE62C6"/>
    <w:rsid w:val="00E705FE"/>
    <w:rsid w:val="00F4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4DCDCC-1BF5-4FA9-BFEE-2C5802984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/>
        <w:caps/>
        <w:color w:val="333333"/>
        <w:kern w:val="2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5FE"/>
    <w:pPr>
      <w:widowControl w:val="0"/>
      <w:wordWrap w:val="0"/>
      <w:autoSpaceDE w:val="0"/>
      <w:autoSpaceDN w:val="0"/>
      <w:spacing w:after="0" w:line="240" w:lineRule="auto"/>
      <w:jc w:val="both"/>
    </w:pPr>
    <w:rPr>
      <w:b w:val="0"/>
      <w:caps w:val="0"/>
      <w:color w:val="auto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62C6"/>
    <w:pPr>
      <w:tabs>
        <w:tab w:val="center" w:pos="4680"/>
        <w:tab w:val="right" w:pos="9360"/>
      </w:tabs>
    </w:pPr>
  </w:style>
  <w:style w:type="character" w:customStyle="1" w:styleId="Char">
    <w:name w:val="머리글 Char"/>
    <w:basedOn w:val="a0"/>
    <w:link w:val="a3"/>
    <w:uiPriority w:val="99"/>
    <w:rsid w:val="00CE62C6"/>
    <w:rPr>
      <w:b w:val="0"/>
      <w:caps w:val="0"/>
      <w:color w:val="auto"/>
      <w:sz w:val="20"/>
    </w:rPr>
  </w:style>
  <w:style w:type="paragraph" w:styleId="a4">
    <w:name w:val="footer"/>
    <w:basedOn w:val="a"/>
    <w:link w:val="Char0"/>
    <w:uiPriority w:val="99"/>
    <w:unhideWhenUsed/>
    <w:rsid w:val="00CE62C6"/>
    <w:pPr>
      <w:tabs>
        <w:tab w:val="center" w:pos="4680"/>
        <w:tab w:val="right" w:pos="9360"/>
      </w:tabs>
    </w:pPr>
  </w:style>
  <w:style w:type="character" w:customStyle="1" w:styleId="Char0">
    <w:name w:val="바닥글 Char"/>
    <w:basedOn w:val="a0"/>
    <w:link w:val="a4"/>
    <w:uiPriority w:val="99"/>
    <w:rsid w:val="00CE62C6"/>
    <w:rPr>
      <w:b w:val="0"/>
      <w:caps w:val="0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SYY</dc:creator>
  <cp:keywords/>
  <dc:description/>
  <cp:lastModifiedBy>SYY</cp:lastModifiedBy>
  <cp:revision>2</cp:revision>
  <dcterms:created xsi:type="dcterms:W3CDTF">2020-04-10T08:40:00Z</dcterms:created>
  <dcterms:modified xsi:type="dcterms:W3CDTF">2020-04-10T08:40:00Z</dcterms:modified>
</cp:coreProperties>
</file>