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47220" w14:textId="77777777" w:rsidR="006D6B05" w:rsidRPr="005B7D47" w:rsidRDefault="006D6B05" w:rsidP="006D6B05">
      <w:pPr>
        <w:rPr>
          <w:rStyle w:val="fontstyle01"/>
          <w:rFonts w:ascii="Times New Roman" w:hAnsi="Times New Roman"/>
          <w:b/>
          <w:bCs/>
          <w:sz w:val="28"/>
          <w:szCs w:val="28"/>
        </w:rPr>
      </w:pPr>
      <w:r w:rsidRPr="005B7D47">
        <w:rPr>
          <w:rStyle w:val="fontstyle01"/>
          <w:rFonts w:ascii="Times New Roman" w:hAnsi="Times New Roman"/>
          <w:b/>
          <w:bCs/>
          <w:sz w:val="28"/>
          <w:szCs w:val="28"/>
        </w:rPr>
        <w:t>Supplemental Figure 1</w:t>
      </w:r>
    </w:p>
    <w:p w14:paraId="165ADB04" w14:textId="4C3275BD" w:rsidR="006D6B05" w:rsidRPr="005B7D47" w:rsidRDefault="00F75640" w:rsidP="006D6B05">
      <w:pPr>
        <w:rPr>
          <w:rStyle w:val="fontstyle01"/>
          <w:rFonts w:ascii="Times New Roman" w:hAnsi="Times New Roman"/>
          <w:b/>
          <w:bCs/>
          <w:sz w:val="24"/>
        </w:rPr>
      </w:pPr>
      <w:r w:rsidRPr="005B7D47">
        <w:rPr>
          <w:b/>
          <w:bCs/>
          <w:noProof/>
          <w:color w:val="000000"/>
          <w:sz w:val="24"/>
          <w:szCs w:val="16"/>
        </w:rPr>
        <w:drawing>
          <wp:inline distT="0" distB="0" distL="0" distR="0" wp14:anchorId="7318C736" wp14:editId="46DBA3D5">
            <wp:extent cx="5274000" cy="2365200"/>
            <wp:effectExtent l="0" t="0" r="3175" b="0"/>
            <wp:docPr id="5" name="图片 5" descr="E:\课题（第三部分）\B4）PI-Xbp1间充质细胞成骨分化\Figure 20200522-阶段3-5\新建文件夹\Fig S1-072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课题（第三部分）\B4）PI-Xbp1间充质细胞成骨分化\Figure 20200522-阶段3-5\新建文件夹\Fig S1-0728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E00D7" w14:textId="514467C1" w:rsidR="006D6B05" w:rsidRPr="005B7D47" w:rsidRDefault="006D6B05" w:rsidP="006D6B05">
      <w:pPr>
        <w:spacing w:line="360" w:lineRule="auto"/>
        <w:rPr>
          <w:rStyle w:val="fontstyle01"/>
          <w:rFonts w:ascii="Times New Roman" w:hAnsi="Times New Roman"/>
          <w:sz w:val="24"/>
        </w:rPr>
      </w:pPr>
      <w:r w:rsidRPr="005B7D47">
        <w:rPr>
          <w:rStyle w:val="fontstyle01"/>
          <w:rFonts w:ascii="Times New Roman" w:hAnsi="Times New Roman"/>
          <w:b/>
          <w:bCs/>
          <w:sz w:val="24"/>
        </w:rPr>
        <w:t xml:space="preserve">Supplemental Figure 1. </w:t>
      </w:r>
      <w:r w:rsidRPr="005B7D47">
        <w:rPr>
          <w:rStyle w:val="fontstyle01"/>
          <w:rFonts w:ascii="Times New Roman" w:hAnsi="Times New Roman"/>
          <w:b/>
          <w:sz w:val="24"/>
        </w:rPr>
        <w:t>Effects of proteasome inhibitors on osteogenic differentiation of human MSCs.</w:t>
      </w:r>
      <w:r w:rsidRPr="005B7D47">
        <w:rPr>
          <w:rStyle w:val="fontstyle01"/>
          <w:rFonts w:ascii="Times New Roman" w:hAnsi="Times New Roman"/>
          <w:sz w:val="24"/>
        </w:rPr>
        <w:t xml:space="preserve"> </w:t>
      </w:r>
      <w:r w:rsidRPr="005B7D47">
        <w:rPr>
          <w:color w:val="000000" w:themeColor="text1"/>
          <w:sz w:val="24"/>
          <w:lang w:val="nl-BE"/>
        </w:rPr>
        <w:t xml:space="preserve">Human bone marrow mesenchymal stem cells (hMSCs) were obtained from the femoral head of patients undergoing hip replacement surgery for femoral head osteonecrosis with informed consent, following a protocol previously described by De Becker A, </w:t>
      </w:r>
      <w:r w:rsidRPr="005B7D47">
        <w:rPr>
          <w:i/>
          <w:iCs/>
          <w:color w:val="000000" w:themeColor="text1"/>
          <w:sz w:val="24"/>
          <w:lang w:val="nl-BE"/>
        </w:rPr>
        <w:t>et al</w:t>
      </w:r>
      <w:r w:rsidRPr="005B7D47">
        <w:rPr>
          <w:color w:val="000000" w:themeColor="text1"/>
          <w:sz w:val="24"/>
          <w:lang w:val="nl-BE"/>
        </w:rPr>
        <w:t>. (</w:t>
      </w:r>
      <w:proofErr w:type="spellStart"/>
      <w:r w:rsidRPr="005B7D47">
        <w:rPr>
          <w:i/>
          <w:sz w:val="24"/>
        </w:rPr>
        <w:t>Haematologica</w:t>
      </w:r>
      <w:proofErr w:type="spellEnd"/>
      <w:r w:rsidRPr="005B7D47">
        <w:rPr>
          <w:sz w:val="24"/>
        </w:rPr>
        <w:t xml:space="preserve"> 2007; </w:t>
      </w:r>
      <w:r w:rsidRPr="005B7D47">
        <w:rPr>
          <w:bCs/>
          <w:sz w:val="24"/>
        </w:rPr>
        <w:t>92</w:t>
      </w:r>
      <w:r w:rsidRPr="005B7D47">
        <w:rPr>
          <w:sz w:val="24"/>
        </w:rPr>
        <w:t>(4): 440-449</w:t>
      </w:r>
      <w:r w:rsidRPr="005B7D47">
        <w:rPr>
          <w:color w:val="000000" w:themeColor="text1"/>
          <w:sz w:val="24"/>
          <w:lang w:val="nl-BE"/>
        </w:rPr>
        <w:t xml:space="preserve">). </w:t>
      </w:r>
      <w:r w:rsidRPr="005B7D47">
        <w:rPr>
          <w:rStyle w:val="fontstyle01"/>
          <w:rFonts w:ascii="Times New Roman" w:hAnsi="Times New Roman"/>
          <w:sz w:val="24"/>
        </w:rPr>
        <w:t xml:space="preserve">80%-90% confluent </w:t>
      </w:r>
      <w:r w:rsidRPr="005B7D47">
        <w:rPr>
          <w:color w:val="000000" w:themeColor="text1"/>
          <w:sz w:val="24"/>
          <w:lang w:val="nl-BE"/>
        </w:rPr>
        <w:t>hMSCs</w:t>
      </w:r>
      <w:r w:rsidRPr="005B7D47">
        <w:rPr>
          <w:rStyle w:val="fontstyle01"/>
          <w:rFonts w:ascii="Times New Roman" w:hAnsi="Times New Roman"/>
          <w:sz w:val="24"/>
        </w:rPr>
        <w:t xml:space="preserve"> in 35mm dishes were treated with bortezomib (</w:t>
      </w:r>
      <w:proofErr w:type="spellStart"/>
      <w:r w:rsidRPr="005B7D47">
        <w:rPr>
          <w:rStyle w:val="fontstyle01"/>
          <w:rFonts w:ascii="Times New Roman" w:hAnsi="Times New Roman"/>
          <w:sz w:val="24"/>
        </w:rPr>
        <w:t>Btz</w:t>
      </w:r>
      <w:proofErr w:type="spellEnd"/>
      <w:r w:rsidRPr="005B7D47">
        <w:rPr>
          <w:rStyle w:val="fontstyle01"/>
          <w:rFonts w:ascii="Times New Roman" w:hAnsi="Times New Roman"/>
          <w:sz w:val="24"/>
        </w:rPr>
        <w:t>) or carfilzomib (</w:t>
      </w:r>
      <w:proofErr w:type="spellStart"/>
      <w:r w:rsidRPr="005B7D47">
        <w:rPr>
          <w:rStyle w:val="fontstyle01"/>
          <w:rFonts w:ascii="Times New Roman" w:hAnsi="Times New Roman"/>
          <w:sz w:val="24"/>
        </w:rPr>
        <w:t>Cfz</w:t>
      </w:r>
      <w:proofErr w:type="spellEnd"/>
      <w:r w:rsidRPr="005B7D47">
        <w:rPr>
          <w:rStyle w:val="fontstyle01"/>
          <w:rFonts w:ascii="Times New Roman" w:hAnsi="Times New Roman"/>
          <w:sz w:val="24"/>
        </w:rPr>
        <w:t xml:space="preserve">) at concentrations of 0, 1, 2.5 </w:t>
      </w:r>
      <w:proofErr w:type="spellStart"/>
      <w:r w:rsidRPr="005B7D47">
        <w:rPr>
          <w:rStyle w:val="fontstyle01"/>
          <w:rFonts w:ascii="Times New Roman" w:hAnsi="Times New Roman"/>
          <w:sz w:val="24"/>
        </w:rPr>
        <w:t>nM</w:t>
      </w:r>
      <w:proofErr w:type="spellEnd"/>
      <w:r w:rsidRPr="005B7D47">
        <w:rPr>
          <w:rStyle w:val="fontstyle01"/>
          <w:rFonts w:ascii="Times New Roman" w:hAnsi="Times New Roman"/>
          <w:sz w:val="24"/>
        </w:rPr>
        <w:t xml:space="preserve">, or were cultured in osteogenic differentiation medium for 8 days, </w:t>
      </w:r>
      <w:r w:rsidR="005B7D47">
        <w:rPr>
          <w:rStyle w:val="fontstyle01"/>
          <w:rFonts w:ascii="Times New Roman" w:hAnsi="Times New Roman"/>
          <w:sz w:val="24"/>
        </w:rPr>
        <w:t xml:space="preserve">and </w:t>
      </w:r>
      <w:bookmarkStart w:id="0" w:name="_GoBack"/>
      <w:bookmarkEnd w:id="0"/>
      <w:r w:rsidR="005B7D47">
        <w:rPr>
          <w:rStyle w:val="fontstyle01"/>
          <w:rFonts w:ascii="Times New Roman" w:hAnsi="Times New Roman"/>
          <w:sz w:val="24"/>
        </w:rPr>
        <w:t>the medium was</w:t>
      </w:r>
      <w:r w:rsidRPr="005B7D47">
        <w:rPr>
          <w:rStyle w:val="fontstyle01"/>
          <w:rFonts w:ascii="Times New Roman" w:hAnsi="Times New Roman"/>
          <w:sz w:val="24"/>
        </w:rPr>
        <w:t xml:space="preserve"> </w:t>
      </w:r>
      <w:r w:rsidR="005B7D47">
        <w:rPr>
          <w:rStyle w:val="fontstyle01"/>
          <w:rFonts w:ascii="Times New Roman" w:hAnsi="Times New Roman"/>
          <w:sz w:val="24"/>
        </w:rPr>
        <w:t>replaced</w:t>
      </w:r>
      <w:r w:rsidRPr="005B7D47">
        <w:rPr>
          <w:rStyle w:val="fontstyle01"/>
          <w:rFonts w:ascii="Times New Roman" w:hAnsi="Times New Roman"/>
          <w:sz w:val="24"/>
        </w:rPr>
        <w:t xml:space="preserve"> every 2 days. (</w:t>
      </w:r>
      <w:r w:rsidRPr="005B7D47">
        <w:rPr>
          <w:rStyle w:val="fontstyle01"/>
          <w:rFonts w:ascii="Times New Roman" w:hAnsi="Times New Roman"/>
          <w:b/>
          <w:sz w:val="24"/>
        </w:rPr>
        <w:t>A</w:t>
      </w:r>
      <w:r w:rsidRPr="005B7D47">
        <w:rPr>
          <w:rStyle w:val="fontstyle01"/>
          <w:rFonts w:ascii="Times New Roman" w:hAnsi="Times New Roman"/>
          <w:sz w:val="24"/>
        </w:rPr>
        <w:t xml:space="preserve">) Alizarin red staining of </w:t>
      </w:r>
      <w:proofErr w:type="spellStart"/>
      <w:r w:rsidRPr="005B7D47">
        <w:rPr>
          <w:rStyle w:val="fontstyle01"/>
          <w:rFonts w:ascii="Times New Roman" w:hAnsi="Times New Roman"/>
          <w:sz w:val="24"/>
        </w:rPr>
        <w:t>hMSCs</w:t>
      </w:r>
      <w:proofErr w:type="spellEnd"/>
      <w:r w:rsidRPr="005B7D47">
        <w:rPr>
          <w:rStyle w:val="fontstyle01"/>
          <w:rFonts w:ascii="Times New Roman" w:hAnsi="Times New Roman"/>
          <w:sz w:val="24"/>
        </w:rPr>
        <w:t xml:space="preserve"> treated with bortezomib (upper panel) or carfilzomib (lower panel). (</w:t>
      </w:r>
      <w:r w:rsidRPr="005B7D47">
        <w:rPr>
          <w:rStyle w:val="fontstyle01"/>
          <w:rFonts w:ascii="Times New Roman" w:hAnsi="Times New Roman"/>
          <w:b/>
          <w:sz w:val="24"/>
        </w:rPr>
        <w:t>B</w:t>
      </w:r>
      <w:r w:rsidRPr="005B7D47">
        <w:rPr>
          <w:rStyle w:val="fontstyle01"/>
          <w:rFonts w:ascii="Times New Roman" w:hAnsi="Times New Roman"/>
          <w:sz w:val="24"/>
        </w:rPr>
        <w:t xml:space="preserve">) Alkaline phosphatase staining of bortezomib (upper panel) or carfilzomib-treated (lower panel) </w:t>
      </w:r>
      <w:proofErr w:type="spellStart"/>
      <w:r w:rsidRPr="005B7D47">
        <w:rPr>
          <w:rStyle w:val="fontstyle01"/>
          <w:rFonts w:ascii="Times New Roman" w:hAnsi="Times New Roman"/>
          <w:sz w:val="24"/>
        </w:rPr>
        <w:t>hMSCs</w:t>
      </w:r>
      <w:proofErr w:type="spellEnd"/>
      <w:r w:rsidRPr="005B7D47">
        <w:rPr>
          <w:rStyle w:val="fontstyle01"/>
          <w:rFonts w:ascii="Times New Roman" w:hAnsi="Times New Roman"/>
          <w:sz w:val="24"/>
        </w:rPr>
        <w:t>. Images shown are representative of 3 independent experiments.</w:t>
      </w:r>
    </w:p>
    <w:sectPr w:rsidR="006D6B05" w:rsidRPr="005B7D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65890" w14:textId="77777777" w:rsidR="00D174E2" w:rsidRDefault="00D174E2" w:rsidP="00235429">
      <w:r>
        <w:separator/>
      </w:r>
    </w:p>
  </w:endnote>
  <w:endnote w:type="continuationSeparator" w:id="0">
    <w:p w14:paraId="7C87EDF0" w14:textId="77777777" w:rsidR="00D174E2" w:rsidRDefault="00D174E2" w:rsidP="0023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Times New Roman"/>
    <w:panose1 w:val="02040503050306020203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83486" w14:textId="77777777" w:rsidR="00D174E2" w:rsidRDefault="00D174E2" w:rsidP="00235429">
      <w:r>
        <w:separator/>
      </w:r>
    </w:p>
  </w:footnote>
  <w:footnote w:type="continuationSeparator" w:id="0">
    <w:p w14:paraId="0E5F260A" w14:textId="77777777" w:rsidR="00D174E2" w:rsidRDefault="00D174E2" w:rsidP="00235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3NjIyNzI0NzC0MDRW0lEKTi0uzszPAykwNKgFANshanUtAAAA"/>
  </w:docVars>
  <w:rsids>
    <w:rsidRoot w:val="00D672CA"/>
    <w:rsid w:val="00014499"/>
    <w:rsid w:val="00086BB1"/>
    <w:rsid w:val="000B63FD"/>
    <w:rsid w:val="001076F3"/>
    <w:rsid w:val="00125F35"/>
    <w:rsid w:val="001D4FBF"/>
    <w:rsid w:val="00235429"/>
    <w:rsid w:val="0024592C"/>
    <w:rsid w:val="00294D5E"/>
    <w:rsid w:val="002F6DF3"/>
    <w:rsid w:val="003614F1"/>
    <w:rsid w:val="00366CFE"/>
    <w:rsid w:val="003D4729"/>
    <w:rsid w:val="00432FF6"/>
    <w:rsid w:val="005A2429"/>
    <w:rsid w:val="005B668F"/>
    <w:rsid w:val="005B7D47"/>
    <w:rsid w:val="005D2E7F"/>
    <w:rsid w:val="00611B3E"/>
    <w:rsid w:val="00655FBD"/>
    <w:rsid w:val="006A10CB"/>
    <w:rsid w:val="006B1988"/>
    <w:rsid w:val="006D6B05"/>
    <w:rsid w:val="006F493A"/>
    <w:rsid w:val="0070276C"/>
    <w:rsid w:val="00783B6C"/>
    <w:rsid w:val="007C7126"/>
    <w:rsid w:val="008914D1"/>
    <w:rsid w:val="008E12DB"/>
    <w:rsid w:val="00921F86"/>
    <w:rsid w:val="009407EC"/>
    <w:rsid w:val="009D3249"/>
    <w:rsid w:val="009D4525"/>
    <w:rsid w:val="009E664D"/>
    <w:rsid w:val="009F18D3"/>
    <w:rsid w:val="00AE5862"/>
    <w:rsid w:val="00B5050C"/>
    <w:rsid w:val="00B83FDC"/>
    <w:rsid w:val="00B8508E"/>
    <w:rsid w:val="00BD144E"/>
    <w:rsid w:val="00BD4B6C"/>
    <w:rsid w:val="00C96CA7"/>
    <w:rsid w:val="00D15573"/>
    <w:rsid w:val="00D174E2"/>
    <w:rsid w:val="00D541B5"/>
    <w:rsid w:val="00D672CA"/>
    <w:rsid w:val="00DE3B30"/>
    <w:rsid w:val="00E52660"/>
    <w:rsid w:val="00E7414C"/>
    <w:rsid w:val="00EA6D8E"/>
    <w:rsid w:val="00F75640"/>
    <w:rsid w:val="00FC3741"/>
    <w:rsid w:val="00FD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2C7FE"/>
  <w15:docId w15:val="{5D6422AD-3029-47CD-AD43-929D3297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4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54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54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5429"/>
    <w:rPr>
      <w:sz w:val="18"/>
      <w:szCs w:val="18"/>
    </w:rPr>
  </w:style>
  <w:style w:type="character" w:customStyle="1" w:styleId="fontstyle01">
    <w:name w:val="fontstyle01"/>
    <w:basedOn w:val="a0"/>
    <w:qFormat/>
    <w:rsid w:val="00235429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125F35"/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25F35"/>
    <w:rPr>
      <w:rFonts w:ascii="Segoe UI" w:eastAsia="宋体" w:hAnsi="Segoe UI" w:cs="Segoe UI"/>
      <w:sz w:val="18"/>
      <w:szCs w:val="18"/>
    </w:rPr>
  </w:style>
  <w:style w:type="table" w:styleId="a9">
    <w:name w:val="Table Grid"/>
    <w:basedOn w:val="a1"/>
    <w:uiPriority w:val="59"/>
    <w:rsid w:val="006D6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D6B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14</cp:revision>
  <dcterms:created xsi:type="dcterms:W3CDTF">2019-06-28T06:13:00Z</dcterms:created>
  <dcterms:modified xsi:type="dcterms:W3CDTF">2020-11-03T10:39:00Z</dcterms:modified>
</cp:coreProperties>
</file>