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7951E" w14:textId="77777777" w:rsidR="00301CBE" w:rsidRPr="00301CBE" w:rsidRDefault="00301CBE" w:rsidP="00301CBE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301CBE">
        <w:rPr>
          <w:rFonts w:ascii="Times New Roman" w:hAnsi="Times New Roman"/>
          <w:b/>
          <w:sz w:val="24"/>
          <w:szCs w:val="24"/>
          <w:lang w:val="en-GB"/>
        </w:rPr>
        <w:t xml:space="preserve">Supplementary Table </w:t>
      </w:r>
      <w:r w:rsidR="005D44F8">
        <w:rPr>
          <w:rFonts w:ascii="Times New Roman" w:hAnsi="Times New Roman"/>
          <w:b/>
          <w:sz w:val="24"/>
          <w:szCs w:val="24"/>
          <w:lang w:val="en-GB"/>
        </w:rPr>
        <w:t>3</w:t>
      </w:r>
      <w:bookmarkStart w:id="0" w:name="_GoBack"/>
      <w:bookmarkEnd w:id="0"/>
    </w:p>
    <w:p w14:paraId="16D09204" w14:textId="486610D4" w:rsidR="00301CBE" w:rsidRPr="00301CBE" w:rsidRDefault="00301CBE" w:rsidP="00301CBE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301CBE">
        <w:rPr>
          <w:rFonts w:ascii="Times New Roman" w:hAnsi="Times New Roman"/>
          <w:b/>
          <w:sz w:val="24"/>
          <w:szCs w:val="24"/>
          <w:lang w:val="en-GB"/>
        </w:rPr>
        <w:t>The effect of donor characteristic variables on the osteoblastic and adipocytic differentiation outcome of cultured</w:t>
      </w:r>
      <w:r w:rsidR="002B236C">
        <w:rPr>
          <w:rFonts w:ascii="Times New Roman" w:hAnsi="Times New Roman"/>
          <w:b/>
          <w:sz w:val="24"/>
          <w:szCs w:val="24"/>
          <w:lang w:val="en-GB"/>
        </w:rPr>
        <w:t xml:space="preserve"> human bone marrow stromal </w:t>
      </w:r>
      <w:r w:rsidRPr="00301CBE">
        <w:rPr>
          <w:rFonts w:ascii="Times New Roman" w:hAnsi="Times New Roman"/>
          <w:b/>
          <w:sz w:val="24"/>
          <w:szCs w:val="24"/>
          <w:lang w:val="en-GB"/>
        </w:rPr>
        <w:t>cells (</w:t>
      </w:r>
      <w:proofErr w:type="spellStart"/>
      <w:r w:rsidRPr="00301CBE">
        <w:rPr>
          <w:rFonts w:ascii="Times New Roman" w:hAnsi="Times New Roman"/>
          <w:b/>
          <w:sz w:val="24"/>
          <w:szCs w:val="24"/>
          <w:lang w:val="en-GB"/>
        </w:rPr>
        <w:t>hB</w:t>
      </w:r>
      <w:r>
        <w:rPr>
          <w:rFonts w:ascii="Times New Roman" w:hAnsi="Times New Roman"/>
          <w:b/>
          <w:sz w:val="24"/>
          <w:szCs w:val="24"/>
          <w:lang w:val="en-GB"/>
        </w:rPr>
        <w:t>M</w:t>
      </w:r>
      <w:r w:rsidRPr="00301CBE">
        <w:rPr>
          <w:rFonts w:ascii="Times New Roman" w:hAnsi="Times New Roman"/>
          <w:b/>
          <w:sz w:val="24"/>
          <w:szCs w:val="24"/>
          <w:lang w:val="en-GB"/>
        </w:rPr>
        <w:t>SCs</w:t>
      </w:r>
      <w:proofErr w:type="spellEnd"/>
      <w:r w:rsidRPr="00301CBE">
        <w:rPr>
          <w:rFonts w:ascii="Times New Roman" w:hAnsi="Times New Roman"/>
          <w:b/>
          <w:sz w:val="24"/>
          <w:szCs w:val="24"/>
          <w:lang w:val="en-GB"/>
        </w:rPr>
        <w:t xml:space="preserve">). </w:t>
      </w:r>
    </w:p>
    <w:tbl>
      <w:tblPr>
        <w:tblW w:w="14634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1134"/>
        <w:gridCol w:w="1984"/>
        <w:gridCol w:w="3538"/>
        <w:gridCol w:w="882"/>
        <w:gridCol w:w="3365"/>
        <w:gridCol w:w="895"/>
      </w:tblGrid>
      <w:tr w:rsidR="00301CBE" w:rsidRPr="00301CBE" w14:paraId="043C0F74" w14:textId="77777777" w:rsidTr="00376F0C">
        <w:trPr>
          <w:trHeight w:val="55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6F8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Variable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8FB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Donors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2FE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N of subjects</w:t>
            </w:r>
          </w:p>
        </w:tc>
        <w:tc>
          <w:tcPr>
            <w:tcW w:w="4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A0C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Osteoblastic differentiation </w:t>
            </w:r>
          </w:p>
          <w:p w14:paraId="7946FA0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(alizarin red intensity)</w:t>
            </w:r>
          </w:p>
        </w:tc>
        <w:tc>
          <w:tcPr>
            <w:tcW w:w="4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F0A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Adipocytic differentiation </w:t>
            </w:r>
          </w:p>
          <w:p w14:paraId="2D07184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(area of lipid droplets)</w:t>
            </w:r>
          </w:p>
        </w:tc>
      </w:tr>
      <w:tr w:rsidR="00301CBE" w:rsidRPr="00301CBE" w14:paraId="4B00A5D0" w14:textId="77777777" w:rsidTr="00376F0C">
        <w:trPr>
          <w:trHeight w:val="55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8194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B33A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49534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4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E3A0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4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5527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</w:tr>
      <w:tr w:rsidR="00301CBE" w:rsidRPr="00301CBE" w14:paraId="7FC4EEF6" w14:textId="77777777" w:rsidTr="00376F0C">
        <w:trPr>
          <w:trHeight w:val="29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0516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05BD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2178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AB2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Mean ± SD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81C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p value 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FA5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Mean ± SD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E58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p value </w:t>
            </w:r>
          </w:p>
        </w:tc>
      </w:tr>
      <w:tr w:rsidR="00301CBE" w:rsidRPr="00301CBE" w14:paraId="78946E98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56C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Subjects with and without osteoporosis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744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07D8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17 vs 15 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39F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(50.8 ± 25.3) vs (42.9 ± 16.1)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142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0.31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76E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(16.3 ± 19.2) vs (27.7 ± 24.3)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A96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0.1</w:t>
            </w:r>
          </w:p>
        </w:tc>
      </w:tr>
      <w:tr w:rsidR="00301CBE" w:rsidRPr="00301CBE" w14:paraId="6E2ABBE8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3BFAB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E61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4B5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5 vs 21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FE8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(60.2 ± 19) vs (62.3 ± 29)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5F0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0.80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A0D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(18.1 ± 15.8) vs (18 ± 11.5)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C69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0.95</w:t>
            </w:r>
          </w:p>
        </w:tc>
      </w:tr>
      <w:tr w:rsidR="00301CBE" w:rsidRPr="00301CBE" w14:paraId="654C828F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7B0A2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32B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2D5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22 vs 36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FF1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(52.9 ± 24) vs (54.2 ± 26.1)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7D0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67E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(16.7 ± 18.2) vs (22 ± 18.3)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E3C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0.15</w:t>
            </w:r>
          </w:p>
        </w:tc>
      </w:tr>
      <w:tr w:rsidR="00301CBE" w:rsidRPr="00301CBE" w14:paraId="1C5CE410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962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Subjects with and without hypertension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D0E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18B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11 vs 21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5CBB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(42.52 ± 23.7) vs (49.47 ± 20.6)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5EF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0.40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8B9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(12.1 ± 7.7) vs (26.7 ± 25.6)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FEFD" w14:textId="77777777" w:rsidR="00301CBE" w:rsidRPr="00C21B50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C65911"/>
                <w:sz w:val="24"/>
                <w:szCs w:val="24"/>
                <w:lang w:val="en-GB" w:eastAsia="da-DK"/>
              </w:rPr>
            </w:pPr>
            <w:r w:rsidRPr="00C21B50">
              <w:rPr>
                <w:rFonts w:ascii="Times New Roman" w:eastAsia="Times New Roman" w:hAnsi="Times New Roman"/>
                <w:b/>
                <w:bCs/>
                <w:color w:val="ED7D31" w:themeColor="accent2"/>
                <w:sz w:val="24"/>
                <w:szCs w:val="24"/>
                <w:lang w:val="en-GB" w:eastAsia="da-DK"/>
              </w:rPr>
              <w:t>0.08</w:t>
            </w:r>
          </w:p>
        </w:tc>
      </w:tr>
      <w:tr w:rsidR="00301CBE" w:rsidRPr="00301CBE" w14:paraId="0A0061DF" w14:textId="77777777" w:rsidTr="00376F0C">
        <w:trPr>
          <w:trHeight w:val="28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5FD79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E59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D65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10 vs 16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59D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(59.6 ± 26.3) vs (63.4 ± 28.4)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85D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0.73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6E4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(19.2 ± 13.1) vs (17.2 ± 11.7)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75D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0.69</w:t>
            </w:r>
          </w:p>
        </w:tc>
      </w:tr>
      <w:tr w:rsidR="00301CBE" w:rsidRPr="00301CBE" w14:paraId="5C13F18B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7544B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A87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F58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21 vs 37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999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(50.6 ± 25.8) vs (55.5 ± 25)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875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0.48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6B1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(15.5 ± 11) vs (22.6 ± 21)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A7D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0.39</w:t>
            </w:r>
          </w:p>
        </w:tc>
      </w:tr>
      <w:tr w:rsidR="00301CBE" w:rsidRPr="00301CBE" w14:paraId="4AC0FA29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46C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Subjects with and without type 2 diabetes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F02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EAA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2 donors only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834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B115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084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8B4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 NA</w:t>
            </w:r>
          </w:p>
        </w:tc>
      </w:tr>
      <w:tr w:rsidR="00301CBE" w:rsidRPr="00301CBE" w14:paraId="1ED7DE8E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9C8CA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DBA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641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8 vs 18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F9D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(57 ± 22) vs (64.1 ± 29.5)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0F0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0.54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D8B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(20.4 ± 13) vs (16.9 ± 22.7)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545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0.5</w:t>
            </w:r>
          </w:p>
        </w:tc>
      </w:tr>
      <w:tr w:rsidR="00301CBE" w:rsidRPr="00301CBE" w14:paraId="5112027C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19E5D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392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EE6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10 vs 48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999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(55.5 ± 20.9) vs (53.4 ± 26.1)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F37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683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(18.6 ± 12.2) vs (20.3 ± 19.4)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BD3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0.71</w:t>
            </w:r>
          </w:p>
        </w:tc>
      </w:tr>
      <w:tr w:rsidR="00301CBE" w:rsidRPr="00301CBE" w14:paraId="1120D294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3EC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Subjects taking less and more than 3 medicines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B86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062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26 vs 6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DB3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(44.4 ± 19.2) vs (58.5 ± 28.9)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ACC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0.17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D3D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(23 ± 24.3) vs (15.8 ± 6.3)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A38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0.91</w:t>
            </w:r>
          </w:p>
        </w:tc>
      </w:tr>
      <w:tr w:rsidR="00301CBE" w:rsidRPr="00301CBE" w14:paraId="02000A86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B2027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4E5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0EB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19 vs 7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25E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(62.8 ± 27.2) vs (59.6 ± 29)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EBA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0.61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3210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(18.8 ± 12.5) vs (15.7 ± 11.3)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448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0.57</w:t>
            </w:r>
          </w:p>
        </w:tc>
      </w:tr>
      <w:tr w:rsidR="00301CBE" w:rsidRPr="00301CBE" w14:paraId="667D5DBB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0667C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788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40A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45 vs 13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ACB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(52.2 ± 24.4) vs (59.1 ± 27.8)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D4B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0.39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FBD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(21.2 ± 20.1) vs (15.7 ± 8.9)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F64D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0.76</w:t>
            </w:r>
          </w:p>
        </w:tc>
      </w:tr>
      <w:tr w:rsidR="00301CBE" w:rsidRPr="00301CBE" w14:paraId="5966BEAF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BAE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Subjects with and without morphine treatment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264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57D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20 vs 12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089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(47.64 ± 5.53) vs (46.15 ± 4.59)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399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256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(21.9 ± 22) vs (21.1 ± 23.3)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C30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0.63</w:t>
            </w:r>
          </w:p>
        </w:tc>
      </w:tr>
      <w:tr w:rsidR="00301CBE" w:rsidRPr="00301CBE" w14:paraId="53AE6221" w14:textId="77777777" w:rsidTr="00376F0C">
        <w:trPr>
          <w:trHeight w:val="28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E2E3E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E53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C0B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18 vs 8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A30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(56.1 ± 28.7) vs (74.9 ± 18.8)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94F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0.11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BBD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(16.8 ± 12.3) vs (20.7 ± 11.6)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225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0.45</w:t>
            </w:r>
          </w:p>
        </w:tc>
      </w:tr>
      <w:tr w:rsidR="00301CBE" w:rsidRPr="00301CBE" w14:paraId="0798EE9F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76A9F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3F6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7D5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38 vs 20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E5B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(51.7 ± 26.6) vs (57.6 ± 22)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946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0.39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A44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(19.5 ± 18) vs (20.1 ± 19.1)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43F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0.79</w:t>
            </w:r>
          </w:p>
        </w:tc>
      </w:tr>
      <w:tr w:rsidR="00301CBE" w:rsidRPr="00301CBE" w14:paraId="62E9E040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F59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Subjects with and without paracetamol treatment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AC0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C39E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27 vs 5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6E11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(49 ± 22.8) vs (36,7 ± 7.4)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C8D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0.26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8A0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(23.7 ± 23.2) vs (10.5 ± 10.9)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C37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0.18</w:t>
            </w:r>
          </w:p>
        </w:tc>
      </w:tr>
      <w:tr w:rsidR="00301CBE" w:rsidRPr="00301CBE" w14:paraId="22223C82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CF069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BAF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993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 donors without treatment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3DC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EBB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AA4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NA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DC3E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NA </w:t>
            </w:r>
          </w:p>
        </w:tc>
      </w:tr>
      <w:tr w:rsidR="00301CBE" w:rsidRPr="00301CBE" w14:paraId="4495A2D5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7FFCD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144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68C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51 vs 7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0EE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(55.3 ± 25.9) vs (42.6 ± 15.9)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9CB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0.18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035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(21.4 ± 18.8) vs (10.1 ± 9)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6AE33" w14:textId="77777777" w:rsidR="00301CBE" w:rsidRPr="00C21B50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C65911"/>
                <w:sz w:val="24"/>
                <w:szCs w:val="24"/>
                <w:lang w:val="en-GB" w:eastAsia="da-DK"/>
              </w:rPr>
            </w:pPr>
            <w:r w:rsidRPr="00C21B50">
              <w:rPr>
                <w:rFonts w:ascii="Times New Roman" w:eastAsia="Times New Roman" w:hAnsi="Times New Roman"/>
                <w:b/>
                <w:bCs/>
                <w:color w:val="ED7D31" w:themeColor="accent2"/>
                <w:sz w:val="24"/>
                <w:szCs w:val="24"/>
                <w:lang w:val="en-GB" w:eastAsia="da-DK"/>
              </w:rPr>
              <w:t>0.08</w:t>
            </w:r>
          </w:p>
        </w:tc>
      </w:tr>
      <w:tr w:rsidR="00301CBE" w:rsidRPr="00301CBE" w14:paraId="322476DA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AA1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Subjects with and without </w:t>
            </w:r>
            <w:proofErr w:type="spellStart"/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pantoprasol</w:t>
            </w:r>
            <w:proofErr w:type="spellEnd"/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 treatment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C64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E1F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5 vs 27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851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(66.7 ± 21.9) vs (43.6 ± 20)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CFED" w14:textId="77777777" w:rsidR="00301CBE" w:rsidRPr="00C21B50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C65911"/>
                <w:sz w:val="24"/>
                <w:szCs w:val="24"/>
                <w:lang w:val="en-GB" w:eastAsia="da-DK"/>
              </w:rPr>
            </w:pPr>
            <w:r w:rsidRPr="00C21B50">
              <w:rPr>
                <w:rFonts w:ascii="Times New Roman" w:eastAsia="Times New Roman" w:hAnsi="Times New Roman"/>
                <w:b/>
                <w:bCs/>
                <w:color w:val="ED7D31" w:themeColor="accent2"/>
                <w:sz w:val="24"/>
                <w:szCs w:val="24"/>
                <w:lang w:val="en-GB" w:eastAsia="da-DK"/>
              </w:rPr>
              <w:t>0.06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614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(13.7 ± 9.4) vs (23.1 ± 23.6)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EB1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0.61</w:t>
            </w:r>
          </w:p>
        </w:tc>
      </w:tr>
      <w:tr w:rsidR="00301CBE" w:rsidRPr="00301CBE" w14:paraId="4B9D6D5E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04F54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23F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2AB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only 1 donor taking </w:t>
            </w:r>
            <w:proofErr w:type="spellStart"/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pantoprasol</w:t>
            </w:r>
            <w:proofErr w:type="spellEnd"/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CD7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0860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83F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9B8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 NA</w:t>
            </w:r>
          </w:p>
        </w:tc>
      </w:tr>
      <w:tr w:rsidR="00301CBE" w:rsidRPr="00301CBE" w14:paraId="670545AE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99041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FF70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03F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6 vs 52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D41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(65.8 ± 19.6) vs (52.3 ± 25.</w:t>
            </w:r>
            <w:r w:rsidRPr="00301CBE" w:rsidDel="008E2B68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 </w:t>
            </w: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5)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F4E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0.24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B3D5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(16.2 ± 10.4) vs (20.4 ± 19)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9F4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0.85</w:t>
            </w:r>
          </w:p>
        </w:tc>
      </w:tr>
      <w:tr w:rsidR="00301CBE" w:rsidRPr="00301CBE" w14:paraId="3FE92EDE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160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Subjects with and without statins treatment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E10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FB1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 3 vs 29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9AB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286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551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NA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98F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 NA</w:t>
            </w:r>
          </w:p>
        </w:tc>
      </w:tr>
      <w:tr w:rsidR="00301CBE" w:rsidRPr="00301CBE" w14:paraId="53E7C101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7C1E7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B12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174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6 vs 20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179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(73.2 ± 19.6) vs (58.5 ± 28.6)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23F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0.39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922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(14.8 ± 7.9) vs (19 ± 13)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7AD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0.66</w:t>
            </w:r>
          </w:p>
        </w:tc>
      </w:tr>
      <w:tr w:rsidR="00301CBE" w:rsidRPr="00301CBE" w14:paraId="7DB893D5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42BF6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6C1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5B3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9 vs 49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B056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(61 ± 2,.8) vs (52.4 ± 24.7)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37E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0.35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BAA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(13.8 ± 6.9) vs (21.1 ± 19.5)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ABE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0.52</w:t>
            </w:r>
          </w:p>
        </w:tc>
      </w:tr>
      <w:tr w:rsidR="00301CBE" w:rsidRPr="00301CBE" w14:paraId="6AB50278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473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Subjects with and without alendronate treatment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038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Females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655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5 vs 27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0B9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(61.9 ± 25.1) vs (44.3 ± 20.1)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1D7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Cs/>
                <w:color w:val="C65911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da-DK"/>
              </w:rPr>
              <w:t>0.10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F28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(15.8 ± 13.1) vs (22.7 ± 23.5)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543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0.88</w:t>
            </w:r>
          </w:p>
        </w:tc>
      </w:tr>
      <w:tr w:rsidR="00301CBE" w:rsidRPr="00301CBE" w14:paraId="1681F278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CA7DC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7CD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F66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none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E2F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337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 NA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E04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NA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FC7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NA </w:t>
            </w:r>
          </w:p>
        </w:tc>
      </w:tr>
      <w:tr w:rsidR="00301CBE" w:rsidRPr="00301CBE" w14:paraId="65AFB28A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F9088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67F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DE7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5 vs 53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91D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(61.9 ± 25.1) vs (53 ± 25.2)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9C5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0.43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176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(15.8 ± 13.1) vs (20.4 ± 18.7)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E94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0.73</w:t>
            </w:r>
          </w:p>
        </w:tc>
      </w:tr>
      <w:tr w:rsidR="00301CBE" w:rsidRPr="00301CBE" w14:paraId="487F3AA0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33F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Subjects with and without vitamin D supplementation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8BA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C96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13 vs 19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32F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(45.9 ± 19.4) vs (47.9 ± 28.7)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00F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230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(17.8 ± 21.8) vs (24.3 ± 22.6)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7DC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0.25</w:t>
            </w:r>
          </w:p>
        </w:tc>
      </w:tr>
      <w:tr w:rsidR="00301CBE" w:rsidRPr="00301CBE" w14:paraId="2364D4E8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8F074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744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5F8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7 vs 19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8DC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(56.1 ± 23.3) vs (64 ± 28.6)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360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0.50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D59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(16.3 ± 13.9) vs (18.6 ± 11.6)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42F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0.65</w:t>
            </w:r>
          </w:p>
        </w:tc>
      </w:tr>
      <w:tr w:rsidR="00301CBE" w:rsidRPr="00301CBE" w14:paraId="7BC6ED36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883EC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E50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085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20 vs 38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3C7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(49.5 ± 20.8) vs (56 ± 27.1)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631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0.36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368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(17.3 ± 19) vs (21.4 ± 18)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B69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0.21</w:t>
            </w:r>
          </w:p>
        </w:tc>
      </w:tr>
      <w:tr w:rsidR="00301CBE" w:rsidRPr="00301CBE" w14:paraId="5768B75E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247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Subjects with and without calcium supplementation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6F7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6B8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13 vs 19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622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(45.9 ± 19.4) vs (47.9 ± 23.4)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386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C26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(17.8 ± 21.8) vs (24.3 ± 22.6)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B97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0.25</w:t>
            </w:r>
          </w:p>
        </w:tc>
      </w:tr>
      <w:tr w:rsidR="00301CBE" w:rsidRPr="00301CBE" w14:paraId="38164610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F6B96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3C8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A5A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7 vs 19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7C3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(59.5 ± 24.3) vs (62.8 ± 28.7)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0D1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0.91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4E5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(18 ± 13.5) vs (18 ± 11.8)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5C6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0.96</w:t>
            </w:r>
          </w:p>
        </w:tc>
      </w:tr>
      <w:tr w:rsidR="00301CBE" w:rsidRPr="00301CBE" w14:paraId="24B056F5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AB691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C1F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68F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20 vs 38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5FF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(50.7 ± 21.7) vs (55.3 ± 27)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61F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0.51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767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(17.9 ± 19) vs (21.1 ± 18.1)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FFF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0.35</w:t>
            </w:r>
          </w:p>
        </w:tc>
      </w:tr>
      <w:tr w:rsidR="00301CBE" w:rsidRPr="00301CBE" w14:paraId="258C5B45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B46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Fracture age (less and more than 7 days)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53C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691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18 vs 11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6E3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(47.5 ± 24) vs (44.3 ± 17)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1BC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0.70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3D0F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(23 ± 24.2) vs (21.2 ± 22)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C4D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0.98</w:t>
            </w:r>
          </w:p>
        </w:tc>
      </w:tr>
      <w:tr w:rsidR="00301CBE" w:rsidRPr="00301CBE" w14:paraId="2A0B56C1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63BA3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A05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6E4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15 vs 9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DF9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(70.4 ± 22.2) vs (45.9 ± 31.5)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DF13" w14:textId="69BE68C4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GB" w:eastAsia="da-DK"/>
              </w:rPr>
            </w:pPr>
            <w:r w:rsidRPr="00C21B50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GB" w:eastAsia="da-DK"/>
              </w:rPr>
              <w:t>0.04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994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(17.6 ± 11.8) vs (18,5 ± 14.4)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ABCD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0.86</w:t>
            </w:r>
          </w:p>
        </w:tc>
      </w:tr>
      <w:tr w:rsidR="00301CBE" w:rsidRPr="00301CBE" w14:paraId="54418662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BEB14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244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77C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33 vs 20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EC0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(57.9 ± 25.6) vs (45 ± 23.9)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666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0.07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1FF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(20.5 ± 19,5) vs (20 ± 18.5)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F01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0.97</w:t>
            </w:r>
          </w:p>
        </w:tc>
      </w:tr>
      <w:tr w:rsidR="00301CBE" w:rsidRPr="00301CBE" w14:paraId="212C2706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4A3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Subjects currently smoking cigarettes (yes vs 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3B4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543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9 vs 23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1B93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(56.5 ± 22.8) vs (43.4 ± 20.4)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9C75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0.12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2E5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(20 ± 24.2) vs (22.3 ± 21.9)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809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0.87</w:t>
            </w:r>
          </w:p>
        </w:tc>
      </w:tr>
      <w:tr w:rsidR="00301CBE" w:rsidRPr="00301CBE" w14:paraId="31B81D5A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1DDD5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074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F80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12 vs 14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970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(61.3 ± 23) vs (62.4 ± 31.1)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1FD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0.92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351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(17.7 ± 11.9) vs (18.2 ± 12.6)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F08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0.93 </w:t>
            </w:r>
          </w:p>
        </w:tc>
      </w:tr>
      <w:tr w:rsidR="00301CBE" w:rsidRPr="00301CBE" w14:paraId="09554573" w14:textId="77777777" w:rsidTr="00376F0C">
        <w:trPr>
          <w:trHeight w:val="28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ACE26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7A7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3DF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21 vs 37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B20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(59.2 ± 22.5) vs (50.6 ± 26.3)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729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0.21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EAF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(18.7 ± 17.7) vs (20.7 ± 18.8)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C77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0.88</w:t>
            </w:r>
          </w:p>
        </w:tc>
      </w:tr>
      <w:tr w:rsidR="00301CBE" w:rsidRPr="00301CBE" w14:paraId="5ACF223B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141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Subjects consuming alcohol (yes vs 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4D0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59E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18 vs 14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0A9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(47.6 ± 16.6) vs (46.4 ± 27.3)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9B8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0.89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2F6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(23,7 ± 24.4) vs (19 ± 19.5)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C79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0.64</w:t>
            </w:r>
          </w:p>
        </w:tc>
      </w:tr>
      <w:tr w:rsidR="00301CBE" w:rsidRPr="00301CBE" w14:paraId="51EDE1B0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10F9E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069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127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20 vs 6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4FB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(62.8 ± 28.9) vs (59 ± 22.4)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784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0.79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F56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(18.3 ± 12.7) vs (17 ± 10.3)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8B0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0.88</w:t>
            </w:r>
          </w:p>
        </w:tc>
      </w:tr>
      <w:tr w:rsidR="00301CBE" w:rsidRPr="00301CBE" w14:paraId="47920A23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7FBB9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B96F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86E7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38 vs 20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32E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(55.6 ± 24.8) vs (50 ± 26)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5EA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0.44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8EC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(20.8 ± 19.1) vs (18.4 ± 17)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2FA9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0.66</w:t>
            </w:r>
          </w:p>
        </w:tc>
      </w:tr>
      <w:tr w:rsidR="00301CBE" w:rsidRPr="00301CBE" w14:paraId="53F61F9E" w14:textId="77777777" w:rsidTr="00376F0C">
        <w:trPr>
          <w:trHeight w:val="290"/>
        </w:trPr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ACD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CRP (less and more than 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B9E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A2A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19 vs 8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77B4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(51 ± 23.7) vs (45.5 ± 20.9)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F85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0.58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64DD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(20.4 ± 22.4) vs (18.5 ± 14)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8020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0.77</w:t>
            </w:r>
          </w:p>
        </w:tc>
      </w:tr>
      <w:tr w:rsidR="00301CBE" w:rsidRPr="00301CBE" w14:paraId="6E8897E7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7E1FE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8ED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7F1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 xml:space="preserve">6 vs 16 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271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(60.2 ± 18.8) vs (63.2 ± 28.2)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A578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0.75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D4D2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(17.9 ± 7.21) vs (16.5 ± 13.5)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493E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0.64</w:t>
            </w:r>
          </w:p>
        </w:tc>
      </w:tr>
      <w:tr w:rsidR="00301CBE" w:rsidRPr="00301CBE" w14:paraId="33C0592D" w14:textId="77777777" w:rsidTr="00376F0C">
        <w:trPr>
          <w:trHeight w:val="290"/>
        </w:trPr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86498" w14:textId="77777777" w:rsidR="00301CBE" w:rsidRPr="00301CBE" w:rsidRDefault="00301CBE" w:rsidP="00301CBE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CF71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130B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25 vs 24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638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(53.2 ± 22.6) vs (57.3 ± 27.9)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771A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0.56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15B6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(19.8 ± 19.7) vs (17.2 ± 13.4)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A4DC" w14:textId="77777777" w:rsidR="00301CBE" w:rsidRPr="00301CBE" w:rsidRDefault="00301CBE" w:rsidP="00301CBE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</w:pPr>
            <w:r w:rsidRPr="00301CBE">
              <w:rPr>
                <w:rFonts w:ascii="Times New Roman" w:eastAsia="Times New Roman" w:hAnsi="Times New Roman"/>
                <w:sz w:val="24"/>
                <w:szCs w:val="24"/>
                <w:lang w:val="en-GB" w:eastAsia="da-DK"/>
              </w:rPr>
              <w:t>0.83</w:t>
            </w:r>
          </w:p>
        </w:tc>
      </w:tr>
    </w:tbl>
    <w:p w14:paraId="7529D13C" w14:textId="77777777" w:rsidR="00301CBE" w:rsidRPr="00301CBE" w:rsidRDefault="00301CBE" w:rsidP="00301CBE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</w:p>
    <w:p w14:paraId="604CEC59" w14:textId="706773EF" w:rsidR="00301CBE" w:rsidRPr="00301CBE" w:rsidRDefault="00301CBE" w:rsidP="00301CBE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 w:rsidRPr="00301CBE">
        <w:rPr>
          <w:rFonts w:ascii="Times New Roman" w:hAnsi="Times New Roman"/>
          <w:sz w:val="24"/>
          <w:szCs w:val="24"/>
          <w:lang w:val="en-GB"/>
        </w:rPr>
        <w:t xml:space="preserve">Note - Osteoblastic differentiation outcome </w:t>
      </w:r>
      <w:proofErr w:type="gramStart"/>
      <w:r w:rsidRPr="00301CBE">
        <w:rPr>
          <w:rFonts w:ascii="Times New Roman" w:hAnsi="Times New Roman"/>
          <w:sz w:val="24"/>
          <w:szCs w:val="24"/>
          <w:lang w:val="en-GB"/>
        </w:rPr>
        <w:t xml:space="preserve">was assessed by formation of extracellular mineralised matrix by </w:t>
      </w:r>
      <w:proofErr w:type="spellStart"/>
      <w:r w:rsidRPr="00301CBE">
        <w:rPr>
          <w:rFonts w:ascii="Times New Roman" w:hAnsi="Times New Roman"/>
          <w:sz w:val="24"/>
          <w:szCs w:val="24"/>
          <w:lang w:val="en-GB"/>
        </w:rPr>
        <w:t>hBMSCs</w:t>
      </w:r>
      <w:proofErr w:type="spellEnd"/>
      <w:r w:rsidRPr="00301CBE">
        <w:rPr>
          <w:rFonts w:ascii="Times New Roman" w:hAnsi="Times New Roman"/>
          <w:sz w:val="24"/>
          <w:szCs w:val="24"/>
          <w:lang w:val="en-GB"/>
        </w:rPr>
        <w:t xml:space="preserve"> and quantified by intensity of alizarin red staining expressed in arbitrary units (AU)</w:t>
      </w:r>
      <w:proofErr w:type="gramEnd"/>
      <w:r w:rsidRPr="00301CBE">
        <w:rPr>
          <w:rFonts w:ascii="Times New Roman" w:hAnsi="Times New Roman"/>
          <w:sz w:val="24"/>
          <w:szCs w:val="24"/>
          <w:lang w:val="en-GB"/>
        </w:rPr>
        <w:t xml:space="preserve">. Adipocytic differentiation outcome </w:t>
      </w:r>
      <w:r>
        <w:rPr>
          <w:rFonts w:ascii="Times New Roman" w:hAnsi="Times New Roman"/>
          <w:sz w:val="24"/>
          <w:szCs w:val="24"/>
          <w:lang w:val="en-GB"/>
        </w:rPr>
        <w:t xml:space="preserve">was measured as potency of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hBM</w:t>
      </w:r>
      <w:r w:rsidRPr="00301CBE">
        <w:rPr>
          <w:rFonts w:ascii="Times New Roman" w:hAnsi="Times New Roman"/>
          <w:sz w:val="24"/>
          <w:szCs w:val="24"/>
          <w:lang w:val="en-GB"/>
        </w:rPr>
        <w:t>SCs</w:t>
      </w:r>
      <w:proofErr w:type="spellEnd"/>
      <w:r w:rsidRPr="00301CBE">
        <w:rPr>
          <w:rFonts w:ascii="Times New Roman" w:hAnsi="Times New Roman"/>
          <w:sz w:val="24"/>
          <w:szCs w:val="24"/>
          <w:lang w:val="en-GB"/>
        </w:rPr>
        <w:t xml:space="preserve"> to from adipocytes and quantified as area of lipid droplets (expressed in arbitrary units, AU) visualised by oil red o staining. The univariable analysis between groups were performed using Student-t test (for variables that were normally distributed) or Mann-Whitney test (for variables that did not follow normal distribution). The data are presented as mean values ± SD. </w:t>
      </w:r>
      <w:r w:rsidR="008338E4">
        <w:rPr>
          <w:rFonts w:ascii="Times New Roman" w:hAnsi="Times New Roman"/>
          <w:sz w:val="24"/>
          <w:szCs w:val="24"/>
          <w:lang w:val="en-GB"/>
        </w:rPr>
        <w:t>NA- non applicable</w:t>
      </w:r>
      <w:r w:rsidR="00887996">
        <w:rPr>
          <w:rFonts w:ascii="Times New Roman" w:hAnsi="Times New Roman"/>
          <w:sz w:val="24"/>
          <w:szCs w:val="24"/>
          <w:lang w:val="en-GB"/>
        </w:rPr>
        <w:t xml:space="preserve">, </w:t>
      </w:r>
      <w:r w:rsidR="00C21B50">
        <w:rPr>
          <w:rFonts w:ascii="Times New Roman" w:eastAsia="Times New Roman" w:hAnsi="Times New Roman"/>
          <w:sz w:val="24"/>
          <w:szCs w:val="24"/>
          <w:lang w:val="en-GB" w:eastAsia="da-DK"/>
        </w:rPr>
        <w:t>red</w:t>
      </w:r>
      <w:r w:rsidR="00C21B50" w:rsidRPr="00F326CA">
        <w:rPr>
          <w:rFonts w:ascii="Times New Roman" w:eastAsia="Times New Roman" w:hAnsi="Times New Roman"/>
          <w:sz w:val="24"/>
          <w:szCs w:val="24"/>
          <w:lang w:val="en-GB" w:eastAsia="da-DK"/>
        </w:rPr>
        <w:t>: p&lt;0.05</w:t>
      </w:r>
      <w:r w:rsidR="00C21B50">
        <w:rPr>
          <w:rFonts w:ascii="Times New Roman" w:eastAsia="Times New Roman" w:hAnsi="Times New Roman"/>
          <w:sz w:val="24"/>
          <w:szCs w:val="24"/>
          <w:lang w:val="en-GB" w:eastAsia="da-DK"/>
        </w:rPr>
        <w:t>, orange: p&lt;0.1</w:t>
      </w:r>
    </w:p>
    <w:p w14:paraId="0213EE6C" w14:textId="77777777" w:rsidR="00301CBE" w:rsidRPr="00203DAF" w:rsidRDefault="00301CBE" w:rsidP="00301CBE">
      <w:pPr>
        <w:rPr>
          <w:rFonts w:ascii="Times New Roman" w:hAnsi="Times New Roman"/>
          <w:sz w:val="32"/>
          <w:lang w:val="en-GB"/>
        </w:rPr>
      </w:pPr>
    </w:p>
    <w:p w14:paraId="51AE61C7" w14:textId="77777777" w:rsidR="00301CBE" w:rsidRPr="00203DAF" w:rsidRDefault="00301CBE" w:rsidP="00301CBE">
      <w:pPr>
        <w:rPr>
          <w:rFonts w:ascii="Times New Roman" w:hAnsi="Times New Roman"/>
          <w:sz w:val="32"/>
          <w:lang w:val="en-GB"/>
        </w:rPr>
      </w:pPr>
    </w:p>
    <w:p w14:paraId="29E9E025" w14:textId="77777777" w:rsidR="00EC1CA0" w:rsidRDefault="00EC1CA0"/>
    <w:sectPr w:rsidR="00EC1CA0" w:rsidSect="00301CBE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CBE"/>
    <w:rsid w:val="00293D90"/>
    <w:rsid w:val="002B236C"/>
    <w:rsid w:val="00301CBE"/>
    <w:rsid w:val="005D44F8"/>
    <w:rsid w:val="008316A4"/>
    <w:rsid w:val="008338E4"/>
    <w:rsid w:val="00887996"/>
    <w:rsid w:val="00C21B50"/>
    <w:rsid w:val="00EC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87FC"/>
  <w15:chartTrackingRefBased/>
  <w15:docId w15:val="{50F946D8-3366-43C3-AE58-E594E738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1CBE"/>
    <w:pPr>
      <w:spacing w:after="24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B5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1120</Words>
  <Characters>4302</Characters>
  <Application>Microsoft Office Word</Application>
  <DocSecurity>0</DocSecurity>
  <Lines>391</Lines>
  <Paragraphs>361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Kowal</dc:creator>
  <cp:keywords/>
  <dc:description/>
  <cp:lastModifiedBy>Justyna Magdalena Kowal</cp:lastModifiedBy>
  <cp:revision>2</cp:revision>
  <dcterms:created xsi:type="dcterms:W3CDTF">2021-03-26T17:06:00Z</dcterms:created>
  <dcterms:modified xsi:type="dcterms:W3CDTF">2021-03-26T17:06:00Z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