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6BDB5" w14:textId="2C7EE5B8" w:rsidR="00A92D77" w:rsidRPr="008138EF" w:rsidRDefault="008138EF" w:rsidP="006E163C">
      <w:pPr>
        <w:spacing w:line="480" w:lineRule="auto"/>
        <w:ind w:left="180" w:hanging="18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138EF">
        <w:rPr>
          <w:rFonts w:ascii="Times New Roman" w:hAnsi="Times New Roman" w:cs="Times New Roman"/>
          <w:b/>
          <w:bCs/>
          <w:sz w:val="24"/>
          <w:szCs w:val="24"/>
        </w:rPr>
        <w:t xml:space="preserve">Additional file 2. </w:t>
      </w:r>
      <w:r w:rsidR="00A92D77" w:rsidRPr="008138EF">
        <w:rPr>
          <w:rFonts w:ascii="Times New Roman" w:hAnsi="Times New Roman" w:cs="Times New Roman"/>
          <w:b/>
          <w:bCs/>
          <w:sz w:val="24"/>
          <w:szCs w:val="24"/>
        </w:rPr>
        <w:t>Exclusion criteria</w:t>
      </w:r>
    </w:p>
    <w:p w14:paraId="1071B1E4" w14:textId="310896E4" w:rsidR="00A92D77" w:rsidRPr="00A92D77" w:rsidRDefault="00A92D77" w:rsidP="006E163C">
      <w:pPr>
        <w:spacing w:line="48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Patients meeting any of the following </w:t>
      </w:r>
      <w:r w:rsidR="0008331B">
        <w:rPr>
          <w:rFonts w:ascii="Times New Roman" w:hAnsi="Times New Roman" w:cs="Times New Roman"/>
          <w:sz w:val="24"/>
          <w:szCs w:val="24"/>
        </w:rPr>
        <w:t>criteria were excluded from the study:</w:t>
      </w:r>
    </w:p>
    <w:p w14:paraId="3BD3474F" w14:textId="77777777" w:rsidR="006E163C" w:rsidRPr="006D178C" w:rsidRDefault="006E163C" w:rsidP="006E163C">
      <w:pPr>
        <w:pStyle w:val="ListParagraph"/>
        <w:numPr>
          <w:ilvl w:val="0"/>
          <w:numId w:val="1"/>
        </w:numPr>
        <w:spacing w:line="48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Current symptoms and/or signs related to the disease under study</w:t>
      </w:r>
    </w:p>
    <w:p w14:paraId="33638488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Fracture interline &gt;2.5 cm, as defined by the Independent Radiologist</w:t>
      </w:r>
    </w:p>
    <w:p w14:paraId="0BE01F4A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Insufficient reduction of the fracture (upon the Independent Radiologist or the Investigator’s judgement)</w:t>
      </w:r>
    </w:p>
    <w:p w14:paraId="301D111B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Insufficient fracture stability defined as osteolysis at the level of the nails/screws and/or defect and/or mobility of the osteosynthesis material at physical examination, as assessed by the investigator</w:t>
      </w:r>
    </w:p>
    <w:p w14:paraId="66260DA0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Osteosynthesis material revision or surgery (</w:t>
      </w:r>
      <w:proofErr w:type="spellStart"/>
      <w:r w:rsidRPr="006D1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D178C">
        <w:rPr>
          <w:rFonts w:ascii="Times New Roman" w:hAnsi="Times New Roman" w:cs="Times New Roman"/>
          <w:sz w:val="24"/>
          <w:szCs w:val="24"/>
        </w:rPr>
        <w:t>) performed less than 2 months from the screening visit at the fracture site or (ii) performed less than 4 weeks from the screening visit at distance of the fracture site.</w:t>
      </w:r>
    </w:p>
    <w:p w14:paraId="5CE5A4A4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Active bone infection (at site)</w:t>
      </w:r>
    </w:p>
    <w:p w14:paraId="70EA0888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Femoral neck fracture, if the femur is the target bone of the study</w:t>
      </w:r>
    </w:p>
    <w:p w14:paraId="5D564B41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Multifocal fracture (e.g., more than one fracture site on the studied bone)</w:t>
      </w:r>
    </w:p>
    <w:p w14:paraId="5291F493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Symptomatic delayed/non-union fracture on the neighbouring bone, as judged by the Investigator</w:t>
      </w:r>
    </w:p>
    <w:p w14:paraId="44607DD3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Severe nerve damage and/or neuropathic/neuropathic-like pain at fracture site, that may interfere with assessment during the study, as appreciated by the Investigator</w:t>
      </w:r>
    </w:p>
    <w:p w14:paraId="44C7DA00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Severe tendon lesion (e.g., rupture or enthesopathy) at fracture site, that may interfere with assessment during the study, as appreciated by the Investigator</w:t>
      </w:r>
    </w:p>
    <w:p w14:paraId="4202FD61" w14:textId="77777777" w:rsidR="006E163C" w:rsidRPr="006D178C" w:rsidRDefault="006E163C" w:rsidP="006E163C">
      <w:pPr>
        <w:pStyle w:val="ListParagraph"/>
        <w:numPr>
          <w:ilvl w:val="0"/>
          <w:numId w:val="1"/>
        </w:numPr>
        <w:spacing w:line="48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Current or previous diagnoses, signs and/or symptoms</w:t>
      </w:r>
    </w:p>
    <w:p w14:paraId="07BF41BE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lastRenderedPageBreak/>
        <w:t>- Positive serology for human immunodeficiency virus (defined as positive Anti-HIV 1 and/or 2 and/or positive Polymerase Chain Reaction)</w:t>
      </w:r>
    </w:p>
    <w:p w14:paraId="4F49BEC9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Active hepatitis B (defined as positive HBs Ag and/or positive PCR)</w:t>
      </w:r>
    </w:p>
    <w:p w14:paraId="5B28F7AA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Active hepatitis C (defined as positive Anti-HCV and/or positive PCR)</w:t>
      </w:r>
    </w:p>
    <w:p w14:paraId="4DB21C02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Global sepsis</w:t>
      </w:r>
    </w:p>
    <w:p w14:paraId="44E95E1B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 xml:space="preserve">- Renal impairment, defined as serum creatinine &gt; 2 mg/dl or 176 </w:t>
      </w:r>
      <w:proofErr w:type="spellStart"/>
      <w:r w:rsidRPr="006D178C">
        <w:rPr>
          <w:rFonts w:ascii="Times New Roman" w:hAnsi="Times New Roman" w:cs="Times New Roman"/>
          <w:sz w:val="24"/>
          <w:szCs w:val="24"/>
        </w:rPr>
        <w:t>μmol</w:t>
      </w:r>
      <w:proofErr w:type="spellEnd"/>
      <w:r w:rsidRPr="006D178C">
        <w:rPr>
          <w:rFonts w:ascii="Times New Roman" w:hAnsi="Times New Roman" w:cs="Times New Roman"/>
          <w:sz w:val="24"/>
          <w:szCs w:val="24"/>
        </w:rPr>
        <w:t>/l</w:t>
      </w:r>
    </w:p>
    <w:p w14:paraId="47CC026E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Hepatic impairment, defined as alanine aminotransferase or aspartate aminotransferase ≥3 times the upper normal limit</w:t>
      </w:r>
    </w:p>
    <w:p w14:paraId="788620E1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Poorly controlled diabetes mellitus (defined as haemoglobin A1c &gt;8%)</w:t>
      </w:r>
    </w:p>
    <w:p w14:paraId="4CA85FA8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Known allergy to gentamicin</w:t>
      </w:r>
    </w:p>
    <w:p w14:paraId="726A9D0D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History of hypersensitivity to human biological material including blood and blood derived products, documented clinically or by laboratory tests</w:t>
      </w:r>
    </w:p>
    <w:p w14:paraId="7F17E093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 xml:space="preserve">- Current or </w:t>
      </w:r>
      <w:proofErr w:type="gramStart"/>
      <w:r w:rsidRPr="006D178C">
        <w:rPr>
          <w:rFonts w:ascii="Times New Roman" w:hAnsi="Times New Roman" w:cs="Times New Roman"/>
          <w:sz w:val="24"/>
          <w:szCs w:val="24"/>
        </w:rPr>
        <w:t>past history</w:t>
      </w:r>
      <w:proofErr w:type="gramEnd"/>
      <w:r w:rsidRPr="006D178C">
        <w:rPr>
          <w:rFonts w:ascii="Times New Roman" w:hAnsi="Times New Roman" w:cs="Times New Roman"/>
          <w:sz w:val="24"/>
          <w:szCs w:val="24"/>
        </w:rPr>
        <w:t xml:space="preserve"> of solid or haematological neoplasia </w:t>
      </w:r>
    </w:p>
    <w:p w14:paraId="520F541F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History of organ or bone marrow transplantation</w:t>
      </w:r>
    </w:p>
    <w:p w14:paraId="311B18AE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  <w:lang w:val="fr-BE"/>
        </w:rPr>
      </w:pPr>
      <w:r w:rsidRPr="006D178C">
        <w:rPr>
          <w:rFonts w:ascii="Times New Roman" w:hAnsi="Times New Roman" w:cs="Times New Roman"/>
          <w:sz w:val="24"/>
          <w:szCs w:val="24"/>
          <w:lang w:val="fr-BE"/>
        </w:rPr>
        <w:t xml:space="preserve">- Active auto-immune </w:t>
      </w:r>
      <w:proofErr w:type="spellStart"/>
      <w:r w:rsidRPr="006D178C">
        <w:rPr>
          <w:rFonts w:ascii="Times New Roman" w:hAnsi="Times New Roman" w:cs="Times New Roman"/>
          <w:sz w:val="24"/>
          <w:szCs w:val="24"/>
          <w:lang w:val="fr-BE"/>
        </w:rPr>
        <w:t>disease</w:t>
      </w:r>
      <w:proofErr w:type="spellEnd"/>
      <w:r w:rsidRPr="006D178C">
        <w:rPr>
          <w:rFonts w:ascii="Times New Roman" w:hAnsi="Times New Roman" w:cs="Times New Roman"/>
          <w:sz w:val="24"/>
          <w:szCs w:val="24"/>
          <w:lang w:val="fr-BE"/>
        </w:rPr>
        <w:t xml:space="preserve"> (e.g., </w:t>
      </w:r>
      <w:proofErr w:type="spellStart"/>
      <w:r w:rsidRPr="006D178C">
        <w:rPr>
          <w:rFonts w:ascii="Times New Roman" w:hAnsi="Times New Roman" w:cs="Times New Roman"/>
          <w:sz w:val="24"/>
          <w:szCs w:val="24"/>
          <w:lang w:val="fr-BE"/>
        </w:rPr>
        <w:t>sclerodermia</w:t>
      </w:r>
      <w:proofErr w:type="spellEnd"/>
      <w:r w:rsidRPr="006D178C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proofErr w:type="spellStart"/>
      <w:r w:rsidRPr="006D178C">
        <w:rPr>
          <w:rFonts w:ascii="Times New Roman" w:hAnsi="Times New Roman" w:cs="Times New Roman"/>
          <w:sz w:val="24"/>
          <w:szCs w:val="24"/>
          <w:lang w:val="fr-BE"/>
        </w:rPr>
        <w:t>Sjögren</w:t>
      </w:r>
      <w:proofErr w:type="spellEnd"/>
      <w:r w:rsidRPr="006D178C">
        <w:rPr>
          <w:rFonts w:ascii="Times New Roman" w:hAnsi="Times New Roman" w:cs="Times New Roman"/>
          <w:sz w:val="24"/>
          <w:szCs w:val="24"/>
          <w:lang w:val="fr-BE"/>
        </w:rPr>
        <w:t xml:space="preserve"> syndrome, lupus)</w:t>
      </w:r>
    </w:p>
    <w:p w14:paraId="778EA8DE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Any concomitant disease that could interfere with the evaluation of efficacy, as judged by the Investigator, including but not limited to local or metabolic bone diseases</w:t>
      </w:r>
    </w:p>
    <w:p w14:paraId="36F14ECD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Life expectancy less than 6 months</w:t>
      </w:r>
    </w:p>
    <w:p w14:paraId="6268D594" w14:textId="77777777" w:rsidR="006E163C" w:rsidRPr="006D178C" w:rsidRDefault="006E163C" w:rsidP="006E163C">
      <w:pPr>
        <w:pStyle w:val="ListParagraph"/>
        <w:numPr>
          <w:ilvl w:val="0"/>
          <w:numId w:val="1"/>
        </w:numPr>
        <w:spacing w:line="48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Current or previous treatment</w:t>
      </w:r>
    </w:p>
    <w:p w14:paraId="6AD67710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Patients who have previously been treated with ALLOB®</w:t>
      </w:r>
    </w:p>
    <w:p w14:paraId="40A29B05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Participation in another clinical study involving a pharmacological treatment within 3 months prior to screening</w:t>
      </w:r>
    </w:p>
    <w:p w14:paraId="3921F28C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lastRenderedPageBreak/>
        <w:t xml:space="preserve">- Current (or within 1 month of screening) treatment with calcitonin, </w:t>
      </w:r>
      <w:proofErr w:type="spellStart"/>
      <w:r w:rsidRPr="006D178C">
        <w:rPr>
          <w:rFonts w:ascii="Times New Roman" w:hAnsi="Times New Roman" w:cs="Times New Roman"/>
          <w:sz w:val="24"/>
          <w:szCs w:val="24"/>
        </w:rPr>
        <w:t>raloxifen</w:t>
      </w:r>
      <w:proofErr w:type="spellEnd"/>
      <w:r w:rsidRPr="006D178C">
        <w:rPr>
          <w:rFonts w:ascii="Times New Roman" w:hAnsi="Times New Roman" w:cs="Times New Roman"/>
          <w:sz w:val="24"/>
          <w:szCs w:val="24"/>
        </w:rPr>
        <w:t xml:space="preserve">, teriparatide, and/or strontium </w:t>
      </w:r>
      <w:proofErr w:type="spellStart"/>
      <w:r w:rsidRPr="006D178C">
        <w:rPr>
          <w:rFonts w:ascii="Times New Roman" w:hAnsi="Times New Roman" w:cs="Times New Roman"/>
          <w:sz w:val="24"/>
          <w:szCs w:val="24"/>
        </w:rPr>
        <w:t>ralenate</w:t>
      </w:r>
      <w:proofErr w:type="spellEnd"/>
    </w:p>
    <w:p w14:paraId="6662B5A1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Current (or within 6 months of screening) illicit drug abuse (as per local law)</w:t>
      </w:r>
    </w:p>
    <w:p w14:paraId="73DEDA58" w14:textId="77777777" w:rsidR="006E163C" w:rsidRPr="006D178C" w:rsidRDefault="006E163C" w:rsidP="006E163C">
      <w:pPr>
        <w:pStyle w:val="ListParagraph"/>
        <w:numPr>
          <w:ilvl w:val="0"/>
          <w:numId w:val="1"/>
        </w:numPr>
        <w:spacing w:line="48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Safety aspects concerning female subjects of childbearing potential</w:t>
      </w:r>
    </w:p>
    <w:p w14:paraId="476B61A5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Pregnancy</w:t>
      </w:r>
    </w:p>
    <w:p w14:paraId="7D8DE48F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Breast-feeding</w:t>
      </w:r>
    </w:p>
    <w:p w14:paraId="47863830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Woman not willing or able to use a reliable contraceptive method for at least 6 weeks prior to screening and during the whole study period. Reliable contraceptive methods include orally administered hormonal contraceptives, surgical intervention (e.g., tubal ligation), and intrauterine device</w:t>
      </w:r>
    </w:p>
    <w:p w14:paraId="03265532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Woman with positive urine pregnancy tests at Visits #1 and/or #2</w:t>
      </w:r>
    </w:p>
    <w:p w14:paraId="709F04C7" w14:textId="77777777" w:rsidR="006E163C" w:rsidRPr="006D178C" w:rsidRDefault="006E163C" w:rsidP="006E163C">
      <w:pPr>
        <w:pStyle w:val="ListParagraph"/>
        <w:numPr>
          <w:ilvl w:val="0"/>
          <w:numId w:val="1"/>
        </w:numPr>
        <w:spacing w:line="48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Other exclusion criteria</w:t>
      </w:r>
    </w:p>
    <w:p w14:paraId="1F87272E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Body Mass Index of 35 kg/m</w:t>
      </w:r>
      <w:r w:rsidRPr="006D17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D178C">
        <w:rPr>
          <w:rFonts w:ascii="Times New Roman" w:hAnsi="Times New Roman" w:cs="Times New Roman"/>
          <w:sz w:val="24"/>
          <w:szCs w:val="24"/>
        </w:rPr>
        <w:t xml:space="preserve"> or greater</w:t>
      </w:r>
    </w:p>
    <w:p w14:paraId="1EF6D4DF" w14:textId="77777777" w:rsidR="006E163C" w:rsidRPr="006D178C" w:rsidRDefault="006E163C" w:rsidP="006E163C">
      <w:pPr>
        <w:spacing w:line="480" w:lineRule="auto"/>
        <w:ind w:left="630" w:hanging="180"/>
        <w:rPr>
          <w:rFonts w:ascii="Times New Roman" w:hAnsi="Times New Roman" w:cs="Times New Roman"/>
          <w:sz w:val="24"/>
          <w:szCs w:val="24"/>
        </w:rPr>
      </w:pPr>
      <w:r w:rsidRPr="006D178C">
        <w:rPr>
          <w:rFonts w:ascii="Times New Roman" w:hAnsi="Times New Roman" w:cs="Times New Roman"/>
          <w:sz w:val="24"/>
          <w:szCs w:val="24"/>
        </w:rPr>
        <w:t>- Unable to undergo general anaesthesia or a surgical intervention</w:t>
      </w:r>
    </w:p>
    <w:p w14:paraId="3BA87AEE" w14:textId="64667B77" w:rsidR="00523DC8" w:rsidRDefault="00523DC8" w:rsidP="006E163C">
      <w:pPr>
        <w:spacing w:after="200" w:line="276" w:lineRule="auto"/>
      </w:pPr>
    </w:p>
    <w:sectPr w:rsidR="00523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36B33"/>
    <w:multiLevelType w:val="hybridMultilevel"/>
    <w:tmpl w:val="C0806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3C"/>
    <w:rsid w:val="0008331B"/>
    <w:rsid w:val="00523DC8"/>
    <w:rsid w:val="006E163C"/>
    <w:rsid w:val="008138EF"/>
    <w:rsid w:val="00A92D77"/>
    <w:rsid w:val="00CE634F"/>
    <w:rsid w:val="00F5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51A0"/>
  <w15:chartTrackingRefBased/>
  <w15:docId w15:val="{99EE5A48-41EB-43A9-AB59-2B11C4A7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63C"/>
    <w:pPr>
      <w:spacing w:after="0" w:line="360" w:lineRule="auto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63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4807F35644D499125726735AA366E" ma:contentTypeVersion="" ma:contentTypeDescription="Create a new document." ma:contentTypeScope="" ma:versionID="8f55288985442fb67c5485278fff48e3">
  <xsd:schema xmlns:xsd="http://www.w3.org/2001/XMLSchema" xmlns:xs="http://www.w3.org/2001/XMLSchema" xmlns:p="http://schemas.microsoft.com/office/2006/metadata/properties" xmlns:ns2="eedddf5f-d86f-4984-a171-239f70cfe6ce" xmlns:ns3="7e6a9e51-c76b-435b-954b-070e8a026dcb" xmlns:ns4="da1d2c2b-83e1-4f7b-bbe6-55b3efd2d675" targetNamespace="http://schemas.microsoft.com/office/2006/metadata/properties" ma:root="true" ma:fieldsID="c0db77dda62c24d24f485126c74558f2" ns2:_="" ns3:_="" ns4:_="">
    <xsd:import namespace="eedddf5f-d86f-4984-a171-239f70cfe6ce"/>
    <xsd:import namespace="7e6a9e51-c76b-435b-954b-070e8a026dcb"/>
    <xsd:import namespace="da1d2c2b-83e1-4f7b-bbe6-55b3efd2d6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ddf5f-d86f-4984-a171-239f70cfe6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a9e51-c76b-435b-954b-070e8a026dc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d2c2b-83e1-4f7b-bbe6-55b3efd2d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1316BE-9436-4E57-8F9B-3EAAE0DA80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B6CC2A-89A3-4CEE-876A-E03F7A5D0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ddf5f-d86f-4984-a171-239f70cfe6ce"/>
    <ds:schemaRef ds:uri="7e6a9e51-c76b-435b-954b-070e8a026dcb"/>
    <ds:schemaRef ds:uri="da1d2c2b-83e1-4f7b-bbe6-55b3efd2d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F0EEAA-80D0-4BD0-B2B8-9E67A69C66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Berdt Pauline</dc:creator>
  <cp:keywords/>
  <dc:description/>
  <cp:lastModifiedBy>De Berdt Pauline</cp:lastModifiedBy>
  <cp:revision>2</cp:revision>
  <dcterms:created xsi:type="dcterms:W3CDTF">2020-12-30T10:47:00Z</dcterms:created>
  <dcterms:modified xsi:type="dcterms:W3CDTF">2020-12-30T10:47:00Z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0x010100DA44807F35644D499125726735AA366E</vt:lpwstr>
  </property>
</Properties>
</file>