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503" w:rsidRDefault="00392503" w:rsidP="00392503">
      <w:pPr>
        <w:spacing w:line="480" w:lineRule="auto"/>
        <w:contextualSpacing/>
        <w:rPr>
          <w:rFonts w:ascii="Arial" w:hAnsi="Arial" w:cs="Arial"/>
          <w:shd w:val="clear" w:color="auto" w:fill="FFFFFF"/>
          <w:lang w:val="en-GB"/>
        </w:rPr>
      </w:pPr>
      <w:r w:rsidRPr="000A5957">
        <w:rPr>
          <w:rFonts w:ascii="Arial" w:hAnsi="Arial" w:cs="Arial"/>
          <w:shd w:val="clear" w:color="auto" w:fill="FFFFFF"/>
          <w:lang w:val="en-GB"/>
        </w:rPr>
        <w:t>Supplementary Material and Method</w:t>
      </w:r>
    </w:p>
    <w:p w:rsidR="00392503" w:rsidRPr="000A5957" w:rsidRDefault="00392503" w:rsidP="00392503">
      <w:pPr>
        <w:spacing w:line="480" w:lineRule="auto"/>
        <w:contextualSpacing/>
        <w:rPr>
          <w:rFonts w:ascii="Arial" w:hAnsi="Arial" w:cs="Arial"/>
          <w:shd w:val="clear" w:color="auto" w:fill="FFFFFF"/>
          <w:lang w:val="en-GB"/>
        </w:rPr>
      </w:pPr>
    </w:p>
    <w:p w:rsidR="00392503" w:rsidRPr="000A5957" w:rsidRDefault="00392503" w:rsidP="00392503">
      <w:pPr>
        <w:spacing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  <w:r w:rsidRPr="000A5957">
        <w:rPr>
          <w:rFonts w:ascii="Arial" w:hAnsi="Arial" w:cs="Arial"/>
          <w:shd w:val="clear" w:color="auto" w:fill="FFFFFF"/>
          <w:lang w:val="en-GB"/>
        </w:rPr>
        <w:t>M1</w:t>
      </w:r>
      <w:r>
        <w:rPr>
          <w:rFonts w:ascii="Arial" w:hAnsi="Arial" w:cs="Arial"/>
          <w:shd w:val="clear" w:color="auto" w:fill="FFFFFF"/>
          <w:lang w:val="en-GB"/>
        </w:rPr>
        <w:t xml:space="preserve">) MF-AT </w:t>
      </w:r>
      <w:proofErr w:type="spellStart"/>
      <w:r>
        <w:rPr>
          <w:rFonts w:ascii="Arial" w:hAnsi="Arial" w:cs="Arial"/>
          <w:shd w:val="clear" w:color="auto" w:fill="FFFFFF"/>
          <w:lang w:val="en-GB"/>
        </w:rPr>
        <w:t>Lipogems</w:t>
      </w:r>
      <w:proofErr w:type="spellEnd"/>
      <w:r>
        <w:rPr>
          <w:rFonts w:ascii="Arial" w:hAnsi="Arial" w:cs="Arial"/>
          <w:shd w:val="clear" w:color="auto" w:fill="FFFFFF"/>
          <w:lang w:val="en-GB"/>
        </w:rPr>
        <w:t xml:space="preserve"> Derived MSC Isolation</w:t>
      </w:r>
      <w:r w:rsidRPr="000A5957">
        <w:rPr>
          <w:rFonts w:ascii="Arial" w:hAnsi="Arial" w:cs="Arial"/>
          <w:shd w:val="clear" w:color="auto" w:fill="FFFFFF"/>
          <w:lang w:val="en-GB"/>
        </w:rPr>
        <w:t xml:space="preserve">. MF-AT was suspended in culture media composed by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aMEM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supplemented with 2,5% of platelet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lisate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, 1% L-Glutamine, 0,2%Heparin and 1% P/S (X% v/v) and incubated at 37°C, 5%CO2, in MW6 (Greiner). Adherent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fibroblastoid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cells were detached using trypsin 0,01%/EDTA0,002%, seeded at 6000/cm2 and amplifying for 2 passages. Then, MF-AT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Lipogems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derived MSC were seeded at 6000/cm2 in T25 flask as well as in MW96 and promptly incubated with culture media or synovial fluid for 24 h and 5 days for BRDU and In-Cell Western assays.</w:t>
      </w:r>
    </w:p>
    <w:p w:rsidR="00392503" w:rsidRPr="000A5957" w:rsidRDefault="00392503" w:rsidP="00392503">
      <w:pPr>
        <w:spacing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</w:p>
    <w:p w:rsidR="00392503" w:rsidRDefault="00392503" w:rsidP="00392503">
      <w:pPr>
        <w:spacing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  <w:r w:rsidRPr="000A5957">
        <w:rPr>
          <w:rFonts w:ascii="Arial" w:hAnsi="Arial" w:cs="Arial"/>
          <w:shd w:val="clear" w:color="auto" w:fill="FFFFFF"/>
          <w:lang w:val="en-GB"/>
        </w:rPr>
        <w:t>M2</w:t>
      </w:r>
      <w:r>
        <w:rPr>
          <w:rFonts w:ascii="Arial" w:hAnsi="Arial" w:cs="Arial"/>
          <w:shd w:val="clear" w:color="auto" w:fill="FFFFFF"/>
          <w:lang w:val="en-GB"/>
        </w:rPr>
        <w:t>)</w:t>
      </w:r>
      <w:bookmarkStart w:id="0" w:name="_GoBack"/>
      <w:bookmarkEnd w:id="0"/>
      <w:r w:rsidRPr="000A5957">
        <w:rPr>
          <w:rFonts w:ascii="Arial" w:hAnsi="Arial" w:cs="Arial"/>
          <w:shd w:val="clear" w:color="auto" w:fill="FFFFFF"/>
          <w:lang w:val="en-GB"/>
        </w:rPr>
        <w:t xml:space="preserve"> </w:t>
      </w:r>
      <w:proofErr w:type="spellStart"/>
      <w:r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>
        <w:rPr>
          <w:rFonts w:ascii="Arial" w:hAnsi="Arial" w:cs="Arial"/>
          <w:shd w:val="clear" w:color="auto" w:fill="FFFFFF"/>
          <w:lang w:val="en-GB"/>
        </w:rPr>
        <w:t xml:space="preserve"> staining.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Flow Kit (BD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Pharmingen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) was used for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staining, in order to assess the role of SF on cell proliferation. Staining was performed according to manufacturer instruction. 10 µL of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solution (1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mM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in 1X DPBS) was added to each mL of tissue culture medium and cells were incubated overnight at 37°C/5%CO2. The day after, cells were detached, fixed and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permeabilized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with 100 µL of BD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Cytofix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/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Cytoperm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Buffer per tube for 20 minutes on ice. 1 mL of 1X BD Perm/Wash Buffer was added and cells were centrifuged for 5 minutes at 300g. Supernatant was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discared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and cells were incubated with BD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Cytoperm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Permeabilization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Buffer (100 µL per tube) for 10 minutes on ice. Cells were washed with1 mL of 1X BD Perm/Wash Buffer and centrifuged.  After supernatant removal, cells were re-fixed with BD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Cytofix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/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Cytoperm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Buffer (100 µL per tube) for 5 minutes on ice. After wash, cells were treated with DNase (diluted to 300 µg/mL in DPBS, 100 µL per tube) for 1 hour at 37°C. Cells were washed with 1 mL of 1X BD Perm/Wash Buffer and stained with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fluorescent anti-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BrdU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antibody (50 µL, 1:50) for 20 minutes at room temperature. After wash, cells were incubated in 20 µL of the 7-AAD solution and </w:t>
      </w:r>
      <w:proofErr w:type="spellStart"/>
      <w:r w:rsidRPr="000A5957">
        <w:rPr>
          <w:rFonts w:ascii="Arial" w:hAnsi="Arial" w:cs="Arial"/>
          <w:shd w:val="clear" w:color="auto" w:fill="FFFFFF"/>
          <w:lang w:val="en-GB"/>
        </w:rPr>
        <w:t>resuspended</w:t>
      </w:r>
      <w:proofErr w:type="spellEnd"/>
      <w:r w:rsidRPr="000A5957">
        <w:rPr>
          <w:rFonts w:ascii="Arial" w:hAnsi="Arial" w:cs="Arial"/>
          <w:shd w:val="clear" w:color="auto" w:fill="FFFFFF"/>
          <w:lang w:val="en-GB"/>
        </w:rPr>
        <w:t xml:space="preserve"> in 1 mL of staining buffer. The analysis was performed after 1 and 5 days of SF stimulation. Analyses were performed with FACS Aria-III (Becton Dickinson, Franklin Lakes, NJ, USA). Collected data were elaborated by FACS Diva software (Becton Dickinson).</w:t>
      </w:r>
    </w:p>
    <w:p w:rsidR="00392503" w:rsidRPr="000A5957" w:rsidRDefault="00392503" w:rsidP="00392503">
      <w:pPr>
        <w:spacing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</w:p>
    <w:p w:rsidR="00392503" w:rsidRPr="000A5957" w:rsidRDefault="00392503" w:rsidP="00392503">
      <w:pPr>
        <w:spacing w:line="480" w:lineRule="auto"/>
        <w:contextualSpacing/>
        <w:jc w:val="both"/>
        <w:rPr>
          <w:rFonts w:ascii="Arial" w:hAnsi="Arial" w:cs="Arial"/>
          <w:shd w:val="clear" w:color="auto" w:fill="FFFFFF"/>
          <w:lang w:val="en-GB"/>
        </w:rPr>
      </w:pP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lastRenderedPageBreak/>
        <w:t>M3</w:t>
      </w:r>
      <w:r>
        <w:rPr>
          <w:rFonts w:ascii="Arial" w:hAnsi="Arial" w:cs="Arial"/>
          <w:color w:val="1C1D1E"/>
          <w:shd w:val="clear" w:color="auto" w:fill="FFFFFF"/>
          <w:lang w:val="en-GB"/>
        </w:rPr>
        <w:t>) In-Cell Western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. Cells were plated in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 triplicate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 xml:space="preserve"> and stimulated with SF for 24 hours and 5 days. HOXB7 and </w:t>
      </w:r>
      <w:proofErr w:type="spellStart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bFGF</w:t>
      </w:r>
      <w:proofErr w:type="spellEnd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 xml:space="preserve"> presence were assayed by anti-HOXB7 primary antibody (D01P, </w:t>
      </w:r>
      <w:proofErr w:type="spellStart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Abnova</w:t>
      </w:r>
      <w:proofErr w:type="spellEnd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 xml:space="preserve">) and </w:t>
      </w:r>
      <w:proofErr w:type="spellStart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bFGF</w:t>
      </w:r>
      <w:proofErr w:type="spellEnd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 xml:space="preserve"> (</w:t>
      </w:r>
      <w:proofErr w:type="spellStart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Abcam</w:t>
      </w:r>
      <w:proofErr w:type="spellEnd"/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, ab246354) followed by a secondary antibody conjugated to an infrared dye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 (IR dye 800 conjugated anti-rabbit IgG; LI-COR Biosciences, Lincoln, NE)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. Secondary antibody</w:t>
      </w:r>
      <w:r>
        <w:rPr>
          <w:rFonts w:ascii="Arial" w:hAnsi="Arial" w:cs="Arial"/>
          <w:color w:val="1C1D1E"/>
          <w:shd w:val="clear" w:color="auto" w:fill="FFFFFF"/>
          <w:lang w:val="en-GB"/>
        </w:rPr>
        <w:t xml:space="preserve"> and Cell Tag™ 700 Stain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 normalizer (LI</w:t>
      </w:r>
      <w:r w:rsidRPr="000A5957">
        <w:rPr>
          <w:rFonts w:ascii="Cambria Math" w:hAnsi="Cambria Math" w:cs="Cambria Math"/>
          <w:color w:val="1C1D1E"/>
          <w:shd w:val="clear" w:color="auto" w:fill="FFFFFF"/>
          <w:lang w:val="en-GB"/>
        </w:rPr>
        <w:t>‐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COR Biosciences) were carried out simultaneously. Plates were scanned by Odyssey Infrared Imaging System (LI</w:t>
      </w:r>
      <w:r w:rsidRPr="000A5957">
        <w:rPr>
          <w:rFonts w:ascii="Cambria Math" w:hAnsi="Cambria Math" w:cs="Cambria Math"/>
          <w:color w:val="1C1D1E"/>
          <w:shd w:val="clear" w:color="auto" w:fill="FFFFFF"/>
          <w:lang w:val="en-GB"/>
        </w:rPr>
        <w:t>‐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COR Biosciences) in the 800</w:t>
      </w:r>
      <w:r w:rsidRPr="000A5957">
        <w:rPr>
          <w:rFonts w:ascii="Cambria Math" w:hAnsi="Cambria Math" w:cs="Cambria Math"/>
          <w:color w:val="1C1D1E"/>
          <w:shd w:val="clear" w:color="auto" w:fill="FFFFFF"/>
          <w:lang w:val="en-GB"/>
        </w:rPr>
        <w:t>‐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nm and 700</w:t>
      </w:r>
      <w:r w:rsidRPr="000A5957">
        <w:rPr>
          <w:rFonts w:ascii="Cambria Math" w:hAnsi="Cambria Math" w:cs="Cambria Math"/>
          <w:color w:val="1C1D1E"/>
          <w:shd w:val="clear" w:color="auto" w:fill="FFFFFF"/>
          <w:lang w:val="en-GB"/>
        </w:rPr>
        <w:t>‐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nm channels. Signal was quantified using Odyssey Infrared Imaging System Application Software (LI</w:t>
      </w:r>
      <w:r w:rsidRPr="000A5957">
        <w:rPr>
          <w:rFonts w:ascii="Cambria Math" w:hAnsi="Cambria Math" w:cs="Cambria Math"/>
          <w:color w:val="1C1D1E"/>
          <w:shd w:val="clear" w:color="auto" w:fill="FFFFFF"/>
          <w:lang w:val="en-GB"/>
        </w:rPr>
        <w:t>‐</w:t>
      </w:r>
      <w:r w:rsidRPr="000A5957">
        <w:rPr>
          <w:rFonts w:ascii="Arial" w:hAnsi="Arial" w:cs="Arial"/>
          <w:color w:val="1C1D1E"/>
          <w:shd w:val="clear" w:color="auto" w:fill="FFFFFF"/>
          <w:lang w:val="en-GB"/>
        </w:rPr>
        <w:t>COR Biosciences).</w:t>
      </w:r>
    </w:p>
    <w:p w:rsidR="00AD3B80" w:rsidRDefault="00AD3B80"/>
    <w:sectPr w:rsidR="00AD3B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03"/>
    <w:rsid w:val="00392503"/>
    <w:rsid w:val="00AD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4830"/>
  <w15:chartTrackingRefBased/>
  <w15:docId w15:val="{BC82E69D-CB18-4918-B702-6B006AA9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25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2021-04-27T10:29:00Z</dcterms:created>
  <dcterms:modified xsi:type="dcterms:W3CDTF">2021-04-27T10:30:00Z</dcterms:modified>
</cp:coreProperties>
</file>