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892C6" w14:textId="77777777" w:rsidR="00355334" w:rsidRDefault="00355334" w:rsidP="00355334">
      <w:pPr>
        <w:spacing w:line="480" w:lineRule="auto"/>
        <w:rPr>
          <w:rFonts w:asciiTheme="majorBidi" w:hAnsiTheme="majorBidi" w:cstheme="majorBidi"/>
          <w:b/>
          <w:bCs/>
          <w:sz w:val="28"/>
          <w:szCs w:val="28"/>
        </w:rPr>
      </w:pPr>
      <w:r w:rsidRPr="002E710A">
        <w:rPr>
          <w:rFonts w:asciiTheme="majorBidi" w:hAnsiTheme="majorBidi" w:cstheme="majorBidi"/>
          <w:b/>
          <w:bCs/>
          <w:sz w:val="28"/>
          <w:szCs w:val="28"/>
        </w:rPr>
        <w:t>Additional Files</w:t>
      </w:r>
    </w:p>
    <w:p w14:paraId="39A3B17D" w14:textId="085AD28C" w:rsidR="00355334" w:rsidRPr="008A6C76" w:rsidRDefault="00355334" w:rsidP="00355334">
      <w:pPr>
        <w:spacing w:line="480" w:lineRule="auto"/>
        <w:rPr>
          <w:rFonts w:ascii="Times New Roman" w:hAnsi="Times New Roman" w:cs="Times New Roman"/>
          <w:bCs/>
          <w:sz w:val="24"/>
        </w:rPr>
      </w:pPr>
      <w:r w:rsidRPr="008A6C76">
        <w:rPr>
          <w:rFonts w:ascii="Times New Roman" w:hAnsi="Times New Roman" w:cs="Times New Roman"/>
          <w:b/>
          <w:bCs/>
          <w:spacing w:val="-4"/>
          <w:sz w:val="24"/>
        </w:rPr>
        <w:t xml:space="preserve">Additional file 1: </w:t>
      </w:r>
      <w:r w:rsidRPr="008A6C76">
        <w:rPr>
          <w:rFonts w:ascii="Times New Roman" w:hAnsi="Times New Roman" w:cs="Times New Roman"/>
          <w:b/>
          <w:sz w:val="24"/>
        </w:rPr>
        <w:t xml:space="preserve">Fig. S1 </w:t>
      </w:r>
      <w:r w:rsidRPr="008A6C76">
        <w:rPr>
          <w:rFonts w:ascii="Times New Roman" w:hAnsi="Times New Roman" w:cs="Times New Roman"/>
          <w:bCs/>
          <w:sz w:val="24"/>
        </w:rPr>
        <w:t>Forest plot of PTA at different time points with the combination therapy compared with traditional therapy. Compared with the traditional therapy group, PTA in the combination therapy group was significantly higher at 12, 24, 36, and 48 weeks (P&lt;0.05). No significant heterogeneity was observed, and a fixed-effects model was used for statistical analysis. In the plane rectangular coordinate system, the forest plot takes a vertical invalid line (scale of abscissa is 0) as the center, describes the effect quantity and 95% CI of each study by using multiple line segments parallel to the horizontal axis, and describes the effect quantity and confidence interval of multiple studies by using a diamond. PTA, prothrombin time activity; CI, confidence interval; WMD, weighted mean difference.</w:t>
      </w:r>
    </w:p>
    <w:p w14:paraId="57DCD01E" w14:textId="77777777" w:rsidR="00355334" w:rsidRPr="008A6C76" w:rsidRDefault="00355334" w:rsidP="00355334">
      <w:pPr>
        <w:spacing w:line="480" w:lineRule="auto"/>
        <w:rPr>
          <w:rFonts w:ascii="Times New Roman" w:hAnsi="Times New Roman" w:cs="Times New Roman"/>
          <w:bCs/>
          <w:sz w:val="24"/>
        </w:rPr>
      </w:pPr>
      <w:bookmarkStart w:id="0" w:name="OLE_LINK191"/>
      <w:bookmarkStart w:id="1" w:name="OLE_LINK190"/>
      <w:r w:rsidRPr="008A6C76">
        <w:rPr>
          <w:rFonts w:ascii="Times New Roman" w:hAnsi="Times New Roman" w:cs="Times New Roman"/>
          <w:b/>
          <w:bCs/>
          <w:spacing w:val="-4"/>
          <w:sz w:val="24"/>
        </w:rPr>
        <w:t xml:space="preserve">Additional file 2: </w:t>
      </w:r>
      <w:r w:rsidRPr="008A6C76">
        <w:rPr>
          <w:rFonts w:ascii="Times New Roman" w:hAnsi="Times New Roman" w:cs="Times New Roman"/>
          <w:b/>
          <w:sz w:val="24"/>
        </w:rPr>
        <w:t>Fig. S2</w:t>
      </w:r>
      <w:bookmarkEnd w:id="0"/>
      <w:bookmarkEnd w:id="1"/>
      <w:r w:rsidRPr="008A6C76">
        <w:rPr>
          <w:rFonts w:ascii="Times New Roman" w:hAnsi="Times New Roman" w:cs="Times New Roman"/>
          <w:b/>
          <w:sz w:val="24"/>
        </w:rPr>
        <w:t xml:space="preserve"> </w:t>
      </w:r>
      <w:r w:rsidRPr="008A6C76">
        <w:rPr>
          <w:rFonts w:ascii="Times New Roman" w:hAnsi="Times New Roman" w:cs="Times New Roman"/>
          <w:bCs/>
          <w:sz w:val="24"/>
        </w:rPr>
        <w:t xml:space="preserve">Forest plot of PT at different time points with the combination therapy compared with traditional therapy. Compared with the traditional therapy group, PT in the combination therapy group was </w:t>
      </w:r>
      <w:proofErr w:type="spellStart"/>
      <w:r w:rsidRPr="008A6C76">
        <w:rPr>
          <w:rFonts w:ascii="Times New Roman" w:hAnsi="Times New Roman" w:cs="Times New Roman"/>
          <w:bCs/>
          <w:sz w:val="24"/>
        </w:rPr>
        <w:t>nonsignificantly</w:t>
      </w:r>
      <w:proofErr w:type="spellEnd"/>
      <w:r w:rsidRPr="008A6C76">
        <w:rPr>
          <w:rFonts w:ascii="Times New Roman" w:hAnsi="Times New Roman" w:cs="Times New Roman"/>
          <w:bCs/>
          <w:sz w:val="24"/>
        </w:rPr>
        <w:t xml:space="preserve"> lower at 1 week (P&gt;0.05), significantly lower at 2, 4, 12, 24, and 48 weeks (P&lt;0.05). </w:t>
      </w:r>
      <w:bookmarkStart w:id="2" w:name="OLE_LINK390"/>
      <w:bookmarkStart w:id="3" w:name="OLE_LINK391"/>
      <w:r w:rsidRPr="008A6C76">
        <w:rPr>
          <w:rFonts w:ascii="Times New Roman" w:hAnsi="Times New Roman" w:cs="Times New Roman"/>
          <w:sz w:val="24"/>
        </w:rPr>
        <w:t>Since significant heterogeneity was observed in one group</w:t>
      </w:r>
      <w:bookmarkEnd w:id="2"/>
      <w:bookmarkEnd w:id="3"/>
      <w:r w:rsidRPr="008A6C76">
        <w:rPr>
          <w:rFonts w:ascii="Times New Roman" w:hAnsi="Times New Roman" w:cs="Times New Roman"/>
          <w:sz w:val="24"/>
        </w:rPr>
        <w:t xml:space="preserve"> (I</w:t>
      </w:r>
      <w:r w:rsidRPr="008A6C76">
        <w:rPr>
          <w:rFonts w:ascii="Times New Roman" w:hAnsi="Times New Roman" w:cs="Times New Roman"/>
          <w:sz w:val="24"/>
          <w:vertAlign w:val="superscript"/>
        </w:rPr>
        <w:t>2</w:t>
      </w:r>
      <w:r w:rsidRPr="008A6C76">
        <w:rPr>
          <w:rFonts w:ascii="Times New Roman" w:hAnsi="Times New Roman" w:cs="Times New Roman"/>
          <w:sz w:val="24"/>
        </w:rPr>
        <w:t xml:space="preserve">=87%), a random-effects model was used. </w:t>
      </w:r>
      <w:bookmarkStart w:id="4" w:name="OLE_LINK290"/>
      <w:bookmarkStart w:id="5" w:name="OLE_LINK291"/>
      <w:r w:rsidRPr="008A6C76">
        <w:rPr>
          <w:rFonts w:ascii="Times New Roman" w:hAnsi="Times New Roman" w:cs="Times New Roman"/>
          <w:bCs/>
          <w:sz w:val="24"/>
        </w:rPr>
        <w:t>In the plane rectangular coordinate system, the forest plot takes a vertical invalid line (scale of abscissa is 0) as the center, describes the effect quantity and 95% CI of each study by using multiple line segments parallel to the horizontal axis, and describes the effect quantity and confidence interval of multiple studies by using a diamond.</w:t>
      </w:r>
      <w:bookmarkEnd w:id="4"/>
      <w:bookmarkEnd w:id="5"/>
      <w:r w:rsidRPr="008A6C76">
        <w:rPr>
          <w:rFonts w:ascii="Times New Roman" w:hAnsi="Times New Roman" w:cs="Times New Roman"/>
          <w:bCs/>
          <w:sz w:val="24"/>
        </w:rPr>
        <w:t xml:space="preserve"> PT, prothrombin time; CI, confidence interval. WMD, weighted mean difference.</w:t>
      </w:r>
    </w:p>
    <w:p w14:paraId="4D28E238" w14:textId="77777777" w:rsidR="00355334" w:rsidRPr="008A6C76" w:rsidRDefault="00355334" w:rsidP="00355334">
      <w:pPr>
        <w:spacing w:line="480" w:lineRule="auto"/>
        <w:rPr>
          <w:rFonts w:ascii="Times New Roman" w:hAnsi="Times New Roman" w:cs="Times New Roman"/>
          <w:b/>
          <w:sz w:val="24"/>
        </w:rPr>
      </w:pPr>
      <w:r w:rsidRPr="008A6C76">
        <w:rPr>
          <w:rFonts w:ascii="Times New Roman" w:hAnsi="Times New Roman" w:cs="Times New Roman"/>
          <w:b/>
          <w:bCs/>
          <w:spacing w:val="-4"/>
          <w:sz w:val="24"/>
        </w:rPr>
        <w:t xml:space="preserve">Additional file 3: </w:t>
      </w:r>
      <w:r w:rsidRPr="008A6C76">
        <w:rPr>
          <w:rFonts w:ascii="Times New Roman" w:hAnsi="Times New Roman" w:cs="Times New Roman"/>
          <w:b/>
          <w:sz w:val="24"/>
        </w:rPr>
        <w:t xml:space="preserve">Fig. S3 </w:t>
      </w:r>
      <w:r w:rsidRPr="008A6C76">
        <w:rPr>
          <w:rFonts w:ascii="Times New Roman" w:hAnsi="Times New Roman" w:cs="Times New Roman"/>
          <w:bCs/>
          <w:sz w:val="24"/>
        </w:rPr>
        <w:t xml:space="preserve">Forest plot of the subgroup analysis of the 6-month clinical </w:t>
      </w:r>
      <w:r w:rsidRPr="008A6C76">
        <w:rPr>
          <w:rFonts w:ascii="Times New Roman" w:hAnsi="Times New Roman" w:cs="Times New Roman"/>
          <w:bCs/>
          <w:sz w:val="24"/>
        </w:rPr>
        <w:lastRenderedPageBreak/>
        <w:t xml:space="preserve">performance according to the number of stem cell injection cycles. (A) TBIL; (B) ALB; (C) ALT. </w:t>
      </w:r>
      <w:bookmarkStart w:id="6" w:name="OLE_LINK294"/>
      <w:bookmarkStart w:id="7" w:name="OLE_LINK295"/>
      <w:bookmarkStart w:id="8" w:name="OLE_LINK302"/>
      <w:bookmarkStart w:id="9" w:name="OLE_LINK303"/>
      <w:r w:rsidRPr="008A6C76">
        <w:rPr>
          <w:rFonts w:ascii="Times New Roman" w:hAnsi="Times New Roman" w:cs="Times New Roman"/>
          <w:bCs/>
          <w:sz w:val="24"/>
        </w:rPr>
        <w:t xml:space="preserve">The level of TBIL, and ALB in </w:t>
      </w:r>
      <w:r w:rsidRPr="008A6C76">
        <w:rPr>
          <w:rFonts w:ascii="Times New Roman" w:hAnsi="Times New Roman" w:cs="Times New Roman"/>
          <w:sz w:val="24"/>
        </w:rPr>
        <w:t>patients who received single-injection of stem cells were significantly different as compared to those in the patients who received two-injections of stem cells (</w:t>
      </w:r>
      <w:r w:rsidRPr="008A6C76">
        <w:rPr>
          <w:rFonts w:ascii="Times New Roman" w:hAnsi="Times New Roman" w:cs="Times New Roman"/>
          <w:bCs/>
          <w:sz w:val="24"/>
        </w:rPr>
        <w:t>P&lt;0.05)</w:t>
      </w:r>
      <w:bookmarkEnd w:id="6"/>
      <w:bookmarkEnd w:id="7"/>
      <w:r w:rsidRPr="008A6C76">
        <w:rPr>
          <w:rFonts w:ascii="Times New Roman" w:hAnsi="Times New Roman" w:cs="Times New Roman"/>
          <w:sz w:val="24"/>
        </w:rPr>
        <w:t xml:space="preserve">, </w:t>
      </w:r>
      <w:proofErr w:type="spellStart"/>
      <w:r w:rsidRPr="008A6C76">
        <w:rPr>
          <w:rFonts w:ascii="Times New Roman" w:hAnsi="Times New Roman" w:cs="Times New Roman"/>
          <w:bCs/>
          <w:sz w:val="24"/>
        </w:rPr>
        <w:t>nonsignificantly</w:t>
      </w:r>
      <w:proofErr w:type="spellEnd"/>
      <w:r w:rsidRPr="008A6C76">
        <w:rPr>
          <w:rFonts w:ascii="Times New Roman" w:hAnsi="Times New Roman" w:cs="Times New Roman"/>
          <w:bCs/>
          <w:sz w:val="24"/>
        </w:rPr>
        <w:t xml:space="preserve"> difference for the level of ALT (P&gt;0.05). </w:t>
      </w:r>
      <w:bookmarkStart w:id="10" w:name="OLE_LINK298"/>
      <w:bookmarkStart w:id="11" w:name="OLE_LINK299"/>
      <w:bookmarkStart w:id="12" w:name="OLE_LINK300"/>
      <w:bookmarkStart w:id="13" w:name="OLE_LINK301"/>
      <w:bookmarkStart w:id="14" w:name="OLE_LINK306"/>
      <w:bookmarkStart w:id="15" w:name="OLE_LINK307"/>
      <w:r w:rsidRPr="008A6C76">
        <w:rPr>
          <w:rFonts w:ascii="Times New Roman" w:hAnsi="Times New Roman" w:cs="Times New Roman"/>
          <w:bCs/>
          <w:sz w:val="24"/>
        </w:rPr>
        <w:t>No significant heterogeneity was observed</w:t>
      </w:r>
      <w:bookmarkEnd w:id="10"/>
      <w:bookmarkEnd w:id="11"/>
      <w:bookmarkEnd w:id="12"/>
      <w:bookmarkEnd w:id="13"/>
      <w:r w:rsidRPr="008A6C76">
        <w:rPr>
          <w:rFonts w:ascii="Times New Roman" w:hAnsi="Times New Roman" w:cs="Times New Roman"/>
          <w:bCs/>
          <w:sz w:val="24"/>
        </w:rPr>
        <w:t>, and a fixed-effects model was used for statistical analysis. In the plane rectangular coordinate system, the forest plot takes a vertical invalid line (scale of abscissa is 0) as the center, describes the effect quantity and 95% CI of each study by using multiple line segments parallel to the horizontal axis, and describes the effect quantity and confidence interval of multiple studies by using a diamond.</w:t>
      </w:r>
      <w:bookmarkEnd w:id="8"/>
      <w:bookmarkEnd w:id="9"/>
      <w:r w:rsidRPr="008A6C76">
        <w:rPr>
          <w:rFonts w:ascii="Times New Roman" w:hAnsi="Times New Roman" w:cs="Times New Roman"/>
          <w:bCs/>
          <w:sz w:val="24"/>
        </w:rPr>
        <w:t xml:space="preserve"> </w:t>
      </w:r>
      <w:bookmarkEnd w:id="14"/>
      <w:bookmarkEnd w:id="15"/>
      <w:r w:rsidRPr="008A6C76">
        <w:rPr>
          <w:rFonts w:ascii="Times New Roman" w:hAnsi="Times New Roman" w:cs="Times New Roman"/>
          <w:bCs/>
          <w:sz w:val="24"/>
        </w:rPr>
        <w:t xml:space="preserve">TBIL, total bilirubin; ALB, albumin; ALT, alanine aminotransferase; CI, confidence interval; </w:t>
      </w:r>
      <w:bookmarkStart w:id="16" w:name="OLE_LINK304"/>
      <w:bookmarkStart w:id="17" w:name="OLE_LINK305"/>
      <w:r w:rsidRPr="008A6C76">
        <w:rPr>
          <w:rFonts w:ascii="Times New Roman" w:hAnsi="Times New Roman" w:cs="Times New Roman"/>
          <w:bCs/>
          <w:sz w:val="24"/>
        </w:rPr>
        <w:t>SMD, standardized mean difference.</w:t>
      </w:r>
      <w:bookmarkEnd w:id="16"/>
      <w:bookmarkEnd w:id="17"/>
    </w:p>
    <w:p w14:paraId="347B5796" w14:textId="77777777" w:rsidR="00355334" w:rsidRPr="008A6C76" w:rsidRDefault="00355334" w:rsidP="00355334">
      <w:pPr>
        <w:spacing w:line="480" w:lineRule="auto"/>
        <w:rPr>
          <w:rFonts w:ascii="Times New Roman" w:hAnsi="Times New Roman" w:cs="Times New Roman"/>
          <w:b/>
          <w:sz w:val="24"/>
        </w:rPr>
      </w:pPr>
      <w:r w:rsidRPr="008A6C76">
        <w:rPr>
          <w:rFonts w:ascii="Times New Roman" w:hAnsi="Times New Roman" w:cs="Times New Roman"/>
          <w:b/>
          <w:bCs/>
          <w:spacing w:val="-4"/>
          <w:sz w:val="24"/>
        </w:rPr>
        <w:t xml:space="preserve">Additional file 4: </w:t>
      </w:r>
      <w:r w:rsidRPr="008A6C76">
        <w:rPr>
          <w:rFonts w:ascii="Times New Roman" w:hAnsi="Times New Roman" w:cs="Times New Roman"/>
          <w:b/>
          <w:sz w:val="24"/>
        </w:rPr>
        <w:t>Fig. S4</w:t>
      </w:r>
      <w:bookmarkStart w:id="18" w:name="OLE_LINK192"/>
      <w:bookmarkStart w:id="19" w:name="OLE_LINK193"/>
      <w:r w:rsidRPr="008A6C76">
        <w:rPr>
          <w:rFonts w:ascii="Times New Roman" w:hAnsi="Times New Roman" w:cs="Times New Roman"/>
          <w:b/>
          <w:sz w:val="24"/>
        </w:rPr>
        <w:t xml:space="preserve"> </w:t>
      </w:r>
      <w:r w:rsidRPr="008A6C76">
        <w:rPr>
          <w:rFonts w:ascii="Times New Roman" w:hAnsi="Times New Roman" w:cs="Times New Roman"/>
          <w:bCs/>
          <w:sz w:val="24"/>
        </w:rPr>
        <w:t xml:space="preserve">Forest plot of the subgroup analysis of the 6-month clinical performance according to the number of stem cell injection cycles. (A) AST; (B) CTP; (C) MELD. The level of CTP, and MELD in </w:t>
      </w:r>
      <w:r w:rsidRPr="008A6C76">
        <w:rPr>
          <w:rFonts w:ascii="Times New Roman" w:hAnsi="Times New Roman" w:cs="Times New Roman"/>
          <w:sz w:val="24"/>
        </w:rPr>
        <w:t>patients who received single-injection of stem cells were significantly different as compared to those in the patients who received two-injections of stem cells (</w:t>
      </w:r>
      <w:r w:rsidRPr="008A6C76">
        <w:rPr>
          <w:rFonts w:ascii="Times New Roman" w:hAnsi="Times New Roman" w:cs="Times New Roman"/>
          <w:bCs/>
          <w:sz w:val="24"/>
        </w:rPr>
        <w:t>P&lt;0.05)</w:t>
      </w:r>
      <w:r w:rsidRPr="008A6C76">
        <w:rPr>
          <w:rFonts w:ascii="Times New Roman" w:hAnsi="Times New Roman" w:cs="Times New Roman"/>
          <w:sz w:val="24"/>
        </w:rPr>
        <w:t xml:space="preserve">, </w:t>
      </w:r>
      <w:proofErr w:type="spellStart"/>
      <w:r w:rsidRPr="008A6C76">
        <w:rPr>
          <w:rFonts w:ascii="Times New Roman" w:hAnsi="Times New Roman" w:cs="Times New Roman"/>
          <w:bCs/>
          <w:sz w:val="24"/>
        </w:rPr>
        <w:t>nonsignificantly</w:t>
      </w:r>
      <w:proofErr w:type="spellEnd"/>
      <w:r w:rsidRPr="008A6C76">
        <w:rPr>
          <w:rFonts w:ascii="Times New Roman" w:hAnsi="Times New Roman" w:cs="Times New Roman"/>
          <w:bCs/>
          <w:sz w:val="24"/>
        </w:rPr>
        <w:t xml:space="preserve"> difference for the level of AST (P&gt;0.05). Since no significant heterogeneity was observed</w:t>
      </w:r>
      <w:r w:rsidRPr="008A6C76">
        <w:rPr>
          <w:rFonts w:ascii="Times New Roman" w:hAnsi="Times New Roman" w:cs="Times New Roman"/>
          <w:sz w:val="24"/>
        </w:rPr>
        <w:t xml:space="preserve"> in the figure A and B, </w:t>
      </w:r>
      <w:bookmarkStart w:id="20" w:name="OLE_LINK392"/>
      <w:bookmarkStart w:id="21" w:name="OLE_LINK393"/>
      <w:r w:rsidRPr="008A6C76">
        <w:rPr>
          <w:rFonts w:ascii="Times New Roman" w:hAnsi="Times New Roman" w:cs="Times New Roman"/>
          <w:sz w:val="24"/>
        </w:rPr>
        <w:t>a fixed-effect model was used.</w:t>
      </w:r>
      <w:bookmarkEnd w:id="20"/>
      <w:bookmarkEnd w:id="21"/>
      <w:r w:rsidRPr="008A6C76">
        <w:rPr>
          <w:rFonts w:ascii="Times New Roman" w:hAnsi="Times New Roman" w:cs="Times New Roman"/>
          <w:sz w:val="24"/>
        </w:rPr>
        <w:t xml:space="preserve"> However, significant heterogeneity was observed in figure C (I</w:t>
      </w:r>
      <w:r w:rsidRPr="008A6C76">
        <w:rPr>
          <w:rFonts w:ascii="Times New Roman" w:hAnsi="Times New Roman" w:cs="Times New Roman"/>
          <w:sz w:val="24"/>
          <w:vertAlign w:val="superscript"/>
        </w:rPr>
        <w:t>2</w:t>
      </w:r>
      <w:r w:rsidRPr="008A6C76">
        <w:rPr>
          <w:rFonts w:ascii="Times New Roman" w:hAnsi="Times New Roman" w:cs="Times New Roman"/>
          <w:sz w:val="24"/>
        </w:rPr>
        <w:t xml:space="preserve">=85%), therefore, </w:t>
      </w:r>
      <w:r w:rsidRPr="008A6C76">
        <w:rPr>
          <w:rFonts w:ascii="Times New Roman" w:hAnsi="Times New Roman" w:cs="Times New Roman"/>
          <w:bCs/>
          <w:sz w:val="24"/>
        </w:rPr>
        <w:t xml:space="preserve">a random-effects model was used. In the plane rectangular coordinate system, the forest plot takes a vertical invalid line (scale of abscissa is 0) as the center, describes the effect quantity and 95% CI of each study by using multiple line segments parallel to the horizontal axis, and describes the effect quantity and </w:t>
      </w:r>
      <w:r w:rsidRPr="008A6C76">
        <w:rPr>
          <w:rFonts w:ascii="Times New Roman" w:hAnsi="Times New Roman" w:cs="Times New Roman"/>
          <w:bCs/>
          <w:sz w:val="24"/>
        </w:rPr>
        <w:lastRenderedPageBreak/>
        <w:t>confidence interval of multiple studies by using a diamond. AST, aspartate aminotransferase; CTP, Child-Pugh score; MELD, Model for end-stage liver disease; CI, confidence interval</w:t>
      </w:r>
      <w:bookmarkEnd w:id="18"/>
      <w:bookmarkEnd w:id="19"/>
      <w:r w:rsidRPr="008A6C76">
        <w:rPr>
          <w:rFonts w:ascii="Times New Roman" w:hAnsi="Times New Roman" w:cs="Times New Roman"/>
          <w:bCs/>
          <w:sz w:val="24"/>
        </w:rPr>
        <w:t>; SMD, standardized mean difference.</w:t>
      </w:r>
    </w:p>
    <w:p w14:paraId="7ADBD5C7" w14:textId="77777777" w:rsidR="00355334" w:rsidRPr="008A6C76" w:rsidRDefault="00355334" w:rsidP="00355334">
      <w:pPr>
        <w:spacing w:line="480" w:lineRule="auto"/>
        <w:rPr>
          <w:rFonts w:ascii="Times New Roman" w:hAnsi="Times New Roman" w:cs="Times New Roman"/>
          <w:b/>
          <w:sz w:val="24"/>
        </w:rPr>
      </w:pPr>
      <w:r w:rsidRPr="008A6C76">
        <w:rPr>
          <w:rFonts w:ascii="Times New Roman" w:hAnsi="Times New Roman" w:cs="Times New Roman"/>
          <w:b/>
          <w:bCs/>
          <w:spacing w:val="-4"/>
          <w:sz w:val="24"/>
        </w:rPr>
        <w:t xml:space="preserve">Additional file 5: </w:t>
      </w:r>
      <w:r w:rsidRPr="008A6C76">
        <w:rPr>
          <w:rFonts w:ascii="Times New Roman" w:hAnsi="Times New Roman" w:cs="Times New Roman"/>
          <w:b/>
          <w:sz w:val="24"/>
        </w:rPr>
        <w:t xml:space="preserve">Fig. S5 </w:t>
      </w:r>
      <w:r w:rsidRPr="008A6C76">
        <w:rPr>
          <w:rFonts w:ascii="Times New Roman" w:hAnsi="Times New Roman" w:cs="Times New Roman"/>
          <w:bCs/>
          <w:sz w:val="24"/>
        </w:rPr>
        <w:t xml:space="preserve">Forest plot of the subgroup analysis of the 6-month clinical performance according to the species of adult stem cells. (A) TBIL; (B) ALB. The level of TBIL decreased considerably in the studies transplanting MNCs </w:t>
      </w:r>
      <w:r w:rsidRPr="008A6C76">
        <w:rPr>
          <w:rFonts w:ascii="Times New Roman" w:hAnsi="Times New Roman" w:cs="Times New Roman"/>
          <w:sz w:val="24"/>
        </w:rPr>
        <w:t>(</w:t>
      </w:r>
      <w:r w:rsidRPr="008A6C76">
        <w:rPr>
          <w:rFonts w:ascii="Times New Roman" w:hAnsi="Times New Roman" w:cs="Times New Roman"/>
          <w:bCs/>
          <w:sz w:val="24"/>
        </w:rPr>
        <w:t xml:space="preserve">P&lt;0.05), </w:t>
      </w:r>
      <w:proofErr w:type="spellStart"/>
      <w:r w:rsidRPr="008A6C76">
        <w:rPr>
          <w:rFonts w:ascii="Times New Roman" w:hAnsi="Times New Roman" w:cs="Times New Roman"/>
          <w:bCs/>
          <w:sz w:val="24"/>
        </w:rPr>
        <w:t>nonsignificantly</w:t>
      </w:r>
      <w:proofErr w:type="spellEnd"/>
      <w:r w:rsidRPr="008A6C76">
        <w:rPr>
          <w:rFonts w:ascii="Times New Roman" w:hAnsi="Times New Roman" w:cs="Times New Roman"/>
          <w:bCs/>
          <w:sz w:val="24"/>
        </w:rPr>
        <w:t xml:space="preserve"> different in the studies transplanting </w:t>
      </w:r>
      <w:r w:rsidRPr="008A6C76">
        <w:rPr>
          <w:rFonts w:ascii="Times New Roman" w:hAnsi="Times New Roman" w:cs="Times New Roman"/>
          <w:sz w:val="24"/>
        </w:rPr>
        <w:t>CD34</w:t>
      </w:r>
      <w:r w:rsidRPr="008A6C76">
        <w:rPr>
          <w:rFonts w:ascii="Times New Roman" w:hAnsi="Times New Roman" w:cs="Times New Roman"/>
          <w:sz w:val="24"/>
          <w:vertAlign w:val="superscript"/>
        </w:rPr>
        <w:t>+</w:t>
      </w:r>
      <w:r w:rsidRPr="008A6C76">
        <w:rPr>
          <w:rFonts w:ascii="Times New Roman" w:hAnsi="Times New Roman" w:cs="Times New Roman"/>
          <w:sz w:val="24"/>
        </w:rPr>
        <w:t>APBSC or ABMMSC (</w:t>
      </w:r>
      <w:r w:rsidRPr="008A6C76">
        <w:rPr>
          <w:rFonts w:ascii="Times New Roman" w:hAnsi="Times New Roman" w:cs="Times New Roman"/>
          <w:bCs/>
          <w:sz w:val="24"/>
        </w:rPr>
        <w:t xml:space="preserve">P&gt;0.05). In addition, the level of ALB </w:t>
      </w:r>
      <w:r w:rsidRPr="008A6C76">
        <w:rPr>
          <w:rFonts w:ascii="Times New Roman" w:hAnsi="Times New Roman" w:cs="Times New Roman"/>
          <w:sz w:val="24"/>
        </w:rPr>
        <w:t xml:space="preserve">in patients who received </w:t>
      </w:r>
      <w:bookmarkStart w:id="22" w:name="OLE_LINK308"/>
      <w:bookmarkStart w:id="23" w:name="OLE_LINK309"/>
      <w:r w:rsidRPr="008A6C76">
        <w:rPr>
          <w:rFonts w:ascii="Times New Roman" w:hAnsi="Times New Roman" w:cs="Times New Roman"/>
          <w:sz w:val="24"/>
        </w:rPr>
        <w:t>CD34</w:t>
      </w:r>
      <w:r w:rsidRPr="008A6C76">
        <w:rPr>
          <w:rFonts w:ascii="Times New Roman" w:hAnsi="Times New Roman" w:cs="Times New Roman"/>
          <w:sz w:val="24"/>
          <w:vertAlign w:val="superscript"/>
        </w:rPr>
        <w:t>+</w:t>
      </w:r>
      <w:r w:rsidRPr="008A6C76">
        <w:rPr>
          <w:rFonts w:ascii="Times New Roman" w:hAnsi="Times New Roman" w:cs="Times New Roman"/>
          <w:sz w:val="24"/>
        </w:rPr>
        <w:t>APBSC or MNCs</w:t>
      </w:r>
      <w:bookmarkEnd w:id="22"/>
      <w:bookmarkEnd w:id="23"/>
      <w:r w:rsidRPr="008A6C76">
        <w:rPr>
          <w:rFonts w:ascii="Times New Roman" w:hAnsi="Times New Roman" w:cs="Times New Roman"/>
          <w:sz w:val="24"/>
        </w:rPr>
        <w:t xml:space="preserve"> were significantly different (</w:t>
      </w:r>
      <w:r w:rsidRPr="008A6C76">
        <w:rPr>
          <w:rFonts w:ascii="Times New Roman" w:hAnsi="Times New Roman" w:cs="Times New Roman"/>
          <w:bCs/>
          <w:sz w:val="24"/>
        </w:rPr>
        <w:t xml:space="preserve">P&lt;0.05), </w:t>
      </w:r>
      <w:proofErr w:type="spellStart"/>
      <w:r w:rsidRPr="008A6C76">
        <w:rPr>
          <w:rFonts w:ascii="Times New Roman" w:hAnsi="Times New Roman" w:cs="Times New Roman"/>
          <w:bCs/>
          <w:sz w:val="24"/>
        </w:rPr>
        <w:t>nonsignificantly</w:t>
      </w:r>
      <w:proofErr w:type="spellEnd"/>
      <w:r w:rsidRPr="008A6C76">
        <w:rPr>
          <w:rFonts w:ascii="Times New Roman" w:hAnsi="Times New Roman" w:cs="Times New Roman"/>
          <w:bCs/>
          <w:sz w:val="24"/>
        </w:rPr>
        <w:t xml:space="preserve"> different in patients who received ABMMSC </w:t>
      </w:r>
      <w:r w:rsidRPr="008A6C76">
        <w:rPr>
          <w:rFonts w:ascii="Times New Roman" w:hAnsi="Times New Roman" w:cs="Times New Roman"/>
          <w:sz w:val="24"/>
        </w:rPr>
        <w:t>(</w:t>
      </w:r>
      <w:r w:rsidRPr="008A6C76">
        <w:rPr>
          <w:rFonts w:ascii="Times New Roman" w:hAnsi="Times New Roman" w:cs="Times New Roman"/>
          <w:bCs/>
          <w:sz w:val="24"/>
        </w:rPr>
        <w:t>P&gt;0.05)</w:t>
      </w:r>
      <w:r w:rsidRPr="008A6C76">
        <w:rPr>
          <w:rFonts w:ascii="Times New Roman" w:hAnsi="Times New Roman" w:cs="Times New Roman"/>
          <w:sz w:val="24"/>
        </w:rPr>
        <w:t xml:space="preserve">. </w:t>
      </w:r>
      <w:r w:rsidRPr="008A6C76">
        <w:rPr>
          <w:rFonts w:ascii="Times New Roman" w:hAnsi="Times New Roman" w:cs="Times New Roman"/>
          <w:bCs/>
          <w:sz w:val="24"/>
        </w:rPr>
        <w:t>No significant heterogeneity was observed, and a fixed-effects model was used for statistical analysis. In the plane rectangular coordinate system, the forest plot takes a vertical invalid line (scale of abscissa is 0) as the center, describes the effect quantity and 95% CI of each study by using multiple line segments parallel to the horizontal axis, and describes the effect quantity and confidence interval of multiple studies by using a diamond. TBIL, total bilirubin; ALB, albumin; CI, confidence interval; SMD, standardized mean difference.</w:t>
      </w:r>
    </w:p>
    <w:p w14:paraId="5EA52DA6" w14:textId="77777777" w:rsidR="00355334" w:rsidRPr="008A6C76" w:rsidRDefault="00355334" w:rsidP="00355334">
      <w:pPr>
        <w:spacing w:line="480" w:lineRule="auto"/>
        <w:rPr>
          <w:rFonts w:ascii="Times New Roman" w:hAnsi="Times New Roman" w:cs="Times New Roman"/>
          <w:b/>
          <w:sz w:val="24"/>
        </w:rPr>
      </w:pPr>
      <w:r w:rsidRPr="008A6C76">
        <w:rPr>
          <w:rFonts w:ascii="Times New Roman" w:hAnsi="Times New Roman" w:cs="Times New Roman"/>
          <w:b/>
          <w:bCs/>
          <w:spacing w:val="-4"/>
          <w:sz w:val="24"/>
        </w:rPr>
        <w:t xml:space="preserve">Additional file 6: </w:t>
      </w:r>
      <w:r w:rsidRPr="008A6C76">
        <w:rPr>
          <w:rFonts w:ascii="Times New Roman" w:hAnsi="Times New Roman" w:cs="Times New Roman"/>
          <w:b/>
          <w:sz w:val="24"/>
        </w:rPr>
        <w:t>Fig. S6</w:t>
      </w:r>
      <w:bookmarkStart w:id="24" w:name="OLE_LINK197"/>
      <w:bookmarkStart w:id="25" w:name="OLE_LINK196"/>
      <w:r w:rsidRPr="008A6C76">
        <w:rPr>
          <w:rFonts w:ascii="Times New Roman" w:hAnsi="Times New Roman" w:cs="Times New Roman"/>
          <w:b/>
          <w:sz w:val="24"/>
        </w:rPr>
        <w:t xml:space="preserve"> </w:t>
      </w:r>
      <w:r w:rsidRPr="008A6C76">
        <w:rPr>
          <w:rFonts w:ascii="Times New Roman" w:hAnsi="Times New Roman" w:cs="Times New Roman"/>
          <w:bCs/>
          <w:sz w:val="24"/>
        </w:rPr>
        <w:t xml:space="preserve">Forest plot of subgroup analysis. (A) </w:t>
      </w:r>
      <w:bookmarkStart w:id="26" w:name="OLE_LINK195"/>
      <w:bookmarkStart w:id="27" w:name="OLE_LINK194"/>
      <w:r w:rsidRPr="008A6C76">
        <w:rPr>
          <w:rFonts w:ascii="Times New Roman" w:hAnsi="Times New Roman" w:cs="Times New Roman"/>
          <w:bCs/>
          <w:sz w:val="24"/>
        </w:rPr>
        <w:t xml:space="preserve">Subgroup analysis of the use of G-CSF </w:t>
      </w:r>
      <w:bookmarkEnd w:id="26"/>
      <w:bookmarkEnd w:id="27"/>
      <w:r w:rsidRPr="008A6C76">
        <w:rPr>
          <w:rFonts w:ascii="Times New Roman" w:hAnsi="Times New Roman" w:cs="Times New Roman"/>
          <w:bCs/>
          <w:sz w:val="24"/>
        </w:rPr>
        <w:t xml:space="preserve">in terms of TBIL at twelve weeks. (B) Subgroup analysis of the use of G-CSF in terms of TBIL at twenty-four weeks. (C) Subgroup analysis of the use of G-CSF in terms of ALB at twelve weeks. </w:t>
      </w:r>
      <w:bookmarkEnd w:id="24"/>
      <w:bookmarkEnd w:id="25"/>
      <w:r w:rsidRPr="008A6C76">
        <w:rPr>
          <w:rFonts w:ascii="Times New Roman" w:hAnsi="Times New Roman" w:cs="Times New Roman"/>
          <w:bCs/>
          <w:sz w:val="24"/>
        </w:rPr>
        <w:t xml:space="preserve">(D) Subgroup analysis of the use of G-CSF in terms of ALB at twenty-four weeks. The level of TBIL at 12, and 24 weeks </w:t>
      </w:r>
      <w:r w:rsidRPr="008A6C76">
        <w:rPr>
          <w:rFonts w:ascii="Times New Roman" w:hAnsi="Times New Roman" w:cs="Times New Roman"/>
          <w:sz w:val="24"/>
        </w:rPr>
        <w:t xml:space="preserve">in patients who received G-CSF mobilized stem cells were </w:t>
      </w:r>
      <w:proofErr w:type="spellStart"/>
      <w:r w:rsidRPr="008A6C76">
        <w:rPr>
          <w:rFonts w:ascii="Times New Roman" w:hAnsi="Times New Roman" w:cs="Times New Roman"/>
          <w:sz w:val="24"/>
        </w:rPr>
        <w:t>nonsignificantly</w:t>
      </w:r>
      <w:proofErr w:type="spellEnd"/>
      <w:r w:rsidRPr="008A6C76">
        <w:rPr>
          <w:rFonts w:ascii="Times New Roman" w:hAnsi="Times New Roman" w:cs="Times New Roman"/>
          <w:sz w:val="24"/>
        </w:rPr>
        <w:t xml:space="preserve"> different (</w:t>
      </w:r>
      <w:r w:rsidRPr="008A6C76">
        <w:rPr>
          <w:rFonts w:ascii="Times New Roman" w:hAnsi="Times New Roman" w:cs="Times New Roman"/>
          <w:bCs/>
          <w:sz w:val="24"/>
        </w:rPr>
        <w:t>P&gt;0.05)</w:t>
      </w:r>
      <w:r w:rsidRPr="008A6C76">
        <w:rPr>
          <w:rFonts w:ascii="Times New Roman" w:hAnsi="Times New Roman" w:cs="Times New Roman"/>
          <w:sz w:val="24"/>
        </w:rPr>
        <w:t xml:space="preserve">. </w:t>
      </w:r>
      <w:r w:rsidRPr="008A6C76">
        <w:rPr>
          <w:rFonts w:ascii="Times New Roman" w:hAnsi="Times New Roman" w:cs="Times New Roman"/>
          <w:sz w:val="24"/>
        </w:rPr>
        <w:lastRenderedPageBreak/>
        <w:t>The rest of the subgroups were significantly different (</w:t>
      </w:r>
      <w:r w:rsidRPr="008A6C76">
        <w:rPr>
          <w:rFonts w:ascii="Times New Roman" w:hAnsi="Times New Roman" w:cs="Times New Roman"/>
          <w:bCs/>
          <w:sz w:val="24"/>
        </w:rPr>
        <w:t xml:space="preserve">P&lt;0.05). No significant heterogeneity was observed, and a fixed-effects model was used for statistical analysis. In the plane rectangular coordinate system, the forest plot takes a vertical invalid line (scale of abscissa is 0) as the center, describes the effect quantity and 95% CI of each study by using multiple line segments parallel to the horizontal axis, and describes the effect quantity and confidence interval of multiple studies by using a diamond. TBIL, total bilirubin; ALB, albumin; </w:t>
      </w:r>
      <w:bookmarkStart w:id="28" w:name="OLE_LINK310"/>
      <w:bookmarkStart w:id="29" w:name="OLE_LINK311"/>
      <w:r w:rsidRPr="008A6C76">
        <w:rPr>
          <w:rFonts w:ascii="Times New Roman" w:hAnsi="Times New Roman" w:cs="Times New Roman"/>
          <w:bCs/>
          <w:sz w:val="24"/>
        </w:rPr>
        <w:t xml:space="preserve">G-CSF, </w:t>
      </w:r>
      <w:r w:rsidRPr="008A6C76">
        <w:rPr>
          <w:rFonts w:ascii="Times New Roman" w:hAnsi="Times New Roman" w:cs="Times New Roman"/>
          <w:spacing w:val="-4"/>
          <w:sz w:val="24"/>
        </w:rPr>
        <w:t xml:space="preserve">granulocyte colony-stimulating factor; </w:t>
      </w:r>
      <w:r w:rsidRPr="008A6C76">
        <w:rPr>
          <w:rFonts w:ascii="Times New Roman" w:hAnsi="Times New Roman" w:cs="Times New Roman"/>
          <w:bCs/>
          <w:sz w:val="24"/>
        </w:rPr>
        <w:t>CI, confidence interval; SMD, standardized mean difference.</w:t>
      </w:r>
      <w:bookmarkEnd w:id="28"/>
      <w:bookmarkEnd w:id="29"/>
    </w:p>
    <w:p w14:paraId="528976AA" w14:textId="69DE5AFC" w:rsidR="00355334" w:rsidRPr="00355334" w:rsidRDefault="00355334" w:rsidP="00355334">
      <w:pPr>
        <w:spacing w:line="480" w:lineRule="auto"/>
        <w:rPr>
          <w:rFonts w:ascii="Times New Roman" w:hAnsi="Times New Roman" w:cs="Times New Roman"/>
          <w:bCs/>
          <w:sz w:val="24"/>
        </w:rPr>
      </w:pPr>
      <w:r w:rsidRPr="008A6C76">
        <w:rPr>
          <w:rFonts w:ascii="Times New Roman" w:hAnsi="Times New Roman" w:cs="Times New Roman"/>
          <w:b/>
          <w:bCs/>
          <w:spacing w:val="-4"/>
          <w:sz w:val="24"/>
        </w:rPr>
        <w:t xml:space="preserve">Additional file 7: </w:t>
      </w:r>
      <w:r w:rsidRPr="008A6C76">
        <w:rPr>
          <w:rFonts w:ascii="Times New Roman" w:hAnsi="Times New Roman" w:cs="Times New Roman"/>
          <w:b/>
          <w:sz w:val="24"/>
        </w:rPr>
        <w:t>Fig. S7</w:t>
      </w:r>
      <w:r w:rsidRPr="008A6C76">
        <w:rPr>
          <w:rFonts w:ascii="Times New Roman" w:hAnsi="Times New Roman" w:cs="Times New Roman"/>
          <w:bCs/>
          <w:sz w:val="24"/>
        </w:rPr>
        <w:t xml:space="preserve"> Forest plot of subgroup analysis. (A) Subgroup analysis of the use of G-CSF in terms of ALT at twelve weeks. (B) Subgroup analysis of the use of G-CSF in terms of ALT at twenty-four weeks. (C) Subgroup analysis of the use of G-CSF in terms of AST at twenty-four weeks. </w:t>
      </w:r>
      <w:bookmarkStart w:id="30" w:name="OLE_LINK314"/>
      <w:bookmarkStart w:id="31" w:name="OLE_LINK315"/>
      <w:r w:rsidRPr="008A6C76">
        <w:rPr>
          <w:rFonts w:ascii="Times New Roman" w:hAnsi="Times New Roman" w:cs="Times New Roman"/>
          <w:bCs/>
          <w:sz w:val="24"/>
        </w:rPr>
        <w:t xml:space="preserve">The level of ALT at 12 weeks </w:t>
      </w:r>
      <w:r w:rsidRPr="008A6C76">
        <w:rPr>
          <w:rFonts w:ascii="Times New Roman" w:hAnsi="Times New Roman" w:cs="Times New Roman"/>
          <w:sz w:val="24"/>
        </w:rPr>
        <w:t xml:space="preserve">in patients who received </w:t>
      </w:r>
      <w:bookmarkStart w:id="32" w:name="OLE_LINK312"/>
      <w:bookmarkStart w:id="33" w:name="OLE_LINK313"/>
      <w:r w:rsidRPr="008A6C76">
        <w:rPr>
          <w:rFonts w:ascii="Times New Roman" w:hAnsi="Times New Roman" w:cs="Times New Roman"/>
          <w:sz w:val="24"/>
        </w:rPr>
        <w:t>stem cells collected directly</w:t>
      </w:r>
      <w:bookmarkEnd w:id="32"/>
      <w:bookmarkEnd w:id="33"/>
      <w:r w:rsidRPr="008A6C76">
        <w:rPr>
          <w:rFonts w:ascii="Times New Roman" w:hAnsi="Times New Roman" w:cs="Times New Roman"/>
          <w:sz w:val="24"/>
        </w:rPr>
        <w:t xml:space="preserve"> were significantly different (</w:t>
      </w:r>
      <w:r w:rsidRPr="008A6C76">
        <w:rPr>
          <w:rFonts w:ascii="Times New Roman" w:hAnsi="Times New Roman" w:cs="Times New Roman"/>
          <w:bCs/>
          <w:sz w:val="24"/>
        </w:rPr>
        <w:t>P&lt;0.05)</w:t>
      </w:r>
      <w:r w:rsidRPr="008A6C76">
        <w:rPr>
          <w:rFonts w:ascii="Times New Roman" w:hAnsi="Times New Roman" w:cs="Times New Roman"/>
          <w:sz w:val="24"/>
        </w:rPr>
        <w:t xml:space="preserve">. The rest of the subgroups were </w:t>
      </w:r>
      <w:proofErr w:type="spellStart"/>
      <w:r w:rsidRPr="008A6C76">
        <w:rPr>
          <w:rFonts w:ascii="Times New Roman" w:hAnsi="Times New Roman" w:cs="Times New Roman"/>
          <w:sz w:val="24"/>
        </w:rPr>
        <w:t>nonsignificantly</w:t>
      </w:r>
      <w:proofErr w:type="spellEnd"/>
      <w:r w:rsidRPr="008A6C76">
        <w:rPr>
          <w:rFonts w:ascii="Times New Roman" w:hAnsi="Times New Roman" w:cs="Times New Roman"/>
          <w:sz w:val="24"/>
        </w:rPr>
        <w:t xml:space="preserve"> different (</w:t>
      </w:r>
      <w:r w:rsidRPr="008A6C76">
        <w:rPr>
          <w:rFonts w:ascii="Times New Roman" w:hAnsi="Times New Roman" w:cs="Times New Roman"/>
          <w:bCs/>
          <w:sz w:val="24"/>
        </w:rPr>
        <w:t>P&gt;0.05).</w:t>
      </w:r>
      <w:bookmarkEnd w:id="30"/>
      <w:bookmarkEnd w:id="31"/>
      <w:r w:rsidRPr="008A6C76">
        <w:rPr>
          <w:rFonts w:ascii="Times New Roman" w:hAnsi="Times New Roman" w:cs="Times New Roman"/>
          <w:bCs/>
          <w:sz w:val="24"/>
        </w:rPr>
        <w:t xml:space="preserve"> No significant heterogeneity was observed</w:t>
      </w:r>
      <w:r w:rsidRPr="008A6C76">
        <w:rPr>
          <w:rFonts w:ascii="Times New Roman" w:hAnsi="Times New Roman" w:cs="Times New Roman"/>
          <w:sz w:val="24"/>
        </w:rPr>
        <w:t xml:space="preserve"> in the figure B, and C, therefore, a fixed-effect model was used. Since significant heterogeneity was observed in figure A (I</w:t>
      </w:r>
      <w:r w:rsidRPr="008A6C76">
        <w:rPr>
          <w:rFonts w:ascii="Times New Roman" w:hAnsi="Times New Roman" w:cs="Times New Roman"/>
          <w:sz w:val="24"/>
          <w:vertAlign w:val="superscript"/>
        </w:rPr>
        <w:t>2</w:t>
      </w:r>
      <w:r w:rsidRPr="008A6C76">
        <w:rPr>
          <w:rFonts w:ascii="Times New Roman" w:hAnsi="Times New Roman" w:cs="Times New Roman"/>
          <w:sz w:val="24"/>
        </w:rPr>
        <w:t xml:space="preserve">=89%), </w:t>
      </w:r>
      <w:r w:rsidRPr="008A6C76">
        <w:rPr>
          <w:rFonts w:ascii="Times New Roman" w:hAnsi="Times New Roman" w:cs="Times New Roman"/>
          <w:bCs/>
          <w:sz w:val="24"/>
        </w:rPr>
        <w:t xml:space="preserve">a random-effects model rather was used. In the plane rectangular coordinate system, the forest plot takes a vertical invalid line (scale of abscissa is 0) as the center, describes the effect quantity and 95% CI of each study by using multiple line segments parallel to the horizontal axis, and describes the effect quantity and confidence interval of multiple studies by using a diamond. </w:t>
      </w:r>
      <w:r w:rsidRPr="008A6C76">
        <w:rPr>
          <w:rFonts w:ascii="Times New Roman" w:hAnsi="Times New Roman" w:cs="Times New Roman"/>
          <w:spacing w:val="-4"/>
          <w:sz w:val="24"/>
        </w:rPr>
        <w:t xml:space="preserve">ALT: alanine aminotransferase; AST: aspartate aminotransferase; </w:t>
      </w:r>
      <w:r w:rsidRPr="008A6C76">
        <w:rPr>
          <w:rFonts w:ascii="Times New Roman" w:hAnsi="Times New Roman" w:cs="Times New Roman"/>
          <w:bCs/>
          <w:sz w:val="24"/>
        </w:rPr>
        <w:t xml:space="preserve">G-CSF, </w:t>
      </w:r>
      <w:r w:rsidRPr="008A6C76">
        <w:rPr>
          <w:rFonts w:ascii="Times New Roman" w:hAnsi="Times New Roman" w:cs="Times New Roman"/>
          <w:spacing w:val="-4"/>
          <w:sz w:val="24"/>
        </w:rPr>
        <w:t xml:space="preserve">granulocyte colony-stimulating factor; </w:t>
      </w:r>
      <w:r w:rsidRPr="008A6C76">
        <w:rPr>
          <w:rFonts w:ascii="Times New Roman" w:hAnsi="Times New Roman" w:cs="Times New Roman"/>
          <w:bCs/>
          <w:sz w:val="24"/>
        </w:rPr>
        <w:t xml:space="preserve">CI, confidence interval; </w:t>
      </w:r>
      <w:r w:rsidRPr="008A6C76">
        <w:rPr>
          <w:rFonts w:ascii="Times New Roman" w:hAnsi="Times New Roman" w:cs="Times New Roman"/>
          <w:bCs/>
          <w:sz w:val="24"/>
        </w:rPr>
        <w:lastRenderedPageBreak/>
        <w:t>SMD, standardized mean difference.</w:t>
      </w:r>
    </w:p>
    <w:p w14:paraId="2D5A80D3" w14:textId="77777777" w:rsidR="00355334" w:rsidRDefault="00355334">
      <w:pPr>
        <w:rPr>
          <w:rFonts w:ascii="Times New Roman" w:hAnsi="Times New Roman" w:cs="Times New Roman"/>
          <w:sz w:val="28"/>
          <w:szCs w:val="28"/>
        </w:rPr>
      </w:pPr>
    </w:p>
    <w:p w14:paraId="39035251" w14:textId="4C8BE199" w:rsidR="00060FCF" w:rsidRPr="00355334" w:rsidRDefault="00355334">
      <w:pPr>
        <w:rPr>
          <w:rFonts w:ascii="Times New Roman" w:hAnsi="Times New Roman" w:cs="Times New Roman"/>
          <w:sz w:val="28"/>
          <w:szCs w:val="28"/>
        </w:rPr>
      </w:pPr>
      <w:r w:rsidRPr="00355334">
        <w:rPr>
          <w:rFonts w:ascii="Times New Roman" w:hAnsi="Times New Roman" w:cs="Times New Roman"/>
          <w:sz w:val="28"/>
          <w:szCs w:val="28"/>
        </w:rPr>
        <w:t>Fig.S1</w:t>
      </w:r>
    </w:p>
    <w:p w14:paraId="406245DA" w14:textId="40CACB65" w:rsidR="00355334" w:rsidRDefault="008A6C76">
      <w:r>
        <w:rPr>
          <w:noProof/>
        </w:rPr>
        <w:drawing>
          <wp:inline distT="0" distB="0" distL="0" distR="0" wp14:anchorId="3EE9AE58" wp14:editId="57E10192">
            <wp:extent cx="5274310" cy="701167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4">
                      <a:extLst>
                        <a:ext uri="{28A0092B-C50C-407E-A947-70E740481C1C}">
                          <a14:useLocalDpi xmlns:a14="http://schemas.microsoft.com/office/drawing/2010/main" val="0"/>
                        </a:ext>
                      </a:extLst>
                    </a:blip>
                    <a:stretch>
                      <a:fillRect/>
                    </a:stretch>
                  </pic:blipFill>
                  <pic:spPr>
                    <a:xfrm>
                      <a:off x="0" y="0"/>
                      <a:ext cx="5274310" cy="7011670"/>
                    </a:xfrm>
                    <a:prstGeom prst="rect">
                      <a:avLst/>
                    </a:prstGeom>
                  </pic:spPr>
                </pic:pic>
              </a:graphicData>
            </a:graphic>
          </wp:inline>
        </w:drawing>
      </w:r>
    </w:p>
    <w:p w14:paraId="14F8464D" w14:textId="7C4729B1" w:rsidR="00355334" w:rsidRDefault="00355334"/>
    <w:p w14:paraId="5CD9274A" w14:textId="11C51B6D" w:rsidR="00355334" w:rsidRPr="00355334" w:rsidRDefault="00355334">
      <w:pPr>
        <w:rPr>
          <w:rFonts w:ascii="Times New Roman" w:hAnsi="Times New Roman" w:cs="Times New Roman" w:hint="eastAsia"/>
          <w:sz w:val="28"/>
          <w:szCs w:val="28"/>
        </w:rPr>
      </w:pPr>
    </w:p>
    <w:p w14:paraId="51B9DA65" w14:textId="59F50430" w:rsidR="00355334" w:rsidRPr="00355334" w:rsidRDefault="00355334">
      <w:pPr>
        <w:rPr>
          <w:rFonts w:ascii="Times New Roman" w:hAnsi="Times New Roman" w:cs="Times New Roman"/>
          <w:sz w:val="28"/>
          <w:szCs w:val="28"/>
        </w:rPr>
      </w:pPr>
      <w:r w:rsidRPr="00355334">
        <w:rPr>
          <w:rFonts w:ascii="Times New Roman" w:hAnsi="Times New Roman" w:cs="Times New Roman"/>
          <w:sz w:val="28"/>
          <w:szCs w:val="28"/>
        </w:rPr>
        <w:lastRenderedPageBreak/>
        <w:t>Fig.S2</w:t>
      </w:r>
    </w:p>
    <w:p w14:paraId="27AE90D0" w14:textId="6868BD7D" w:rsidR="00355334" w:rsidRDefault="008A6C76">
      <w:r>
        <w:rPr>
          <w:noProof/>
        </w:rPr>
        <w:drawing>
          <wp:inline distT="0" distB="0" distL="0" distR="0" wp14:anchorId="153A64EA" wp14:editId="0B676EC4">
            <wp:extent cx="5274310" cy="701167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5">
                      <a:extLst>
                        <a:ext uri="{28A0092B-C50C-407E-A947-70E740481C1C}">
                          <a14:useLocalDpi xmlns:a14="http://schemas.microsoft.com/office/drawing/2010/main" val="0"/>
                        </a:ext>
                      </a:extLst>
                    </a:blip>
                    <a:stretch>
                      <a:fillRect/>
                    </a:stretch>
                  </pic:blipFill>
                  <pic:spPr>
                    <a:xfrm>
                      <a:off x="0" y="0"/>
                      <a:ext cx="5274310" cy="7011670"/>
                    </a:xfrm>
                    <a:prstGeom prst="rect">
                      <a:avLst/>
                    </a:prstGeom>
                  </pic:spPr>
                </pic:pic>
              </a:graphicData>
            </a:graphic>
          </wp:inline>
        </w:drawing>
      </w:r>
    </w:p>
    <w:p w14:paraId="1E102EFE" w14:textId="5DD315F9" w:rsidR="00355334" w:rsidRDefault="00355334"/>
    <w:p w14:paraId="05FECD8D" w14:textId="1B203BDE" w:rsidR="00355334" w:rsidRDefault="00355334"/>
    <w:p w14:paraId="3EA57C7B" w14:textId="6DA54370" w:rsidR="00355334" w:rsidRDefault="00355334"/>
    <w:p w14:paraId="781907D6" w14:textId="734E8929" w:rsidR="00355334" w:rsidRDefault="00355334"/>
    <w:p w14:paraId="082508B4" w14:textId="0FCB9B9D" w:rsidR="00355334" w:rsidRDefault="00355334">
      <w:pPr>
        <w:rPr>
          <w:rFonts w:hint="eastAsia"/>
        </w:rPr>
      </w:pPr>
    </w:p>
    <w:p w14:paraId="7542C62F" w14:textId="1DB9E127" w:rsidR="00355334" w:rsidRDefault="00355334"/>
    <w:p w14:paraId="475D1A96" w14:textId="2DF6C688" w:rsidR="00355334" w:rsidRPr="00355334" w:rsidRDefault="00355334">
      <w:pPr>
        <w:rPr>
          <w:rFonts w:ascii="Times New Roman" w:hAnsi="Times New Roman" w:cs="Times New Roman"/>
          <w:sz w:val="28"/>
          <w:szCs w:val="28"/>
        </w:rPr>
      </w:pPr>
      <w:r w:rsidRPr="00355334">
        <w:rPr>
          <w:rFonts w:ascii="Times New Roman" w:hAnsi="Times New Roman" w:cs="Times New Roman"/>
          <w:sz w:val="28"/>
          <w:szCs w:val="28"/>
        </w:rPr>
        <w:lastRenderedPageBreak/>
        <w:t>Fig.S3</w:t>
      </w:r>
    </w:p>
    <w:p w14:paraId="6F2B2054" w14:textId="6E000590" w:rsidR="00355334" w:rsidRDefault="008A6C76">
      <w:r>
        <w:rPr>
          <w:noProof/>
        </w:rPr>
        <w:drawing>
          <wp:inline distT="0" distB="0" distL="0" distR="0" wp14:anchorId="11E24932" wp14:editId="7A4C546C">
            <wp:extent cx="5274310" cy="57994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6">
                      <a:extLst>
                        <a:ext uri="{28A0092B-C50C-407E-A947-70E740481C1C}">
                          <a14:useLocalDpi xmlns:a14="http://schemas.microsoft.com/office/drawing/2010/main" val="0"/>
                        </a:ext>
                      </a:extLst>
                    </a:blip>
                    <a:stretch>
                      <a:fillRect/>
                    </a:stretch>
                  </pic:blipFill>
                  <pic:spPr>
                    <a:xfrm>
                      <a:off x="0" y="0"/>
                      <a:ext cx="5274310" cy="5799455"/>
                    </a:xfrm>
                    <a:prstGeom prst="rect">
                      <a:avLst/>
                    </a:prstGeom>
                  </pic:spPr>
                </pic:pic>
              </a:graphicData>
            </a:graphic>
          </wp:inline>
        </w:drawing>
      </w:r>
    </w:p>
    <w:p w14:paraId="536488BE" w14:textId="4BFA28BD" w:rsidR="00355334" w:rsidRDefault="00355334"/>
    <w:p w14:paraId="56F9A836" w14:textId="42B6F962" w:rsidR="00355334" w:rsidRDefault="00355334"/>
    <w:p w14:paraId="0089EF4F" w14:textId="46AE60D9" w:rsidR="00355334" w:rsidRDefault="00355334"/>
    <w:p w14:paraId="2AC632AF" w14:textId="10933E51" w:rsidR="00355334" w:rsidRDefault="00355334"/>
    <w:p w14:paraId="7BCA5BA0" w14:textId="1D29FDCA" w:rsidR="00355334" w:rsidRDefault="00355334"/>
    <w:p w14:paraId="6EFA012D" w14:textId="080C108A" w:rsidR="00355334" w:rsidRDefault="00355334"/>
    <w:p w14:paraId="51E334E8" w14:textId="147179A8" w:rsidR="00355334" w:rsidRDefault="00355334"/>
    <w:p w14:paraId="6054DF8C" w14:textId="3310DC92" w:rsidR="00355334" w:rsidRDefault="00355334"/>
    <w:p w14:paraId="28EA974B" w14:textId="4ABAF24F" w:rsidR="00355334" w:rsidRDefault="00355334"/>
    <w:p w14:paraId="00EEA748" w14:textId="5E941BD1" w:rsidR="00355334" w:rsidRDefault="00355334"/>
    <w:p w14:paraId="72FC16A3" w14:textId="4BFD5E3B" w:rsidR="00355334" w:rsidRDefault="00355334"/>
    <w:p w14:paraId="3FE7D2E6" w14:textId="3B929D6B" w:rsidR="00355334" w:rsidRDefault="00355334">
      <w:pPr>
        <w:rPr>
          <w:rFonts w:hint="eastAsia"/>
        </w:rPr>
      </w:pPr>
    </w:p>
    <w:p w14:paraId="18158448" w14:textId="3B94EA76" w:rsidR="00355334" w:rsidRPr="00355334" w:rsidRDefault="00355334">
      <w:pPr>
        <w:rPr>
          <w:rFonts w:ascii="Times New Roman" w:hAnsi="Times New Roman" w:cs="Times New Roman"/>
          <w:sz w:val="28"/>
          <w:szCs w:val="28"/>
        </w:rPr>
      </w:pPr>
      <w:r w:rsidRPr="00355334">
        <w:rPr>
          <w:rFonts w:ascii="Times New Roman" w:hAnsi="Times New Roman" w:cs="Times New Roman"/>
          <w:sz w:val="28"/>
          <w:szCs w:val="28"/>
        </w:rPr>
        <w:lastRenderedPageBreak/>
        <w:t>Fig.S4</w:t>
      </w:r>
    </w:p>
    <w:p w14:paraId="5AF38529" w14:textId="5A3612D3" w:rsidR="00355334" w:rsidRDefault="008A6C76">
      <w:r>
        <w:rPr>
          <w:noProof/>
        </w:rPr>
        <w:drawing>
          <wp:inline distT="0" distB="0" distL="0" distR="0" wp14:anchorId="677D0EC7" wp14:editId="184E1951">
            <wp:extent cx="5274310" cy="536194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7">
                      <a:extLst>
                        <a:ext uri="{28A0092B-C50C-407E-A947-70E740481C1C}">
                          <a14:useLocalDpi xmlns:a14="http://schemas.microsoft.com/office/drawing/2010/main" val="0"/>
                        </a:ext>
                      </a:extLst>
                    </a:blip>
                    <a:stretch>
                      <a:fillRect/>
                    </a:stretch>
                  </pic:blipFill>
                  <pic:spPr>
                    <a:xfrm>
                      <a:off x="0" y="0"/>
                      <a:ext cx="5274310" cy="5361940"/>
                    </a:xfrm>
                    <a:prstGeom prst="rect">
                      <a:avLst/>
                    </a:prstGeom>
                  </pic:spPr>
                </pic:pic>
              </a:graphicData>
            </a:graphic>
          </wp:inline>
        </w:drawing>
      </w:r>
    </w:p>
    <w:p w14:paraId="40D1439F" w14:textId="0323FE22" w:rsidR="00355334" w:rsidRDefault="00355334"/>
    <w:p w14:paraId="16D90E29" w14:textId="2000EA07" w:rsidR="00355334" w:rsidRDefault="00355334"/>
    <w:p w14:paraId="5E1EE2B0" w14:textId="61EB531A" w:rsidR="00355334" w:rsidRDefault="00355334"/>
    <w:p w14:paraId="1BDFEC22" w14:textId="7872861A" w:rsidR="00355334" w:rsidRDefault="00355334"/>
    <w:p w14:paraId="5C8F84A9" w14:textId="08E132EC" w:rsidR="00355334" w:rsidRDefault="00355334"/>
    <w:p w14:paraId="426B2DF3" w14:textId="24CE8F2F" w:rsidR="00355334" w:rsidRDefault="00355334"/>
    <w:p w14:paraId="2357B1A1" w14:textId="76461FC3" w:rsidR="00355334" w:rsidRDefault="00355334"/>
    <w:p w14:paraId="7B3D7778" w14:textId="001D2BB6" w:rsidR="00355334" w:rsidRDefault="00355334"/>
    <w:p w14:paraId="7A2294FE" w14:textId="1BBAD71A" w:rsidR="00355334" w:rsidRDefault="00355334"/>
    <w:p w14:paraId="69DAC7DA" w14:textId="0931D402" w:rsidR="00355334" w:rsidRDefault="00355334"/>
    <w:p w14:paraId="579F1416" w14:textId="0CD27526" w:rsidR="00355334" w:rsidRDefault="00355334"/>
    <w:p w14:paraId="00E4EE87" w14:textId="699F5B9A" w:rsidR="00355334" w:rsidRDefault="00355334"/>
    <w:p w14:paraId="218A0362" w14:textId="46B07CC6" w:rsidR="00355334" w:rsidRDefault="00355334"/>
    <w:p w14:paraId="6EEE6584" w14:textId="4AB96885" w:rsidR="00355334" w:rsidRDefault="00355334">
      <w:pPr>
        <w:rPr>
          <w:rFonts w:hint="eastAsia"/>
        </w:rPr>
      </w:pPr>
    </w:p>
    <w:p w14:paraId="45EBA1FD" w14:textId="695186DC" w:rsidR="00355334" w:rsidRPr="00355334" w:rsidRDefault="00355334">
      <w:pPr>
        <w:rPr>
          <w:rFonts w:ascii="Times New Roman" w:hAnsi="Times New Roman" w:cs="Times New Roman"/>
          <w:sz w:val="28"/>
          <w:szCs w:val="28"/>
        </w:rPr>
      </w:pPr>
      <w:r w:rsidRPr="00355334">
        <w:rPr>
          <w:rFonts w:ascii="Times New Roman" w:hAnsi="Times New Roman" w:cs="Times New Roman"/>
          <w:sz w:val="28"/>
          <w:szCs w:val="28"/>
        </w:rPr>
        <w:lastRenderedPageBreak/>
        <w:t>Fig.S5</w:t>
      </w:r>
    </w:p>
    <w:p w14:paraId="77AF9D5B" w14:textId="65CFBFE1" w:rsidR="00355334" w:rsidRDefault="008A6C76">
      <w:r>
        <w:rPr>
          <w:noProof/>
        </w:rPr>
        <w:drawing>
          <wp:inline distT="0" distB="0" distL="0" distR="0" wp14:anchorId="6E010B21" wp14:editId="21FECF65">
            <wp:extent cx="5274310" cy="443166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8">
                      <a:extLst>
                        <a:ext uri="{28A0092B-C50C-407E-A947-70E740481C1C}">
                          <a14:useLocalDpi xmlns:a14="http://schemas.microsoft.com/office/drawing/2010/main" val="0"/>
                        </a:ext>
                      </a:extLst>
                    </a:blip>
                    <a:stretch>
                      <a:fillRect/>
                    </a:stretch>
                  </pic:blipFill>
                  <pic:spPr>
                    <a:xfrm>
                      <a:off x="0" y="0"/>
                      <a:ext cx="5274310" cy="4431665"/>
                    </a:xfrm>
                    <a:prstGeom prst="rect">
                      <a:avLst/>
                    </a:prstGeom>
                  </pic:spPr>
                </pic:pic>
              </a:graphicData>
            </a:graphic>
          </wp:inline>
        </w:drawing>
      </w:r>
    </w:p>
    <w:p w14:paraId="5F44060A" w14:textId="491BE696" w:rsidR="00355334" w:rsidRDefault="00355334"/>
    <w:p w14:paraId="4E69E182" w14:textId="4EFD09F9" w:rsidR="00355334" w:rsidRDefault="00355334"/>
    <w:p w14:paraId="5C7475D0" w14:textId="7AD89D07" w:rsidR="00355334" w:rsidRDefault="00355334"/>
    <w:p w14:paraId="630D0808" w14:textId="05FA09BB" w:rsidR="00355334" w:rsidRDefault="00355334"/>
    <w:p w14:paraId="6453F0D8" w14:textId="034B8B3A" w:rsidR="00355334" w:rsidRDefault="00355334"/>
    <w:p w14:paraId="0428F41C" w14:textId="322986F4" w:rsidR="00355334" w:rsidRDefault="00355334"/>
    <w:p w14:paraId="7E2B129F" w14:textId="55766678" w:rsidR="00355334" w:rsidRDefault="00355334"/>
    <w:p w14:paraId="3A45DFD6" w14:textId="25A8F135" w:rsidR="00355334" w:rsidRDefault="00355334"/>
    <w:p w14:paraId="5D3A3746" w14:textId="1D675B0A" w:rsidR="00355334" w:rsidRDefault="00355334"/>
    <w:p w14:paraId="211C439C" w14:textId="545A7B42" w:rsidR="00355334" w:rsidRDefault="00355334"/>
    <w:p w14:paraId="2E3766AC" w14:textId="1E6AAA34" w:rsidR="00355334" w:rsidRDefault="00355334"/>
    <w:p w14:paraId="7D105EEF" w14:textId="7816F30D" w:rsidR="00355334" w:rsidRDefault="00355334"/>
    <w:p w14:paraId="23774039" w14:textId="30E77FFB" w:rsidR="00355334" w:rsidRDefault="00355334"/>
    <w:p w14:paraId="3C259FA5" w14:textId="0A6A4028" w:rsidR="00355334" w:rsidRDefault="00355334"/>
    <w:p w14:paraId="292BEF63" w14:textId="158B6CED" w:rsidR="00355334" w:rsidRDefault="00355334"/>
    <w:p w14:paraId="20DE9046" w14:textId="15518E8C" w:rsidR="00355334" w:rsidRDefault="00355334"/>
    <w:p w14:paraId="74D63E6A" w14:textId="5A255321" w:rsidR="00355334" w:rsidRDefault="00355334"/>
    <w:p w14:paraId="64F3051C" w14:textId="5A17E121" w:rsidR="00355334" w:rsidRDefault="00355334"/>
    <w:p w14:paraId="54C424A3" w14:textId="03BE560A" w:rsidR="00355334" w:rsidRDefault="00355334">
      <w:pPr>
        <w:rPr>
          <w:rFonts w:hint="eastAsia"/>
        </w:rPr>
      </w:pPr>
    </w:p>
    <w:p w14:paraId="141A380A" w14:textId="07B18E6A" w:rsidR="00355334" w:rsidRPr="00355334" w:rsidRDefault="00355334">
      <w:pPr>
        <w:rPr>
          <w:rFonts w:ascii="Times New Roman" w:hAnsi="Times New Roman" w:cs="Times New Roman"/>
          <w:sz w:val="28"/>
          <w:szCs w:val="28"/>
        </w:rPr>
      </w:pPr>
      <w:r w:rsidRPr="00355334">
        <w:rPr>
          <w:rFonts w:ascii="Times New Roman" w:hAnsi="Times New Roman" w:cs="Times New Roman"/>
          <w:sz w:val="28"/>
          <w:szCs w:val="28"/>
        </w:rPr>
        <w:lastRenderedPageBreak/>
        <w:t>Fig.S6</w:t>
      </w:r>
    </w:p>
    <w:p w14:paraId="41B13D4B" w14:textId="4C1AC457" w:rsidR="00355334" w:rsidRDefault="008A6C76">
      <w:r>
        <w:rPr>
          <w:noProof/>
        </w:rPr>
        <w:drawing>
          <wp:inline distT="0" distB="0" distL="0" distR="0" wp14:anchorId="39EB1EB7" wp14:editId="0CF62480">
            <wp:extent cx="5274310" cy="698119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9">
                      <a:extLst>
                        <a:ext uri="{28A0092B-C50C-407E-A947-70E740481C1C}">
                          <a14:useLocalDpi xmlns:a14="http://schemas.microsoft.com/office/drawing/2010/main" val="0"/>
                        </a:ext>
                      </a:extLst>
                    </a:blip>
                    <a:stretch>
                      <a:fillRect/>
                    </a:stretch>
                  </pic:blipFill>
                  <pic:spPr>
                    <a:xfrm>
                      <a:off x="0" y="0"/>
                      <a:ext cx="5274310" cy="6981190"/>
                    </a:xfrm>
                    <a:prstGeom prst="rect">
                      <a:avLst/>
                    </a:prstGeom>
                  </pic:spPr>
                </pic:pic>
              </a:graphicData>
            </a:graphic>
          </wp:inline>
        </w:drawing>
      </w:r>
    </w:p>
    <w:p w14:paraId="4BE81BC5" w14:textId="143463C4" w:rsidR="00355334" w:rsidRDefault="00355334"/>
    <w:p w14:paraId="38E424CE" w14:textId="2364BB12" w:rsidR="00355334" w:rsidRDefault="00355334"/>
    <w:p w14:paraId="6A6958E9" w14:textId="6684C566" w:rsidR="00355334" w:rsidRDefault="00355334"/>
    <w:p w14:paraId="0E95C355" w14:textId="22734F39" w:rsidR="00355334" w:rsidRDefault="00355334"/>
    <w:p w14:paraId="3CB31227" w14:textId="3CCC30D8" w:rsidR="00355334" w:rsidRDefault="00355334"/>
    <w:p w14:paraId="3747496E" w14:textId="44D8CBF7" w:rsidR="00355334" w:rsidRDefault="00355334"/>
    <w:p w14:paraId="7F4AA174" w14:textId="59776349" w:rsidR="00355334" w:rsidRPr="00355334" w:rsidRDefault="00355334">
      <w:pPr>
        <w:rPr>
          <w:rFonts w:ascii="Times New Roman" w:hAnsi="Times New Roman" w:cs="Times New Roman"/>
          <w:sz w:val="28"/>
          <w:szCs w:val="28"/>
        </w:rPr>
      </w:pPr>
      <w:r w:rsidRPr="00355334">
        <w:rPr>
          <w:rFonts w:ascii="Times New Roman" w:hAnsi="Times New Roman" w:cs="Times New Roman"/>
          <w:sz w:val="28"/>
          <w:szCs w:val="28"/>
        </w:rPr>
        <w:lastRenderedPageBreak/>
        <w:t>Fig.S7</w:t>
      </w:r>
    </w:p>
    <w:p w14:paraId="5428D211" w14:textId="7FEBC15B" w:rsidR="00355334" w:rsidRDefault="008A6C76">
      <w:r>
        <w:rPr>
          <w:noProof/>
        </w:rPr>
        <w:drawing>
          <wp:inline distT="0" distB="0" distL="0" distR="0" wp14:anchorId="1265CD74" wp14:editId="7E54E27C">
            <wp:extent cx="5274310" cy="544957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0">
                      <a:extLst>
                        <a:ext uri="{28A0092B-C50C-407E-A947-70E740481C1C}">
                          <a14:useLocalDpi xmlns:a14="http://schemas.microsoft.com/office/drawing/2010/main" val="0"/>
                        </a:ext>
                      </a:extLst>
                    </a:blip>
                    <a:stretch>
                      <a:fillRect/>
                    </a:stretch>
                  </pic:blipFill>
                  <pic:spPr>
                    <a:xfrm>
                      <a:off x="0" y="0"/>
                      <a:ext cx="5274310" cy="5449570"/>
                    </a:xfrm>
                    <a:prstGeom prst="rect">
                      <a:avLst/>
                    </a:prstGeom>
                  </pic:spPr>
                </pic:pic>
              </a:graphicData>
            </a:graphic>
          </wp:inline>
        </w:drawing>
      </w:r>
    </w:p>
    <w:sectPr w:rsidR="0035533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334"/>
    <w:rsid w:val="00043D7F"/>
    <w:rsid w:val="00283710"/>
    <w:rsid w:val="003158AF"/>
    <w:rsid w:val="00355334"/>
    <w:rsid w:val="008840F2"/>
    <w:rsid w:val="008A6C76"/>
    <w:rsid w:val="00C150A9"/>
    <w:rsid w:val="00C568E3"/>
    <w:rsid w:val="00D74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CECD83E"/>
  <w15:chartTrackingRefBased/>
  <w15:docId w15:val="{3CA5C127-83BF-2E42-8F51-737A0845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1111</Words>
  <Characters>6338</Characters>
  <Application>Microsoft Office Word</Application>
  <DocSecurity>0</DocSecurity>
  <Lines>52</Lines>
  <Paragraphs>14</Paragraphs>
  <ScaleCrop>false</ScaleCrop>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zhu</dc:creator>
  <cp:keywords/>
  <dc:description/>
  <cp:lastModifiedBy>Sean zhu</cp:lastModifiedBy>
  <cp:revision>3</cp:revision>
  <dcterms:created xsi:type="dcterms:W3CDTF">2021-09-04T05:20:00Z</dcterms:created>
  <dcterms:modified xsi:type="dcterms:W3CDTF">2021-10-09T06:18:00Z</dcterms:modified>
</cp:coreProperties>
</file>