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2B3843" w14:textId="2F24A59F" w:rsidR="00492905" w:rsidRPr="00C41867" w:rsidRDefault="005139A4">
      <w:pPr>
        <w:rPr>
          <w:b/>
          <w:bCs/>
          <w:sz w:val="24"/>
          <w:szCs w:val="24"/>
          <w:lang w:val="en-US"/>
        </w:rPr>
      </w:pPr>
      <w:r w:rsidRPr="00C41867">
        <w:rPr>
          <w:b/>
          <w:bCs/>
          <w:sz w:val="24"/>
          <w:szCs w:val="24"/>
          <w:lang w:val="en-US"/>
        </w:rPr>
        <w:t>Supplement</w:t>
      </w:r>
      <w:r w:rsidR="008A0FF3" w:rsidRPr="00C41867">
        <w:rPr>
          <w:b/>
          <w:bCs/>
          <w:sz w:val="24"/>
          <w:szCs w:val="24"/>
          <w:lang w:val="en-US"/>
        </w:rPr>
        <w:t xml:space="preserve"> </w:t>
      </w:r>
    </w:p>
    <w:p w14:paraId="34FB38A4" w14:textId="77777777" w:rsidR="008A0FF3" w:rsidRPr="00C41867" w:rsidRDefault="008A0FF3">
      <w:pPr>
        <w:rPr>
          <w:b/>
          <w:bCs/>
          <w:sz w:val="24"/>
          <w:szCs w:val="24"/>
          <w:lang w:val="en-US"/>
        </w:rPr>
      </w:pPr>
    </w:p>
    <w:p w14:paraId="601E442B" w14:textId="5391A40F" w:rsidR="008A0FF3" w:rsidRPr="00C41867" w:rsidRDefault="008A0FF3">
      <w:pPr>
        <w:rPr>
          <w:b/>
          <w:bCs/>
          <w:sz w:val="24"/>
          <w:szCs w:val="24"/>
          <w:lang w:val="en-US"/>
        </w:rPr>
      </w:pPr>
      <w:r w:rsidRPr="00C41867">
        <w:rPr>
          <w:b/>
          <w:bCs/>
          <w:sz w:val="24"/>
          <w:szCs w:val="24"/>
          <w:lang w:val="en-US"/>
        </w:rPr>
        <w:t xml:space="preserve">Navaratnarajah et al. “Mesenchymal stem cells improve redox homeostasis and mitochondrial respiration in fibroblast cell lines with pathogenic </w:t>
      </w:r>
      <w:r w:rsidRPr="00C41867">
        <w:rPr>
          <w:b/>
          <w:bCs/>
          <w:i/>
          <w:sz w:val="24"/>
          <w:szCs w:val="24"/>
          <w:lang w:val="en-US"/>
        </w:rPr>
        <w:t>MT-ND3</w:t>
      </w:r>
      <w:r w:rsidRPr="00C41867">
        <w:rPr>
          <w:b/>
          <w:bCs/>
          <w:sz w:val="24"/>
          <w:szCs w:val="24"/>
          <w:lang w:val="en-US"/>
        </w:rPr>
        <w:t xml:space="preserve"> and </w:t>
      </w:r>
      <w:r w:rsidRPr="00C41867">
        <w:rPr>
          <w:b/>
          <w:bCs/>
          <w:i/>
          <w:sz w:val="24"/>
          <w:szCs w:val="24"/>
          <w:lang w:val="en-US"/>
        </w:rPr>
        <w:t>MT-ND6</w:t>
      </w:r>
      <w:r w:rsidRPr="00C41867">
        <w:rPr>
          <w:b/>
          <w:bCs/>
          <w:sz w:val="24"/>
          <w:szCs w:val="24"/>
          <w:lang w:val="en-US"/>
        </w:rPr>
        <w:t xml:space="preserve"> variants”</w:t>
      </w:r>
    </w:p>
    <w:p w14:paraId="3444B7D9" w14:textId="4B4DC60A" w:rsidR="005139A4" w:rsidRPr="00C41867" w:rsidRDefault="005139A4">
      <w:pPr>
        <w:rPr>
          <w:sz w:val="24"/>
          <w:szCs w:val="24"/>
          <w:lang w:val="en-US"/>
        </w:rPr>
      </w:pPr>
    </w:p>
    <w:p w14:paraId="01B34F0B" w14:textId="565B35FC" w:rsidR="005139A4" w:rsidRPr="00C41867" w:rsidRDefault="008A0FF3">
      <w:pPr>
        <w:rPr>
          <w:b/>
          <w:bCs/>
          <w:lang w:val="en-US"/>
        </w:rPr>
      </w:pPr>
      <w:r w:rsidRPr="00C41867">
        <w:rPr>
          <w:b/>
          <w:bCs/>
          <w:sz w:val="24"/>
          <w:szCs w:val="24"/>
          <w:lang w:val="en-US"/>
        </w:rPr>
        <w:t>Supplemental material and m</w:t>
      </w:r>
      <w:r w:rsidR="005139A4" w:rsidRPr="00C41867">
        <w:rPr>
          <w:b/>
          <w:bCs/>
          <w:sz w:val="24"/>
          <w:szCs w:val="24"/>
          <w:lang w:val="en-US"/>
        </w:rPr>
        <w:t>ethods</w:t>
      </w:r>
      <w:r w:rsidR="005139A4" w:rsidRPr="00C41867">
        <w:rPr>
          <w:b/>
          <w:bCs/>
          <w:lang w:val="en-US"/>
        </w:rPr>
        <w:br/>
      </w:r>
    </w:p>
    <w:p w14:paraId="275C66F7" w14:textId="77777777" w:rsidR="005139A4" w:rsidRPr="00C41867" w:rsidRDefault="005139A4" w:rsidP="005139A4">
      <w:pPr>
        <w:pStyle w:val="NoSpacing"/>
        <w:spacing w:line="360" w:lineRule="auto"/>
        <w:jc w:val="both"/>
        <w:rPr>
          <w:b/>
          <w:bCs/>
          <w:sz w:val="24"/>
          <w:szCs w:val="24"/>
          <w:lang w:val="en-GB"/>
        </w:rPr>
      </w:pPr>
      <w:r w:rsidRPr="00C41867">
        <w:rPr>
          <w:b/>
          <w:bCs/>
          <w:sz w:val="24"/>
          <w:szCs w:val="24"/>
          <w:lang w:val="en-GB"/>
        </w:rPr>
        <w:t>Glutathione colorimetric detection assay</w:t>
      </w:r>
    </w:p>
    <w:p w14:paraId="1EE6E4AE" w14:textId="48CE271F" w:rsidR="005139A4" w:rsidRPr="00C41867" w:rsidRDefault="005139A4" w:rsidP="005139A4">
      <w:pPr>
        <w:pStyle w:val="NoSpacing"/>
        <w:spacing w:line="360" w:lineRule="auto"/>
        <w:jc w:val="both"/>
        <w:rPr>
          <w:sz w:val="24"/>
          <w:szCs w:val="24"/>
          <w:lang w:val="en-GB"/>
        </w:rPr>
      </w:pPr>
      <w:r w:rsidRPr="00C41867">
        <w:rPr>
          <w:sz w:val="24"/>
          <w:szCs w:val="24"/>
          <w:lang w:val="en-GB"/>
        </w:rPr>
        <w:t>Total glutathione (GSH) levels and its oxidi</w:t>
      </w:r>
      <w:r w:rsidR="00700E61" w:rsidRPr="00C41867">
        <w:rPr>
          <w:sz w:val="24"/>
          <w:szCs w:val="24"/>
          <w:lang w:val="en-GB"/>
        </w:rPr>
        <w:t>s</w:t>
      </w:r>
      <w:r w:rsidRPr="00C41867">
        <w:rPr>
          <w:sz w:val="24"/>
          <w:szCs w:val="24"/>
          <w:lang w:val="en-GB"/>
        </w:rPr>
        <w:t xml:space="preserve">ed GSH dimer (GSSG) were measured using a commercially available colorimetric detection kit (Thermo Scientific). Cells were harvested and lysed with 5 % 5-sulfo-salicylic acid </w:t>
      </w:r>
      <w:proofErr w:type="spellStart"/>
      <w:r w:rsidRPr="00C41867">
        <w:rPr>
          <w:sz w:val="24"/>
          <w:szCs w:val="24"/>
          <w:lang w:val="en-GB"/>
        </w:rPr>
        <w:t>dihydrate</w:t>
      </w:r>
      <w:proofErr w:type="spellEnd"/>
      <w:r w:rsidRPr="00C41867">
        <w:rPr>
          <w:sz w:val="24"/>
          <w:szCs w:val="24"/>
          <w:lang w:val="en-GB"/>
        </w:rPr>
        <w:t xml:space="preserve"> (pH 6.0) (SSA) and by five freeze-thaw cycles. Lysates were incubated 10 min on ice, followed by centrifugation (13.000 rpm, 30 min, </w:t>
      </w:r>
      <w:proofErr w:type="gramStart"/>
      <w:r w:rsidRPr="00C41867">
        <w:rPr>
          <w:sz w:val="24"/>
          <w:szCs w:val="24"/>
          <w:lang w:val="en-GB"/>
        </w:rPr>
        <w:t>4</w:t>
      </w:r>
      <w:proofErr w:type="gramEnd"/>
      <w:r w:rsidRPr="00C41867">
        <w:rPr>
          <w:sz w:val="24"/>
          <w:szCs w:val="24"/>
          <w:lang w:val="en-GB"/>
        </w:rPr>
        <w:t>°C). Half of the supernatant was treated 1 h at room temperature with 2-vinylpyridine (2-VP) to block free GSH and other thiols to determine oxidi</w:t>
      </w:r>
      <w:r w:rsidR="00700E61" w:rsidRPr="00C41867">
        <w:rPr>
          <w:sz w:val="24"/>
          <w:szCs w:val="24"/>
          <w:lang w:val="en-GB"/>
        </w:rPr>
        <w:t>s</w:t>
      </w:r>
      <w:r w:rsidRPr="00C41867">
        <w:rPr>
          <w:sz w:val="24"/>
          <w:szCs w:val="24"/>
          <w:lang w:val="en-GB"/>
        </w:rPr>
        <w:t>ed GSH levels.  All cell lysates were then diluted 1:5 with assay buffer and again 1:4 with sample diluent (assay buffer with 1 % SSA) (final dilution 1:20). Two standard series were prepared according to manufacturer’s instructions, either treated or not treated with 2-VP. Samples were applied to enclosed 96-</w:t>
      </w:r>
      <w:proofErr w:type="gramStart"/>
      <w:r w:rsidRPr="00C41867">
        <w:rPr>
          <w:sz w:val="24"/>
          <w:szCs w:val="24"/>
          <w:lang w:val="en-GB"/>
        </w:rPr>
        <w:t>well</w:t>
      </w:r>
      <w:proofErr w:type="gramEnd"/>
      <w:r w:rsidRPr="00C41867">
        <w:rPr>
          <w:sz w:val="24"/>
          <w:szCs w:val="24"/>
          <w:lang w:val="en-GB"/>
        </w:rPr>
        <w:t xml:space="preserve"> half area plates together with detection reagent and reaction mixture containing NADH concentrate und glutathione reductase concentrate and mixed well. After a 20 min incubation step, absorbance was measured at 405 nm. Total GSH concentration was read from the untreated standard curve, while GSSG concentration is half of the concentration read from the 2-VP-treated standard curve. The difference of both values gives concentration of free GSH in the samples. The values were expressed in µM of glutathione and were normalised to protein content of the samples. The ratio is given as free GSH concentration/GSSG concentration.</w:t>
      </w:r>
    </w:p>
    <w:p w14:paraId="6D8BCDA0" w14:textId="62BAB6B4" w:rsidR="00443310" w:rsidRPr="00C41867" w:rsidRDefault="00443310"/>
    <w:p w14:paraId="2F05E814" w14:textId="73229525" w:rsidR="008A0FF3" w:rsidRPr="00C41867" w:rsidRDefault="00443310">
      <w:r w:rsidRPr="00C41867">
        <w:br w:type="page"/>
      </w:r>
    </w:p>
    <w:p w14:paraId="18E9F723" w14:textId="5FDFA1B8" w:rsidR="005139A4" w:rsidRPr="00C41867" w:rsidRDefault="008A0FF3">
      <w:pPr>
        <w:rPr>
          <w:b/>
          <w:bCs/>
          <w:sz w:val="24"/>
          <w:szCs w:val="24"/>
        </w:rPr>
      </w:pPr>
      <w:r w:rsidRPr="00C41867">
        <w:rPr>
          <w:b/>
          <w:bCs/>
          <w:sz w:val="24"/>
          <w:szCs w:val="24"/>
        </w:rPr>
        <w:lastRenderedPageBreak/>
        <w:t>Supplemental Figure 1</w:t>
      </w:r>
      <w:r w:rsidR="00443310" w:rsidRPr="00C41867">
        <w:rPr>
          <w:b/>
          <w:bCs/>
          <w:sz w:val="24"/>
          <w:szCs w:val="24"/>
        </w:rPr>
        <w:t xml:space="preserve">: </w:t>
      </w:r>
      <w:r w:rsidR="001D0382" w:rsidRPr="00C41867">
        <w:rPr>
          <w:b/>
          <w:bCs/>
          <w:sz w:val="24"/>
          <w:szCs w:val="24"/>
        </w:rPr>
        <w:t xml:space="preserve">Investigation of cellular antioxidant defence systems </w:t>
      </w:r>
      <w:r w:rsidR="00443310" w:rsidRPr="00C41867">
        <w:rPr>
          <w:b/>
          <w:bCs/>
          <w:sz w:val="24"/>
          <w:szCs w:val="24"/>
        </w:rPr>
        <w:t>in control and patient</w:t>
      </w:r>
      <w:r w:rsidR="001D0382" w:rsidRPr="00C41867">
        <w:rPr>
          <w:b/>
          <w:bCs/>
          <w:sz w:val="24"/>
          <w:szCs w:val="24"/>
        </w:rPr>
        <w:t>-derived</w:t>
      </w:r>
      <w:r w:rsidR="00443310" w:rsidRPr="00C41867">
        <w:rPr>
          <w:b/>
          <w:bCs/>
          <w:sz w:val="24"/>
          <w:szCs w:val="24"/>
        </w:rPr>
        <w:t xml:space="preserve"> fibroblasts after co-culturing with MSCs</w:t>
      </w:r>
    </w:p>
    <w:p w14:paraId="07CD200B" w14:textId="27BFAD06" w:rsidR="001D0382" w:rsidRPr="00C41867" w:rsidRDefault="001D0382" w:rsidP="001D0382">
      <w:pPr>
        <w:spacing w:after="0" w:line="360" w:lineRule="auto"/>
        <w:jc w:val="both"/>
        <w:rPr>
          <w:rFonts w:ascii="Calibri" w:eastAsia="Calibri" w:hAnsi="Calibri" w:cs="Times New Roman"/>
          <w:sz w:val="24"/>
          <w:szCs w:val="24"/>
        </w:rPr>
      </w:pPr>
      <w:r w:rsidRPr="00C41867">
        <w:rPr>
          <w:rFonts w:ascii="Calibri" w:eastAsia="Calibri" w:hAnsi="Calibri" w:cs="Times New Roman"/>
          <w:sz w:val="24"/>
          <w:szCs w:val="24"/>
        </w:rPr>
        <w:t xml:space="preserve">A) Total GSH (GSH + GSSG) levels measured </w:t>
      </w:r>
      <w:proofErr w:type="spellStart"/>
      <w:r w:rsidRPr="00C41867">
        <w:rPr>
          <w:rFonts w:ascii="Calibri" w:eastAsia="Calibri" w:hAnsi="Calibri" w:cs="Times New Roman"/>
          <w:sz w:val="24"/>
          <w:szCs w:val="24"/>
        </w:rPr>
        <w:t>colorimetrically</w:t>
      </w:r>
      <w:proofErr w:type="spellEnd"/>
      <w:r w:rsidRPr="00C41867">
        <w:rPr>
          <w:rFonts w:ascii="Calibri" w:eastAsia="Calibri" w:hAnsi="Calibri" w:cs="Times New Roman"/>
          <w:sz w:val="24"/>
          <w:szCs w:val="24"/>
        </w:rPr>
        <w:t xml:space="preserve"> at 405 nm for untreated and MSC-treated (+) fibroblasts. Levels are only increased for patient MT-ND3a, which are reduced upon MSC-treatment. </w:t>
      </w:r>
      <w:r w:rsidRPr="00C41867">
        <w:rPr>
          <w:rFonts w:ascii="Calibri" w:eastAsia="Calibri" w:hAnsi="Calibri" w:cs="Times New Roman"/>
          <w:sz w:val="24"/>
          <w:szCs w:val="24"/>
        </w:rPr>
        <w:br/>
        <w:t>B) GSH</w:t>
      </w:r>
      <w:proofErr w:type="gramStart"/>
      <w:r w:rsidRPr="00C41867">
        <w:rPr>
          <w:rFonts w:ascii="Calibri" w:eastAsia="Calibri" w:hAnsi="Calibri" w:cs="Times New Roman"/>
          <w:sz w:val="24"/>
          <w:szCs w:val="24"/>
        </w:rPr>
        <w:t>:GSSG</w:t>
      </w:r>
      <w:proofErr w:type="gramEnd"/>
      <w:r w:rsidRPr="00C41867">
        <w:rPr>
          <w:rFonts w:ascii="Calibri" w:eastAsia="Calibri" w:hAnsi="Calibri" w:cs="Times New Roman"/>
          <w:sz w:val="24"/>
          <w:szCs w:val="24"/>
        </w:rPr>
        <w:t xml:space="preserve"> ratios under steady-state levels and after 72 h co-culture with MSCs normalised to untreated control. No differences were detected. Date are shown as mean of four independent experiments </w:t>
      </w:r>
      <w:r w:rsidRPr="00C41867">
        <w:rPr>
          <w:rFonts w:ascii="Calibri" w:eastAsia="Calibri" w:hAnsi="Calibri" w:cs="Calibri"/>
          <w:sz w:val="24"/>
          <w:szCs w:val="24"/>
        </w:rPr>
        <w:t>±</w:t>
      </w:r>
      <w:r w:rsidRPr="00C41867">
        <w:rPr>
          <w:rFonts w:ascii="Calibri" w:eastAsia="Calibri" w:hAnsi="Calibri" w:cs="Times New Roman"/>
          <w:sz w:val="24"/>
          <w:szCs w:val="24"/>
        </w:rPr>
        <w:t xml:space="preserve"> SEM. ** p&lt;0.01, *** p&lt;0.001.</w:t>
      </w:r>
    </w:p>
    <w:p w14:paraId="6352FECA" w14:textId="1C3BF6F3" w:rsidR="001D0382" w:rsidRPr="001D0382" w:rsidRDefault="001127F1" w:rsidP="001D0382">
      <w:pPr>
        <w:spacing w:after="0" w:line="360" w:lineRule="auto"/>
        <w:jc w:val="both"/>
        <w:rPr>
          <w:rFonts w:ascii="Calibri" w:eastAsia="Calibri" w:hAnsi="Calibri" w:cs="Times New Roman"/>
          <w:sz w:val="24"/>
          <w:szCs w:val="24"/>
        </w:rPr>
      </w:pPr>
      <w:r w:rsidRPr="00C41867">
        <w:rPr>
          <w:rFonts w:ascii="Calibri" w:eastAsia="Calibri" w:hAnsi="Calibri" w:cs="Times New Roman"/>
          <w:sz w:val="24"/>
          <w:szCs w:val="24"/>
        </w:rPr>
        <w:t>C-E</w:t>
      </w:r>
      <w:r w:rsidR="001D0382" w:rsidRPr="00C41867">
        <w:rPr>
          <w:rFonts w:ascii="Calibri" w:eastAsia="Calibri" w:hAnsi="Calibri" w:cs="Times New Roman"/>
          <w:sz w:val="24"/>
          <w:szCs w:val="24"/>
        </w:rPr>
        <w:t xml:space="preserve">) Representative Western blot results from nuclear and cytosolic fraction analysed for Nrf2 and loading controls and marker SDHA (mitochondrial), GAPDH (cytosolic), HDAC1 (nuclear) and </w:t>
      </w:r>
      <w:r w:rsidR="001D0382" w:rsidRPr="00C41867">
        <w:rPr>
          <w:rFonts w:ascii="Calibri" w:eastAsia="Calibri" w:hAnsi="Calibri" w:cs="Calibri"/>
          <w:sz w:val="24"/>
          <w:szCs w:val="24"/>
        </w:rPr>
        <w:t>α</w:t>
      </w:r>
      <w:r w:rsidR="001D0382" w:rsidRPr="00C41867">
        <w:rPr>
          <w:rFonts w:ascii="Calibri" w:eastAsia="Calibri" w:hAnsi="Calibri" w:cs="Times New Roman"/>
          <w:sz w:val="24"/>
          <w:szCs w:val="24"/>
        </w:rPr>
        <w:t xml:space="preserve">-Tubulin (cytosolic) and respective quantitative analysis from original blots of three independent experiments. Data are expressed as mean </w:t>
      </w:r>
      <w:r w:rsidR="001D0382" w:rsidRPr="00C41867">
        <w:rPr>
          <w:rFonts w:ascii="Calibri" w:eastAsia="Calibri" w:hAnsi="Calibri" w:cs="Calibri"/>
          <w:sz w:val="24"/>
          <w:szCs w:val="24"/>
        </w:rPr>
        <w:t>±</w:t>
      </w:r>
      <w:r w:rsidR="001D0382" w:rsidRPr="00C41867">
        <w:rPr>
          <w:rFonts w:ascii="Calibri" w:eastAsia="Calibri" w:hAnsi="Calibri" w:cs="Times New Roman"/>
          <w:sz w:val="24"/>
          <w:szCs w:val="24"/>
        </w:rPr>
        <w:t xml:space="preserve"> SD. * p&lt;0.05.</w:t>
      </w:r>
      <w:bookmarkStart w:id="0" w:name="_GoBack"/>
      <w:bookmarkEnd w:id="0"/>
    </w:p>
    <w:p w14:paraId="504AF2BD" w14:textId="77777777" w:rsidR="001D0382" w:rsidRPr="005139A4" w:rsidRDefault="001D0382"/>
    <w:sectPr w:rsidR="001D0382" w:rsidRPr="005139A4" w:rsidSect="00F8586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98048F"/>
    <w:multiLevelType w:val="multilevel"/>
    <w:tmpl w:val="9260EA90"/>
    <w:lvl w:ilvl="0">
      <w:start w:val="1"/>
      <w:numFmt w:val="decimal"/>
      <w:lvlText w:val="%1"/>
      <w:lvlJc w:val="left"/>
      <w:pPr>
        <w:tabs>
          <w:tab w:val="num" w:pos="283"/>
        </w:tabs>
        <w:ind w:left="283" w:hanging="283"/>
      </w:pPr>
      <w:rPr>
        <w:rFonts w:ascii="Times New Roman" w:hAnsi="Times New Roman" w:cs="Times New Roman" w:hint="default"/>
        <w:sz w:val="28"/>
        <w:szCs w:val="28"/>
      </w:rPr>
    </w:lvl>
    <w:lvl w:ilvl="1">
      <w:start w:val="1"/>
      <w:numFmt w:val="decimal"/>
      <w:lvlText w:val="%1.%2"/>
      <w:lvlJc w:val="left"/>
      <w:pPr>
        <w:tabs>
          <w:tab w:val="num" w:pos="718"/>
        </w:tabs>
        <w:ind w:left="718" w:hanging="718"/>
      </w:pPr>
      <w:rPr>
        <w:rFonts w:hint="default"/>
      </w:rPr>
    </w:lvl>
    <w:lvl w:ilvl="2">
      <w:start w:val="1"/>
      <w:numFmt w:val="decimal"/>
      <w:pStyle w:val="Heading3"/>
      <w:lvlText w:val="%1.%2.%3"/>
      <w:lvlJc w:val="left"/>
      <w:pPr>
        <w:tabs>
          <w:tab w:val="num" w:pos="720"/>
        </w:tabs>
        <w:ind w:left="720" w:hanging="720"/>
      </w:pPr>
      <w:rPr>
        <w:rFonts w:hint="default"/>
        <w:b/>
        <w:bCs w:val="0"/>
      </w:rPr>
    </w:lvl>
    <w:lvl w:ilvl="3">
      <w:start w:val="1"/>
      <w:numFmt w:val="decimal"/>
      <w:pStyle w:val="Heading4"/>
      <w:lvlText w:val="%1.%2.%3.%4"/>
      <w:lvlJc w:val="left"/>
      <w:pPr>
        <w:tabs>
          <w:tab w:val="num" w:pos="864"/>
        </w:tabs>
        <w:ind w:left="864" w:hanging="864"/>
      </w:pPr>
      <w:rPr>
        <w:rFonts w:hint="default"/>
        <w:i w:val="0"/>
        <w:iCs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7F5A62B4"/>
    <w:multiLevelType w:val="hybridMultilevel"/>
    <w:tmpl w:val="0E900140"/>
    <w:lvl w:ilvl="0" w:tplc="AB4AC132">
      <w:start w:val="1"/>
      <w:numFmt w:val="decimal"/>
      <w:pStyle w:val="Heading2"/>
      <w:lvlText w:val="%1.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9A4"/>
    <w:rsid w:val="000A411A"/>
    <w:rsid w:val="001127F1"/>
    <w:rsid w:val="00137512"/>
    <w:rsid w:val="001D0382"/>
    <w:rsid w:val="002227B2"/>
    <w:rsid w:val="00291E88"/>
    <w:rsid w:val="00443310"/>
    <w:rsid w:val="005139A4"/>
    <w:rsid w:val="005C4405"/>
    <w:rsid w:val="006A3E26"/>
    <w:rsid w:val="006B4C9A"/>
    <w:rsid w:val="00700E61"/>
    <w:rsid w:val="007624BA"/>
    <w:rsid w:val="008A0FF3"/>
    <w:rsid w:val="008B52A1"/>
    <w:rsid w:val="00AF1C47"/>
    <w:rsid w:val="00BF7447"/>
    <w:rsid w:val="00C41867"/>
    <w:rsid w:val="00DC2272"/>
    <w:rsid w:val="00DE1ED2"/>
    <w:rsid w:val="00F633AC"/>
    <w:rsid w:val="00F71C19"/>
    <w:rsid w:val="00F85868"/>
    <w:rsid w:val="00FB15E1"/>
  </w:rsids>
  <m:mathPr>
    <m:mathFont m:val="Cambria Math"/>
    <m:brkBin m:val="before"/>
    <m:brkBinSub m:val="--"/>
    <m:smallFrac m:val="0"/>
    <m:dispDef/>
    <m:lMargin m:val="0"/>
    <m:rMargin m:val="0"/>
    <m:defJc m:val="centerGroup"/>
    <m:wrapIndent m:val="1440"/>
    <m:intLim m:val="subSup"/>
    <m:naryLim m:val="undOvr"/>
  </m:mathPr>
  <w:themeFontLang w:val="de-DE"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B94C2"/>
  <w15:chartTrackingRefBased/>
  <w15:docId w15:val="{5BC02C09-3BF0-48A4-9B90-AA1C2FC72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autoRedefine/>
    <w:uiPriority w:val="9"/>
    <w:qFormat/>
    <w:rsid w:val="00137512"/>
    <w:pPr>
      <w:keepNext/>
      <w:keepLines/>
      <w:spacing w:after="240"/>
      <w:outlineLvl w:val="0"/>
    </w:pPr>
    <w:rPr>
      <w:rFonts w:ascii="Times New Roman" w:eastAsiaTheme="majorEastAsia" w:hAnsi="Times New Roman" w:cs="Times New Roman"/>
      <w:b/>
      <w:color w:val="000000" w:themeColor="text1"/>
      <w:sz w:val="28"/>
      <w:szCs w:val="32"/>
      <w:lang w:eastAsia="de-DE"/>
    </w:rPr>
  </w:style>
  <w:style w:type="paragraph" w:styleId="Heading2">
    <w:name w:val="heading 2"/>
    <w:basedOn w:val="Normal"/>
    <w:next w:val="Normal"/>
    <w:link w:val="Heading2Char"/>
    <w:autoRedefine/>
    <w:uiPriority w:val="9"/>
    <w:unhideWhenUsed/>
    <w:qFormat/>
    <w:rsid w:val="00FB15E1"/>
    <w:pPr>
      <w:keepNext/>
      <w:numPr>
        <w:numId w:val="10"/>
      </w:numPr>
      <w:spacing w:after="240"/>
      <w:jc w:val="both"/>
      <w:outlineLvl w:val="1"/>
    </w:pPr>
    <w:rPr>
      <w:rFonts w:ascii="Times New Roman" w:eastAsia="Times New Roman" w:hAnsi="Times New Roman" w:cs="Times New Roman"/>
      <w:b/>
      <w:bCs/>
      <w:iCs/>
      <w:kern w:val="2"/>
      <w:sz w:val="24"/>
      <w:szCs w:val="24"/>
      <w:lang w:eastAsia="de-DE"/>
    </w:rPr>
  </w:style>
  <w:style w:type="paragraph" w:styleId="Heading3">
    <w:name w:val="heading 3"/>
    <w:basedOn w:val="Normal"/>
    <w:next w:val="Normal"/>
    <w:link w:val="Heading3Char"/>
    <w:autoRedefine/>
    <w:uiPriority w:val="9"/>
    <w:unhideWhenUsed/>
    <w:qFormat/>
    <w:rsid w:val="008B52A1"/>
    <w:pPr>
      <w:keepNext/>
      <w:numPr>
        <w:ilvl w:val="2"/>
        <w:numId w:val="9"/>
      </w:numPr>
      <w:spacing w:before="240" w:after="120"/>
      <w:outlineLvl w:val="2"/>
    </w:pPr>
    <w:rPr>
      <w:rFonts w:ascii="Times New Roman" w:eastAsia="Times New Roman" w:hAnsi="Times New Roman" w:cs="Arial"/>
      <w:b/>
      <w:bCs/>
      <w:kern w:val="2"/>
      <w:sz w:val="24"/>
      <w:szCs w:val="26"/>
      <w:lang w:eastAsia="de-DE"/>
    </w:rPr>
  </w:style>
  <w:style w:type="paragraph" w:styleId="Heading4">
    <w:name w:val="heading 4"/>
    <w:basedOn w:val="Normal"/>
    <w:next w:val="Normal"/>
    <w:link w:val="Heading4Char"/>
    <w:autoRedefine/>
    <w:uiPriority w:val="9"/>
    <w:unhideWhenUsed/>
    <w:qFormat/>
    <w:rsid w:val="008B52A1"/>
    <w:pPr>
      <w:keepNext/>
      <w:numPr>
        <w:ilvl w:val="3"/>
        <w:numId w:val="9"/>
      </w:numPr>
      <w:spacing w:before="240" w:after="60"/>
      <w:outlineLvl w:val="3"/>
    </w:pPr>
    <w:rPr>
      <w:rFonts w:ascii="Times New Roman" w:eastAsia="Times New Roman" w:hAnsi="Times New Roman" w:cs="Times New Roman"/>
      <w:bCs/>
      <w:kern w:val="2"/>
      <w:sz w:val="24"/>
      <w:szCs w:val="28"/>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512"/>
    <w:rPr>
      <w:rFonts w:ascii="Times New Roman" w:eastAsiaTheme="majorEastAsia" w:hAnsi="Times New Roman" w:cs="Times New Roman"/>
      <w:b/>
      <w:color w:val="000000" w:themeColor="text1"/>
      <w:sz w:val="28"/>
      <w:szCs w:val="32"/>
      <w:lang w:eastAsia="de-DE"/>
    </w:rPr>
  </w:style>
  <w:style w:type="character" w:customStyle="1" w:styleId="Heading2Char">
    <w:name w:val="Heading 2 Char"/>
    <w:basedOn w:val="DefaultParagraphFont"/>
    <w:link w:val="Heading2"/>
    <w:uiPriority w:val="9"/>
    <w:rsid w:val="00FB15E1"/>
    <w:rPr>
      <w:rFonts w:ascii="Times New Roman" w:eastAsia="Times New Roman" w:hAnsi="Times New Roman" w:cs="Times New Roman"/>
      <w:b/>
      <w:bCs/>
      <w:iCs/>
      <w:kern w:val="2"/>
      <w:sz w:val="24"/>
      <w:szCs w:val="24"/>
      <w:lang w:eastAsia="de-DE"/>
    </w:rPr>
  </w:style>
  <w:style w:type="character" w:customStyle="1" w:styleId="Heading3Char">
    <w:name w:val="Heading 3 Char"/>
    <w:basedOn w:val="DefaultParagraphFont"/>
    <w:link w:val="Heading3"/>
    <w:uiPriority w:val="9"/>
    <w:rsid w:val="008B52A1"/>
    <w:rPr>
      <w:rFonts w:ascii="Times New Roman" w:eastAsia="Times New Roman" w:hAnsi="Times New Roman" w:cs="Arial"/>
      <w:b/>
      <w:bCs/>
      <w:kern w:val="2"/>
      <w:sz w:val="24"/>
      <w:szCs w:val="26"/>
      <w:lang w:eastAsia="de-DE"/>
    </w:rPr>
  </w:style>
  <w:style w:type="character" w:customStyle="1" w:styleId="Heading4Char">
    <w:name w:val="Heading 4 Char"/>
    <w:basedOn w:val="DefaultParagraphFont"/>
    <w:link w:val="Heading4"/>
    <w:uiPriority w:val="9"/>
    <w:rsid w:val="008B52A1"/>
    <w:rPr>
      <w:rFonts w:ascii="Times New Roman" w:eastAsia="Times New Roman" w:hAnsi="Times New Roman" w:cs="Times New Roman"/>
      <w:bCs/>
      <w:kern w:val="2"/>
      <w:sz w:val="24"/>
      <w:szCs w:val="28"/>
      <w:lang w:eastAsia="de-DE"/>
    </w:rPr>
  </w:style>
  <w:style w:type="paragraph" w:styleId="TOCHeading">
    <w:name w:val="TOC Heading"/>
    <w:basedOn w:val="Heading1"/>
    <w:next w:val="Normal"/>
    <w:autoRedefine/>
    <w:uiPriority w:val="39"/>
    <w:unhideWhenUsed/>
    <w:qFormat/>
    <w:rsid w:val="00137512"/>
    <w:pPr>
      <w:spacing w:before="240" w:after="0"/>
      <w:outlineLvl w:val="9"/>
    </w:pPr>
    <w:rPr>
      <w:rFonts w:cstheme="majorBidi"/>
      <w:b w:val="0"/>
      <w:bCs/>
      <w:color w:val="auto"/>
    </w:rPr>
  </w:style>
  <w:style w:type="paragraph" w:styleId="NoSpacing">
    <w:name w:val="No Spacing"/>
    <w:uiPriority w:val="1"/>
    <w:qFormat/>
    <w:rsid w:val="005139A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2252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Tharsini Rajah</dc:creator>
  <cp:keywords/>
  <dc:description/>
  <cp:lastModifiedBy>Suresh kumar.S</cp:lastModifiedBy>
  <cp:revision>5</cp:revision>
  <dcterms:created xsi:type="dcterms:W3CDTF">2022-04-06T08:35:00Z</dcterms:created>
  <dcterms:modified xsi:type="dcterms:W3CDTF">2022-06-03T04:42:00Z</dcterms:modified>
</cp:coreProperties>
</file>