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page" w:horzAnchor="margin" w:tblpY="1433"/>
        <w:tblW w:w="1419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85"/>
        <w:gridCol w:w="5934"/>
        <w:gridCol w:w="6671"/>
      </w:tblGrid>
      <w:tr w:rsidR="001A0D6B" w:rsidRPr="00683784" w14:paraId="1C35171E" w14:textId="77777777" w:rsidTr="001A0D6B">
        <w:trPr>
          <w:trHeight w:val="357"/>
        </w:trPr>
        <w:tc>
          <w:tcPr>
            <w:tcW w:w="14190" w:type="dxa"/>
            <w:gridSpan w:val="3"/>
            <w:tcBorders>
              <w:bottom w:val="single" w:sz="4" w:space="0" w:color="auto"/>
            </w:tcBorders>
          </w:tcPr>
          <w:p w14:paraId="0973028A" w14:textId="2E1477B1" w:rsidR="001A0D6B" w:rsidRPr="005502CC" w:rsidRDefault="00EE3B51" w:rsidP="001A0D6B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E3B51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Supplementary</w:t>
            </w:r>
            <w:r w:rsidRPr="00EE3B51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 </w:t>
            </w:r>
            <w:r w:rsidR="001A0D6B" w:rsidRPr="005502CC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Table 3 </w:t>
            </w:r>
            <w:r w:rsidR="001A0D6B" w:rsidRPr="005502CC">
              <w:rPr>
                <w:rFonts w:ascii="Times New Roman" w:hAnsi="Times New Roman" w:cs="Times New Roman" w:hint="eastAsia"/>
                <w:b/>
                <w:bCs/>
                <w:sz w:val="22"/>
              </w:rPr>
              <w:t>Pa</w:t>
            </w:r>
            <w:r w:rsidR="001A0D6B" w:rsidRPr="005502CC">
              <w:rPr>
                <w:rFonts w:ascii="Times New Roman" w:hAnsi="Times New Roman" w:cs="Times New Roman"/>
                <w:b/>
                <w:bCs/>
                <w:sz w:val="22"/>
              </w:rPr>
              <w:t>O</w:t>
            </w:r>
            <w:r w:rsidR="001A0D6B" w:rsidRPr="005502CC">
              <w:rPr>
                <w:rFonts w:ascii="Times New Roman" w:hAnsi="Times New Roman" w:cs="Times New Roman"/>
                <w:b/>
                <w:bCs/>
                <w:sz w:val="22"/>
                <w:vertAlign w:val="subscript"/>
              </w:rPr>
              <w:t>2</w:t>
            </w:r>
            <w:r w:rsidR="001A0D6B" w:rsidRPr="005502CC">
              <w:rPr>
                <w:rFonts w:ascii="Times New Roman" w:hAnsi="Times New Roman" w:cs="Times New Roman"/>
                <w:b/>
                <w:bCs/>
                <w:sz w:val="22"/>
              </w:rPr>
              <w:t>/FiO</w:t>
            </w:r>
            <w:r w:rsidR="001A0D6B" w:rsidRPr="005502CC">
              <w:rPr>
                <w:rFonts w:ascii="Times New Roman" w:hAnsi="Times New Roman" w:cs="Times New Roman"/>
                <w:b/>
                <w:bCs/>
                <w:sz w:val="22"/>
                <w:vertAlign w:val="subscript"/>
              </w:rPr>
              <w:t>2</w:t>
            </w:r>
            <w:r w:rsidR="001A0D6B" w:rsidRPr="005502CC">
              <w:rPr>
                <w:rFonts w:ascii="Times New Roman" w:hAnsi="Times New Roman" w:cs="Times New Roman"/>
                <w:b/>
                <w:bCs/>
                <w:sz w:val="22"/>
              </w:rPr>
              <w:t xml:space="preserve"> and Biomarkers characteristics in Included Trials</w:t>
            </w:r>
          </w:p>
        </w:tc>
      </w:tr>
      <w:tr w:rsidR="001A0D6B" w:rsidRPr="00683784" w14:paraId="599922EB" w14:textId="77777777" w:rsidTr="001A0D6B">
        <w:trPr>
          <w:trHeight w:val="357"/>
        </w:trPr>
        <w:tc>
          <w:tcPr>
            <w:tcW w:w="1585" w:type="dxa"/>
            <w:tcBorders>
              <w:right w:val="nil"/>
            </w:tcBorders>
          </w:tcPr>
          <w:p w14:paraId="3BC4891B" w14:textId="77777777" w:rsidR="001A0D6B" w:rsidRPr="00683784" w:rsidRDefault="001A0D6B" w:rsidP="001A0D6B">
            <w:pPr>
              <w:rPr>
                <w:rFonts w:ascii="Times New Roman" w:hAnsi="Times New Roman" w:cs="Times New Roman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Trails</w:t>
            </w:r>
          </w:p>
        </w:tc>
        <w:tc>
          <w:tcPr>
            <w:tcW w:w="5934" w:type="dxa"/>
            <w:tcBorders>
              <w:left w:val="nil"/>
            </w:tcBorders>
          </w:tcPr>
          <w:p w14:paraId="7DCC94EA" w14:textId="77777777" w:rsidR="001A0D6B" w:rsidRPr="00683784" w:rsidRDefault="001A0D6B" w:rsidP="001A0D6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Pa</w:t>
            </w:r>
            <w:r>
              <w:rPr>
                <w:rFonts w:ascii="Times New Roman" w:hAnsi="Times New Roman" w:cs="Times New Roman"/>
                <w:sz w:val="22"/>
              </w:rPr>
              <w:t>O</w:t>
            </w:r>
            <w:r w:rsidRPr="00AC682A">
              <w:rPr>
                <w:rFonts w:ascii="Times New Roman" w:hAnsi="Times New Roman" w:cs="Times New Roman"/>
                <w:sz w:val="22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/FiO</w:t>
            </w:r>
            <w:r w:rsidRPr="00AC682A">
              <w:rPr>
                <w:rFonts w:ascii="Times New Roman" w:hAnsi="Times New Roman" w:cs="Times New Roman"/>
                <w:sz w:val="22"/>
                <w:vertAlign w:val="subscript"/>
              </w:rPr>
              <w:t>2</w:t>
            </w:r>
          </w:p>
        </w:tc>
        <w:tc>
          <w:tcPr>
            <w:tcW w:w="6671" w:type="dxa"/>
            <w:tcBorders>
              <w:left w:val="nil"/>
            </w:tcBorders>
          </w:tcPr>
          <w:p w14:paraId="2C79D97C" w14:textId="77777777" w:rsidR="001A0D6B" w:rsidRPr="00AC682A" w:rsidRDefault="001A0D6B" w:rsidP="001A0D6B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B</w:t>
            </w:r>
            <w:r w:rsidRPr="00AC682A">
              <w:rPr>
                <w:rFonts w:ascii="Times New Roman" w:hAnsi="Times New Roman" w:cs="Times New Roman"/>
                <w:sz w:val="22"/>
              </w:rPr>
              <w:t>iomarkers</w:t>
            </w:r>
          </w:p>
        </w:tc>
      </w:tr>
      <w:tr w:rsidR="001A0D6B" w:rsidRPr="00683784" w14:paraId="4232E5AA" w14:textId="77777777" w:rsidTr="001A0D6B">
        <w:trPr>
          <w:trHeight w:val="1415"/>
        </w:trPr>
        <w:tc>
          <w:tcPr>
            <w:tcW w:w="1585" w:type="dxa"/>
            <w:tcBorders>
              <w:right w:val="nil"/>
            </w:tcBorders>
          </w:tcPr>
          <w:p w14:paraId="62DD660A" w14:textId="77777777" w:rsidR="001A0D6B" w:rsidRPr="00683784" w:rsidRDefault="001A0D6B" w:rsidP="001A0D6B">
            <w:pP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Monsel 2022</w:t>
            </w:r>
          </w:p>
        </w:tc>
        <w:tc>
          <w:tcPr>
            <w:tcW w:w="5934" w:type="dxa"/>
            <w:tcBorders>
              <w:left w:val="nil"/>
            </w:tcBorders>
          </w:tcPr>
          <w:p w14:paraId="62A07136" w14:textId="77777777" w:rsidR="001A0D6B" w:rsidRPr="005F5411" w:rsidRDefault="001A0D6B" w:rsidP="001A0D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11">
              <w:rPr>
                <w:rFonts w:ascii="Times New Roman" w:hAnsi="Times New Roman" w:cs="Times New Roman"/>
                <w:sz w:val="20"/>
                <w:szCs w:val="20"/>
              </w:rPr>
              <w:t>PaO2/FiO2 ratios increased significantly from D0 to D7 in the UC‑MSC group (respectively, 156.2 ± 68.2 vs 188.3 ± 74.2; Wilcoxon signed‑rank exact test). The placebo group’s PaO2/FiO2 ratios on D0 and D7 were comparable (respectively, 171.2 ± 72.9 vs 169.8 ± 85.6, Wilcoxon signed‑rank exact test)</w:t>
            </w:r>
            <w:r w:rsidRPr="005F541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671" w:type="dxa"/>
            <w:tcBorders>
              <w:left w:val="nil"/>
            </w:tcBorders>
          </w:tcPr>
          <w:p w14:paraId="40240DD1" w14:textId="77777777" w:rsidR="001A0D6B" w:rsidRPr="00AD40FB" w:rsidRDefault="001A0D6B" w:rsidP="001A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0726">
              <w:rPr>
                <w:rFonts w:ascii="Times New Roman" w:hAnsi="Times New Roman" w:cs="Times New Roman"/>
                <w:sz w:val="20"/>
                <w:szCs w:val="20"/>
              </w:rPr>
              <w:t>On the 14th day, IL-7, IL-10, IP-10, IL-18, RAGE and MCP-2 were decreased in all groups, while IL-9, IL-10 and IL-17F were decreased in the cell group and statistically different from the control group.</w:t>
            </w:r>
          </w:p>
        </w:tc>
      </w:tr>
      <w:tr w:rsidR="001A0D6B" w:rsidRPr="00683784" w14:paraId="4FF60724" w14:textId="77777777" w:rsidTr="001A0D6B">
        <w:trPr>
          <w:trHeight w:val="357"/>
        </w:trPr>
        <w:tc>
          <w:tcPr>
            <w:tcW w:w="1585" w:type="dxa"/>
            <w:tcBorders>
              <w:right w:val="nil"/>
            </w:tcBorders>
          </w:tcPr>
          <w:p w14:paraId="35A18353" w14:textId="77777777" w:rsidR="001A0D6B" w:rsidRPr="001A0D6B" w:rsidRDefault="001A0D6B" w:rsidP="001A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D6B">
              <w:rPr>
                <w:rFonts w:ascii="Times New Roman" w:hAnsi="Times New Roman" w:cs="Times New Roman"/>
                <w:sz w:val="22"/>
              </w:rPr>
              <w:t>Bellingan 2022</w:t>
            </w:r>
          </w:p>
        </w:tc>
        <w:tc>
          <w:tcPr>
            <w:tcW w:w="5934" w:type="dxa"/>
            <w:tcBorders>
              <w:left w:val="nil"/>
            </w:tcBorders>
          </w:tcPr>
          <w:p w14:paraId="1037D575" w14:textId="416C7E01" w:rsidR="001A0D6B" w:rsidRPr="001A0D6B" w:rsidRDefault="001A0D6B" w:rsidP="001A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D6B">
              <w:rPr>
                <w:rFonts w:ascii="Times New Roman" w:hAnsi="Times New Roman" w:cs="Times New Roman"/>
                <w:sz w:val="20"/>
                <w:szCs w:val="20"/>
              </w:rPr>
              <w:t xml:space="preserve">Increases in PaO2/FiO2 were seen in both groups, indicating improving lung function among ventilated survivors. </w:t>
            </w:r>
          </w:p>
        </w:tc>
        <w:tc>
          <w:tcPr>
            <w:tcW w:w="6671" w:type="dxa"/>
            <w:tcBorders>
              <w:left w:val="nil"/>
            </w:tcBorders>
          </w:tcPr>
          <w:p w14:paraId="490495DC" w14:textId="77777777" w:rsidR="001A0D6B" w:rsidRPr="00AD40FB" w:rsidRDefault="001A0D6B" w:rsidP="001A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40FB">
              <w:rPr>
                <w:rFonts w:ascii="Times New Roman" w:hAnsi="Times New Roman" w:cs="Times New Roman"/>
                <w:sz w:val="20"/>
                <w:szCs w:val="20"/>
              </w:rPr>
              <w:t>Several pro-inflammatory biomarkers (IFN-gamma, IL-1 beta, IL-1R2, IL 6, IL 12, KGF, PD-1, RAGE, and TNF-alpha) decreased on average through Day 7 in the cell treatment group and increased through Day 7 among the placebo group. SP-D and TSP-1 that increased through Day 7 in the cell treatment group.</w:t>
            </w:r>
          </w:p>
        </w:tc>
      </w:tr>
      <w:tr w:rsidR="001A0D6B" w:rsidRPr="00683784" w14:paraId="6990C943" w14:textId="77777777" w:rsidTr="001A0D6B">
        <w:trPr>
          <w:trHeight w:val="357"/>
        </w:trPr>
        <w:tc>
          <w:tcPr>
            <w:tcW w:w="1585" w:type="dxa"/>
            <w:tcBorders>
              <w:right w:val="nil"/>
            </w:tcBorders>
          </w:tcPr>
          <w:p w14:paraId="2C7CD156" w14:textId="77777777" w:rsidR="001A0D6B" w:rsidRPr="00683784" w:rsidRDefault="001A0D6B" w:rsidP="001A0D6B">
            <w:pP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Lanzoni 2021</w:t>
            </w:r>
          </w:p>
        </w:tc>
        <w:tc>
          <w:tcPr>
            <w:tcW w:w="5934" w:type="dxa"/>
            <w:tcBorders>
              <w:left w:val="nil"/>
            </w:tcBorders>
          </w:tcPr>
          <w:p w14:paraId="4B77A13D" w14:textId="77777777" w:rsidR="001A0D6B" w:rsidRPr="005F5411" w:rsidRDefault="001A0D6B" w:rsidP="001A0D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11">
              <w:rPr>
                <w:rFonts w:ascii="Times New Roman" w:hAnsi="Times New Roman" w:cs="Times New Roman" w:hint="eastAsia"/>
                <w:sz w:val="20"/>
                <w:szCs w:val="20"/>
              </w:rPr>
              <w:t>N</w:t>
            </w:r>
            <w:r w:rsidRPr="005F5411">
              <w:rPr>
                <w:rFonts w:ascii="Times New Roman" w:hAnsi="Times New Roman" w:cs="Times New Roman"/>
                <w:sz w:val="20"/>
                <w:szCs w:val="20"/>
              </w:rPr>
              <w:t>one</w:t>
            </w:r>
          </w:p>
        </w:tc>
        <w:tc>
          <w:tcPr>
            <w:tcW w:w="6671" w:type="dxa"/>
            <w:tcBorders>
              <w:left w:val="nil"/>
            </w:tcBorders>
          </w:tcPr>
          <w:p w14:paraId="47718890" w14:textId="77777777" w:rsidR="001A0D6B" w:rsidRPr="00AD40FB" w:rsidRDefault="001A0D6B" w:rsidP="001A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40FB">
              <w:rPr>
                <w:rFonts w:ascii="Times New Roman" w:hAnsi="Times New Roman" w:cs="Times New Roman"/>
                <w:sz w:val="20"/>
                <w:szCs w:val="20"/>
              </w:rPr>
              <w:t>We observed that a consistent decrease in inflammatory markers only in the UC-MSC treatment group. In a comparison between groups at day 6, we observed significant differences in the concentration of GM-CSF, IFNg, IL-5, IL-6, IL-7, TNFa, TNFb, PDGF-BB, and RANTES (P &lt;0 .05). In the longitudinal analysis, inflammatory cytokine concentrations showed marked and statistically significant decreases from day 0 to day 6 only in the UC-MSC treatment group</w:t>
            </w:r>
          </w:p>
        </w:tc>
      </w:tr>
      <w:tr w:rsidR="001A0D6B" w:rsidRPr="00683784" w14:paraId="220F01F1" w14:textId="77777777" w:rsidTr="001A0D6B">
        <w:trPr>
          <w:trHeight w:val="357"/>
        </w:trPr>
        <w:tc>
          <w:tcPr>
            <w:tcW w:w="1585" w:type="dxa"/>
            <w:tcBorders>
              <w:right w:val="nil"/>
            </w:tcBorders>
          </w:tcPr>
          <w:p w14:paraId="7285FE15" w14:textId="77777777" w:rsidR="001A0D6B" w:rsidRPr="00683784" w:rsidRDefault="001A0D6B" w:rsidP="001A0D6B">
            <w:pPr>
              <w:rPr>
                <w:rFonts w:ascii="Times New Roman" w:hAnsi="Times New Roman" w:cs="Times New Roman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Matthay 2019</w:t>
            </w:r>
          </w:p>
        </w:tc>
        <w:tc>
          <w:tcPr>
            <w:tcW w:w="5934" w:type="dxa"/>
            <w:tcBorders>
              <w:left w:val="nil"/>
            </w:tcBorders>
          </w:tcPr>
          <w:p w14:paraId="1971574E" w14:textId="77777777" w:rsidR="001A0D6B" w:rsidRPr="005F5411" w:rsidRDefault="001A0D6B" w:rsidP="001A0D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11">
              <w:rPr>
                <w:rFonts w:ascii="Times New Roman" w:hAnsi="Times New Roman" w:cs="Times New Roman"/>
                <w:sz w:val="20"/>
                <w:szCs w:val="20"/>
              </w:rPr>
              <w:t>Oxygenation index seemed to improve from baseline to 2 days after the start of infusion in the intermediate and highest tertiles of MSC viability, albeit non-significantly.</w:t>
            </w:r>
          </w:p>
        </w:tc>
        <w:tc>
          <w:tcPr>
            <w:tcW w:w="6671" w:type="dxa"/>
            <w:tcBorders>
              <w:left w:val="nil"/>
            </w:tcBorders>
          </w:tcPr>
          <w:p w14:paraId="2C2EFF90" w14:textId="77777777" w:rsidR="001A0D6B" w:rsidRPr="00AD40FB" w:rsidRDefault="001A0D6B" w:rsidP="001A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40FB">
              <w:rPr>
                <w:rFonts w:ascii="Times New Roman" w:hAnsi="Times New Roman" w:cs="Times New Roman"/>
                <w:sz w:val="20"/>
                <w:szCs w:val="20"/>
              </w:rPr>
              <w:t>The decrease of concentrations of angiopoietin 2 in plasma was significantly greater in the MSC group than in the placebo group 6h after the start of infusion (P=0.005). No changes from baseline were seen for IL-6, IL-8, RAGE, or protein C concentrations at 6 or 24h in either group.</w:t>
            </w:r>
          </w:p>
        </w:tc>
      </w:tr>
      <w:tr w:rsidR="001A0D6B" w:rsidRPr="00683784" w14:paraId="1D5D38A2" w14:textId="77777777" w:rsidTr="001A0D6B">
        <w:trPr>
          <w:trHeight w:val="357"/>
        </w:trPr>
        <w:tc>
          <w:tcPr>
            <w:tcW w:w="1585" w:type="dxa"/>
            <w:tcBorders>
              <w:right w:val="nil"/>
            </w:tcBorders>
          </w:tcPr>
          <w:p w14:paraId="34CA5118" w14:textId="77777777" w:rsidR="001A0D6B" w:rsidRPr="00683784" w:rsidRDefault="001A0D6B" w:rsidP="001A0D6B">
            <w:pPr>
              <w:rPr>
                <w:rFonts w:ascii="Times New Roman" w:hAnsi="Times New Roman" w:cs="Times New Roman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Zheng 2014</w:t>
            </w:r>
          </w:p>
        </w:tc>
        <w:tc>
          <w:tcPr>
            <w:tcW w:w="5934" w:type="dxa"/>
            <w:tcBorders>
              <w:left w:val="nil"/>
            </w:tcBorders>
          </w:tcPr>
          <w:p w14:paraId="5095D7B1" w14:textId="77777777" w:rsidR="001A0D6B" w:rsidRPr="005F5411" w:rsidRDefault="001A0D6B" w:rsidP="001A0D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411">
              <w:rPr>
                <w:rFonts w:ascii="Times New Roman" w:hAnsi="Times New Roman" w:cs="Times New Roman"/>
                <w:sz w:val="20"/>
                <w:szCs w:val="20"/>
              </w:rPr>
              <w:t>Significant improvements in oxygenation index from baseline were observed in all data points in the MSCs group. In the placebo group, there were no significant improvements at days 5 (p = 0.05) and 7 (p = 0.05) as compared to baseline. The PaO2/FiO2 did not differ significantly between MSCs and placebo groups at all time points.</w:t>
            </w:r>
          </w:p>
        </w:tc>
        <w:tc>
          <w:tcPr>
            <w:tcW w:w="6671" w:type="dxa"/>
            <w:tcBorders>
              <w:left w:val="nil"/>
            </w:tcBorders>
          </w:tcPr>
          <w:p w14:paraId="1F807034" w14:textId="77777777" w:rsidR="001A0D6B" w:rsidRPr="00AD40FB" w:rsidRDefault="001A0D6B" w:rsidP="001A0D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40FB">
              <w:rPr>
                <w:rFonts w:ascii="Times New Roman" w:hAnsi="Times New Roman" w:cs="Times New Roman"/>
                <w:sz w:val="20"/>
                <w:szCs w:val="20"/>
              </w:rPr>
              <w:t>In the placebo group, SP-D, IL-6 or IL-8 levels were similar between day 0 and day 5. In the MSCs group there was a decrease in the biomarkers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40FB">
              <w:rPr>
                <w:rFonts w:ascii="Times New Roman" w:hAnsi="Times New Roman" w:cs="Times New Roman"/>
                <w:sz w:val="20"/>
                <w:szCs w:val="20"/>
              </w:rPr>
              <w:t>(SP-D, IL-6 and IL-8), but only SP-D was statistically significant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(P=0.027).</w:t>
            </w:r>
          </w:p>
        </w:tc>
      </w:tr>
    </w:tbl>
    <w:p w14:paraId="09866B94" w14:textId="77777777" w:rsidR="00DA0053" w:rsidRPr="001A0D6B" w:rsidRDefault="00DA0053"/>
    <w:sectPr w:rsidR="00DA0053" w:rsidRPr="001A0D6B" w:rsidSect="001A0D6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69BE4" w14:textId="77777777" w:rsidR="00420CF6" w:rsidRDefault="00420CF6" w:rsidP="001A0D6B">
      <w:r>
        <w:separator/>
      </w:r>
    </w:p>
  </w:endnote>
  <w:endnote w:type="continuationSeparator" w:id="0">
    <w:p w14:paraId="60F7884B" w14:textId="77777777" w:rsidR="00420CF6" w:rsidRDefault="00420CF6" w:rsidP="001A0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BC48B" w14:textId="77777777" w:rsidR="00420CF6" w:rsidRDefault="00420CF6" w:rsidP="001A0D6B">
      <w:r>
        <w:separator/>
      </w:r>
    </w:p>
  </w:footnote>
  <w:footnote w:type="continuationSeparator" w:id="0">
    <w:p w14:paraId="6CFFC5CE" w14:textId="77777777" w:rsidR="00420CF6" w:rsidRDefault="00420CF6" w:rsidP="001A0D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F82"/>
    <w:rsid w:val="001A0D6B"/>
    <w:rsid w:val="00420CF6"/>
    <w:rsid w:val="00441F66"/>
    <w:rsid w:val="00D92F82"/>
    <w:rsid w:val="00DA0053"/>
    <w:rsid w:val="00EE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26C1B"/>
  <w15:chartTrackingRefBased/>
  <w15:docId w15:val="{E660A7A9-F06A-4F18-9E09-C40AC219D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D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D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0D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0D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0D6B"/>
    <w:rPr>
      <w:sz w:val="18"/>
      <w:szCs w:val="18"/>
    </w:rPr>
  </w:style>
  <w:style w:type="table" w:styleId="a7">
    <w:name w:val="Table Grid"/>
    <w:basedOn w:val="a1"/>
    <w:uiPriority w:val="39"/>
    <w:rsid w:val="001A0D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jianbao lion</dc:creator>
  <cp:keywords/>
  <dc:description/>
  <cp:lastModifiedBy>jianbao lion</cp:lastModifiedBy>
  <cp:revision>3</cp:revision>
  <dcterms:created xsi:type="dcterms:W3CDTF">2022-04-03T11:42:00Z</dcterms:created>
  <dcterms:modified xsi:type="dcterms:W3CDTF">2022-04-03T11:58:00Z</dcterms:modified>
</cp:coreProperties>
</file>