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96DB1" w14:textId="54787CA9" w:rsidR="007B6AA3" w:rsidRDefault="005A184F" w:rsidP="00BC6CE3">
      <w:pPr>
        <w:spacing w:after="240" w:line="480" w:lineRule="auto"/>
        <w:ind w:firstLine="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4A1571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Supplementary materials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to the manuscript “A defined road to tracheal reconstruction: laser structuring and cell support for rapid clinic translation” (</w:t>
      </w:r>
      <w:proofErr w:type="spellStart"/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Fayzullin</w:t>
      </w:r>
      <w:proofErr w:type="spellEnd"/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et al.)</w:t>
      </w:r>
    </w:p>
    <w:p w14:paraId="6240AFC2" w14:textId="5EEAC4E0" w:rsidR="007B6AA3" w:rsidRPr="007B6AA3" w:rsidRDefault="007B6AA3" w:rsidP="00BC6CE3">
      <w:pPr>
        <w:spacing w:after="240" w:line="480" w:lineRule="auto"/>
        <w:ind w:firstLine="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Table </w:t>
      </w:r>
      <w:r w:rsidR="007F4920">
        <w:rPr>
          <w:rFonts w:ascii="Arial" w:hAnsi="Arial" w:cs="Arial"/>
          <w:color w:val="000000" w:themeColor="text1"/>
          <w:sz w:val="20"/>
          <w:szCs w:val="20"/>
          <w:lang w:val="en-US"/>
        </w:rPr>
        <w:t>S1</w:t>
      </w:r>
      <w:r w:rsidR="00BC6CE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–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Immunophenotype of MSC primary cultures (3</w:t>
      </w:r>
      <w:r w:rsidRPr="007B6AA3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rd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passage)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9"/>
        <w:gridCol w:w="826"/>
        <w:gridCol w:w="826"/>
        <w:gridCol w:w="898"/>
        <w:gridCol w:w="826"/>
        <w:gridCol w:w="826"/>
        <w:gridCol w:w="826"/>
        <w:gridCol w:w="826"/>
        <w:gridCol w:w="822"/>
        <w:gridCol w:w="898"/>
        <w:gridCol w:w="826"/>
      </w:tblGrid>
      <w:tr w:rsidR="007B6AA3" w:rsidRPr="007B6AA3" w14:paraId="09566BEE" w14:textId="77777777" w:rsidTr="00F95AD6">
        <w:tc>
          <w:tcPr>
            <w:tcW w:w="884" w:type="dxa"/>
          </w:tcPr>
          <w:p w14:paraId="66A37DBD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31" w:type="dxa"/>
            <w:gridSpan w:val="5"/>
          </w:tcPr>
          <w:p w14:paraId="291BBAD1" w14:textId="77777777" w:rsidR="007B6AA3" w:rsidRPr="007B6AA3" w:rsidRDefault="007B6AA3" w:rsidP="008152AA">
            <w:pPr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Positive</w:t>
            </w:r>
          </w:p>
        </w:tc>
        <w:tc>
          <w:tcPr>
            <w:tcW w:w="4230" w:type="dxa"/>
            <w:gridSpan w:val="5"/>
          </w:tcPr>
          <w:p w14:paraId="27DAA0C5" w14:textId="77777777" w:rsidR="007B6AA3" w:rsidRPr="007B6AA3" w:rsidRDefault="007B6AA3" w:rsidP="008152AA">
            <w:pPr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Negative</w:t>
            </w:r>
          </w:p>
        </w:tc>
      </w:tr>
      <w:tr w:rsidR="007B6AA3" w:rsidRPr="007B6AA3" w14:paraId="43E50292" w14:textId="77777777" w:rsidTr="00F95AD6">
        <w:tc>
          <w:tcPr>
            <w:tcW w:w="884" w:type="dxa"/>
          </w:tcPr>
          <w:p w14:paraId="53772C14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Markers</w:t>
            </w:r>
          </w:p>
        </w:tc>
        <w:tc>
          <w:tcPr>
            <w:tcW w:w="833" w:type="dxa"/>
          </w:tcPr>
          <w:p w14:paraId="1DE2D1F6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CD73</w:t>
            </w:r>
          </w:p>
        </w:tc>
        <w:tc>
          <w:tcPr>
            <w:tcW w:w="832" w:type="dxa"/>
          </w:tcPr>
          <w:p w14:paraId="219D83EA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CD90</w:t>
            </w:r>
          </w:p>
        </w:tc>
        <w:tc>
          <w:tcPr>
            <w:tcW w:w="902" w:type="dxa"/>
          </w:tcPr>
          <w:p w14:paraId="32DA6EAB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CD105</w:t>
            </w:r>
          </w:p>
        </w:tc>
        <w:tc>
          <w:tcPr>
            <w:tcW w:w="832" w:type="dxa"/>
          </w:tcPr>
          <w:p w14:paraId="00D4549E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CD44</w:t>
            </w:r>
          </w:p>
        </w:tc>
        <w:tc>
          <w:tcPr>
            <w:tcW w:w="832" w:type="dxa"/>
          </w:tcPr>
          <w:p w14:paraId="6CBED13E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CD29</w:t>
            </w:r>
          </w:p>
        </w:tc>
        <w:tc>
          <w:tcPr>
            <w:tcW w:w="832" w:type="dxa"/>
          </w:tcPr>
          <w:p w14:paraId="6F6E18EE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CD34</w:t>
            </w:r>
          </w:p>
        </w:tc>
        <w:tc>
          <w:tcPr>
            <w:tcW w:w="832" w:type="dxa"/>
          </w:tcPr>
          <w:p w14:paraId="6DBF4CEE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CD45</w:t>
            </w:r>
          </w:p>
        </w:tc>
        <w:tc>
          <w:tcPr>
            <w:tcW w:w="832" w:type="dxa"/>
          </w:tcPr>
          <w:p w14:paraId="5EF74B02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HLA-DR</w:t>
            </w:r>
          </w:p>
        </w:tc>
        <w:tc>
          <w:tcPr>
            <w:tcW w:w="902" w:type="dxa"/>
          </w:tcPr>
          <w:p w14:paraId="50057201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CD11b</w:t>
            </w:r>
          </w:p>
        </w:tc>
        <w:tc>
          <w:tcPr>
            <w:tcW w:w="832" w:type="dxa"/>
          </w:tcPr>
          <w:p w14:paraId="7BF367E0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CD19</w:t>
            </w:r>
          </w:p>
        </w:tc>
      </w:tr>
      <w:tr w:rsidR="007B6AA3" w:rsidRPr="007B6AA3" w14:paraId="7A6C94F9" w14:textId="77777777" w:rsidTr="00F95AD6">
        <w:tc>
          <w:tcPr>
            <w:tcW w:w="884" w:type="dxa"/>
          </w:tcPr>
          <w:p w14:paraId="43A0812B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</w:p>
        </w:tc>
        <w:tc>
          <w:tcPr>
            <w:tcW w:w="833" w:type="dxa"/>
          </w:tcPr>
          <w:p w14:paraId="7F881832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96.15 ± 0.40</w:t>
            </w:r>
          </w:p>
        </w:tc>
        <w:tc>
          <w:tcPr>
            <w:tcW w:w="832" w:type="dxa"/>
          </w:tcPr>
          <w:p w14:paraId="2315449B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95.45 ± 1.70</w:t>
            </w:r>
          </w:p>
        </w:tc>
        <w:tc>
          <w:tcPr>
            <w:tcW w:w="902" w:type="dxa"/>
          </w:tcPr>
          <w:p w14:paraId="01F5AD54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97.90 ± 2.15</w:t>
            </w:r>
          </w:p>
        </w:tc>
        <w:tc>
          <w:tcPr>
            <w:tcW w:w="832" w:type="dxa"/>
          </w:tcPr>
          <w:p w14:paraId="490719C6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99.50 ± 0.25</w:t>
            </w:r>
          </w:p>
        </w:tc>
        <w:tc>
          <w:tcPr>
            <w:tcW w:w="832" w:type="dxa"/>
          </w:tcPr>
          <w:p w14:paraId="3074ABDB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97.70 ± 1.10</w:t>
            </w:r>
          </w:p>
        </w:tc>
        <w:tc>
          <w:tcPr>
            <w:tcW w:w="832" w:type="dxa"/>
          </w:tcPr>
          <w:p w14:paraId="06F1C2C2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0.60 ± 0.20</w:t>
            </w:r>
          </w:p>
        </w:tc>
        <w:tc>
          <w:tcPr>
            <w:tcW w:w="832" w:type="dxa"/>
          </w:tcPr>
          <w:p w14:paraId="03C949EC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0.70 ± 0.10</w:t>
            </w:r>
          </w:p>
        </w:tc>
        <w:tc>
          <w:tcPr>
            <w:tcW w:w="832" w:type="dxa"/>
          </w:tcPr>
          <w:p w14:paraId="5C25941C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1.20 ± 0.85</w:t>
            </w:r>
          </w:p>
        </w:tc>
        <w:tc>
          <w:tcPr>
            <w:tcW w:w="902" w:type="dxa"/>
          </w:tcPr>
          <w:p w14:paraId="28AFEAE9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0.75 ± 0.20</w:t>
            </w:r>
          </w:p>
        </w:tc>
        <w:tc>
          <w:tcPr>
            <w:tcW w:w="832" w:type="dxa"/>
          </w:tcPr>
          <w:p w14:paraId="7FD3C655" w14:textId="77777777" w:rsidR="007B6AA3" w:rsidRPr="007B6AA3" w:rsidRDefault="007B6AA3" w:rsidP="00BC6CE3">
            <w:pPr>
              <w:ind w:firstLine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B6AA3">
              <w:rPr>
                <w:rFonts w:ascii="Arial" w:hAnsi="Arial" w:cs="Arial"/>
                <w:color w:val="000000" w:themeColor="text1"/>
                <w:sz w:val="20"/>
                <w:szCs w:val="20"/>
              </w:rPr>
              <w:t>0.70 ± 0.35</w:t>
            </w:r>
          </w:p>
        </w:tc>
      </w:tr>
    </w:tbl>
    <w:p w14:paraId="11FE371F" w14:textId="77777777" w:rsidR="00BC6CE3" w:rsidRDefault="00BC6CE3" w:rsidP="007B6AA3">
      <w:pPr>
        <w:spacing w:after="240" w:line="480" w:lineRule="auto"/>
        <w:ind w:firstLine="0"/>
        <w:jc w:val="center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7D3C8034" w14:textId="4105AE58" w:rsidR="007B6AA3" w:rsidRPr="007B6AA3" w:rsidRDefault="007B6AA3" w:rsidP="007B6AA3">
      <w:pPr>
        <w:spacing w:after="240" w:line="480" w:lineRule="auto"/>
        <w:ind w:firstLine="0"/>
        <w:jc w:val="center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7B6AA3">
        <w:rPr>
          <w:rFonts w:ascii="Arial" w:hAnsi="Arial" w:cs="Arial"/>
          <w:color w:val="000000" w:themeColor="text1"/>
          <w:sz w:val="20"/>
          <w:szCs w:val="20"/>
        </w:rPr>
        <w:drawing>
          <wp:inline distT="0" distB="0" distL="0" distR="0" wp14:anchorId="033A1214" wp14:editId="65D438EB">
            <wp:extent cx="5981700" cy="308040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362" cy="3091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8EE2C2" w14:textId="615EBE32" w:rsidR="007B6AA3" w:rsidRPr="005A184F" w:rsidRDefault="007B6AA3" w:rsidP="00BC6CE3">
      <w:pPr>
        <w:spacing w:after="240" w:line="480" w:lineRule="auto"/>
        <w:ind w:firstLine="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Figure </w:t>
      </w:r>
      <w:r w:rsidR="00BC6CE3">
        <w:rPr>
          <w:rFonts w:ascii="Arial" w:hAnsi="Arial" w:cs="Arial"/>
          <w:color w:val="000000" w:themeColor="text1"/>
          <w:sz w:val="20"/>
          <w:szCs w:val="20"/>
          <w:lang w:val="en-US"/>
        </w:rPr>
        <w:t>S1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. Differentiation of MSC primary culture</w:t>
      </w:r>
      <w:r w:rsidR="00050880">
        <w:rPr>
          <w:rFonts w:ascii="Arial" w:hAnsi="Arial" w:cs="Arial"/>
          <w:color w:val="000000" w:themeColor="text1"/>
          <w:sz w:val="20"/>
          <w:szCs w:val="20"/>
          <w:lang w:val="en-US"/>
        </w:rPr>
        <w:t>s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in </w:t>
      </w:r>
      <w:r w:rsidR="00050880"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osteogenic</w:t>
      </w:r>
      <w:r w:rsidR="00050880">
        <w:rPr>
          <w:rFonts w:ascii="Arial" w:hAnsi="Arial" w:cs="Arial"/>
          <w:color w:val="000000" w:themeColor="text1"/>
          <w:sz w:val="20"/>
          <w:szCs w:val="20"/>
          <w:lang w:val="en-US"/>
        </w:rPr>
        <w:t>,</w:t>
      </w:r>
      <w:r w:rsidR="00050880"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adipogenic</w:t>
      </w:r>
      <w:proofErr w:type="spellEnd"/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and chondrogenic directions. </w:t>
      </w:r>
      <w:r w:rsidR="00050880">
        <w:rPr>
          <w:rFonts w:ascii="Arial" w:hAnsi="Arial" w:cs="Arial"/>
          <w:color w:val="000000" w:themeColor="text1"/>
          <w:sz w:val="20"/>
          <w:szCs w:val="20"/>
          <w:lang w:val="en-US"/>
        </w:rPr>
        <w:t>(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Induction – cells </w:t>
      </w:r>
      <w:r w:rsidR="00050880">
        <w:rPr>
          <w:rFonts w:ascii="Arial" w:hAnsi="Arial" w:cs="Arial"/>
          <w:color w:val="000000" w:themeColor="text1"/>
          <w:sz w:val="20"/>
          <w:szCs w:val="20"/>
          <w:lang w:val="en-US"/>
        </w:rPr>
        <w:t>cultured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in </w:t>
      </w:r>
      <w:r w:rsidR="00050880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the 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differentiation medium for 21 days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Control – cells </w:t>
      </w:r>
      <w:r w:rsidR="00050880">
        <w:rPr>
          <w:rFonts w:ascii="Arial" w:hAnsi="Arial" w:cs="Arial"/>
          <w:color w:val="000000" w:themeColor="text1"/>
          <w:sz w:val="20"/>
          <w:szCs w:val="20"/>
          <w:lang w:val="en-US"/>
        </w:rPr>
        <w:t>cultured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in standard medium for 21 days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; </w:t>
      </w:r>
      <w:r w:rsidR="0012390F"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Oil red O</w:t>
      </w:r>
      <w:r w:rsidR="0012390F"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– </w:t>
      </w:r>
      <w:proofErr w:type="spellStart"/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>a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dipodifferenti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>ation</w:t>
      </w:r>
      <w:proofErr w:type="spellEnd"/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Alizarin Red S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– </w:t>
      </w:r>
      <w:proofErr w:type="spellStart"/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>osteo</w:t>
      </w:r>
      <w:r w:rsidR="0012390F"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differenti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>atio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>n</w:t>
      </w:r>
      <w:proofErr w:type="spellEnd"/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,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12390F"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Alcian</w:t>
      </w:r>
      <w:proofErr w:type="spellEnd"/>
      <w:r w:rsidR="0012390F"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Blue</w:t>
      </w:r>
      <w:r w:rsidR="0012390F"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– </w:t>
      </w:r>
      <w:proofErr w:type="spellStart"/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>chondro</w:t>
      </w:r>
      <w:r w:rsidR="0012390F"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differenti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>atio</w:t>
      </w:r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>n</w:t>
      </w:r>
      <w:proofErr w:type="spellEnd"/>
      <w:r w:rsidR="0012390F">
        <w:rPr>
          <w:rFonts w:ascii="Arial" w:hAnsi="Arial" w:cs="Arial"/>
          <w:color w:val="000000" w:themeColor="text1"/>
          <w:sz w:val="20"/>
          <w:szCs w:val="20"/>
          <w:lang w:val="en-US"/>
        </w:rPr>
        <w:t>)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>. Phase contrast microscopy</w:t>
      </w:r>
      <w:r w:rsidR="006D6D91">
        <w:rPr>
          <w:rFonts w:ascii="Arial" w:hAnsi="Arial" w:cs="Arial"/>
          <w:color w:val="000000" w:themeColor="text1"/>
          <w:sz w:val="20"/>
          <w:szCs w:val="20"/>
          <w:lang w:val="en-US"/>
        </w:rPr>
        <w:t>. S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cale bar </w:t>
      </w:r>
      <w:r w:rsidR="0000165C" w:rsidRPr="003142A0">
        <w:rPr>
          <w:rFonts w:ascii="Arial" w:hAnsi="Arial" w:cs="Arial"/>
          <w:color w:val="000000" w:themeColor="text1"/>
          <w:sz w:val="20"/>
          <w:szCs w:val="20"/>
          <w:lang w:val="en-US"/>
        </w:rPr>
        <w:t>– 100 µm</w:t>
      </w:r>
      <w:r w:rsidRPr="007B6AA3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</w:p>
    <w:sectPr w:rsidR="007B6AA3" w:rsidRPr="005A184F" w:rsidSect="004C0A0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84F"/>
    <w:rsid w:val="0000165C"/>
    <w:rsid w:val="00050880"/>
    <w:rsid w:val="0012390F"/>
    <w:rsid w:val="004C0A01"/>
    <w:rsid w:val="005A184F"/>
    <w:rsid w:val="00622D6D"/>
    <w:rsid w:val="006D6D91"/>
    <w:rsid w:val="007B6AA3"/>
    <w:rsid w:val="007F4920"/>
    <w:rsid w:val="008152AA"/>
    <w:rsid w:val="00A55DB2"/>
    <w:rsid w:val="00B350E1"/>
    <w:rsid w:val="00BB794A"/>
    <w:rsid w:val="00BC6CE3"/>
    <w:rsid w:val="00DD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64D802"/>
  <w15:chartTrackingRefBased/>
  <w15:docId w15:val="{739820EB-10CA-2F47-A4F8-56C7D713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84F"/>
    <w:pPr>
      <w:ind w:firstLine="285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Shpichka</dc:creator>
  <cp:keywords/>
  <dc:description/>
  <cp:lastModifiedBy>Anastasia Shpichka</cp:lastModifiedBy>
  <cp:revision>4</cp:revision>
  <dcterms:created xsi:type="dcterms:W3CDTF">2022-03-25T11:19:00Z</dcterms:created>
  <dcterms:modified xsi:type="dcterms:W3CDTF">2022-03-25T11:19:00Z</dcterms:modified>
</cp:coreProperties>
</file>