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47AC" w14:textId="77777777" w:rsidR="00E80B1E" w:rsidRDefault="00E80B1E" w:rsidP="00E80B1E">
      <w:pPr>
        <w:jc w:val="both"/>
        <w:rPr>
          <w:rFonts w:ascii="Arial" w:hAnsi="Arial" w:cs="Arial"/>
          <w:sz w:val="21"/>
          <w:szCs w:val="21"/>
        </w:rPr>
      </w:pPr>
      <w:r w:rsidRPr="00C411C7">
        <w:rPr>
          <w:rFonts w:ascii="Arial" w:hAnsi="Arial" w:cs="Arial"/>
          <w:b/>
          <w:bCs/>
          <w:sz w:val="21"/>
          <w:szCs w:val="21"/>
        </w:rPr>
        <w:t xml:space="preserve">Table </w:t>
      </w:r>
      <w:r>
        <w:rPr>
          <w:rFonts w:ascii="Arial" w:hAnsi="Arial" w:cs="Arial"/>
          <w:b/>
          <w:bCs/>
          <w:sz w:val="21"/>
          <w:szCs w:val="21"/>
        </w:rPr>
        <w:t>S</w:t>
      </w:r>
      <w:r w:rsidRPr="00C411C7">
        <w:rPr>
          <w:rFonts w:ascii="Arial" w:hAnsi="Arial" w:cs="Arial"/>
          <w:b/>
          <w:bCs/>
          <w:sz w:val="21"/>
          <w:szCs w:val="21"/>
        </w:rPr>
        <w:t>1</w:t>
      </w:r>
      <w:r w:rsidRPr="009E4F91">
        <w:rPr>
          <w:rFonts w:ascii="Arial" w:hAnsi="Arial" w:cs="Arial"/>
          <w:sz w:val="21"/>
          <w:szCs w:val="21"/>
        </w:rPr>
        <w:t xml:space="preserve"> Plant Extracts for the Osteogenesis of MSCs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4678"/>
        <w:gridCol w:w="504"/>
      </w:tblGrid>
      <w:tr w:rsidR="00E80B1E" w:rsidRPr="009E4F91" w14:paraId="01747B6E" w14:textId="77777777" w:rsidTr="00EE4865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87EE1" w14:textId="77777777" w:rsidR="00E80B1E" w:rsidRPr="009E4F91" w:rsidRDefault="00E80B1E" w:rsidP="00EE4865">
            <w:pPr>
              <w:jc w:val="both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b/>
                <w:bCs/>
                <w:color w:val="000000"/>
                <w:sz w:val="13"/>
                <w:szCs w:val="13"/>
              </w:rPr>
              <w:t>NO.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85F1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b/>
                <w:bCs/>
                <w:color w:val="000000"/>
                <w:sz w:val="13"/>
                <w:szCs w:val="13"/>
              </w:rPr>
              <w:t>Plant extracts</w:t>
            </w:r>
            <w:r>
              <w:rPr>
                <w:rFonts w:ascii="Arial" w:eastAsia="DengXian" w:hAnsi="Arial" w:cs="Arial" w:hint="eastAsia"/>
                <w:b/>
                <w:bCs/>
                <w:color w:val="000000"/>
                <w:sz w:val="13"/>
                <w:szCs w:val="13"/>
              </w:rPr>
              <w:t>/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DengXian" w:hAnsi="Arial" w:cs="Arial"/>
                <w:b/>
                <w:bCs/>
                <w:color w:val="000000"/>
                <w:sz w:val="13"/>
                <w:szCs w:val="13"/>
              </w:rPr>
              <w:t>phytohemicals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40D8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9E4F91">
              <w:rPr>
                <w:rFonts w:ascii="Arial" w:hAnsi="Arial" w:cs="Arial"/>
                <w:b/>
                <w:bCs/>
                <w:sz w:val="13"/>
                <w:szCs w:val="13"/>
              </w:rPr>
              <w:t>Cell lines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6F125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b/>
                <w:bCs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b/>
                <w:bCs/>
                <w:color w:val="000000"/>
                <w:sz w:val="13"/>
                <w:szCs w:val="13"/>
              </w:rPr>
              <w:t>Mechanism and Pathway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DE5C6" w14:textId="77777777" w:rsidR="00E80B1E" w:rsidRPr="009E4F91" w:rsidRDefault="00E80B1E" w:rsidP="00EE4865">
            <w:pPr>
              <w:jc w:val="both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b/>
                <w:bCs/>
                <w:color w:val="000000"/>
                <w:sz w:val="13"/>
                <w:szCs w:val="13"/>
              </w:rPr>
              <w:t>Ref</w:t>
            </w:r>
          </w:p>
        </w:tc>
      </w:tr>
      <w:tr w:rsidR="00E80B1E" w:rsidRPr="009E4F91" w14:paraId="6169C21D" w14:textId="77777777" w:rsidTr="00EE4865"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6CAFDBAA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18AFC25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Amentoflavone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BF7D3C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h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MSCs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2D839BC9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p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romote osteogenesis by stimulating ALP activity and mineralization in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, with the involvement of JNK and p38 MAPK pathways </w:t>
            </w: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2CFC2D7C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[18]</w:t>
            </w:r>
          </w:p>
        </w:tc>
      </w:tr>
      <w:tr w:rsidR="00E80B1E" w:rsidRPr="009E4F91" w14:paraId="59413198" w14:textId="77777777" w:rsidTr="00EE4865">
        <w:tc>
          <w:tcPr>
            <w:tcW w:w="562" w:type="dxa"/>
            <w:vAlign w:val="center"/>
          </w:tcPr>
          <w:p w14:paraId="3148CB19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2</w:t>
            </w:r>
          </w:p>
        </w:tc>
        <w:tc>
          <w:tcPr>
            <w:tcW w:w="1276" w:type="dxa"/>
            <w:vAlign w:val="center"/>
          </w:tcPr>
          <w:p w14:paraId="50A43B86" w14:textId="77777777" w:rsidR="00E80B1E" w:rsidRPr="009E4F91" w:rsidRDefault="00E80B1E" w:rsidP="00EE4865">
            <w:pPr>
              <w:jc w:val="both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>Foeniculum</w:t>
            </w:r>
            <w:proofErr w:type="spellEnd"/>
            <w:r w:rsidRPr="009E4F91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 xml:space="preserve"> vulgare</w:t>
            </w:r>
          </w:p>
        </w:tc>
        <w:tc>
          <w:tcPr>
            <w:tcW w:w="1276" w:type="dxa"/>
            <w:vAlign w:val="center"/>
          </w:tcPr>
          <w:p w14:paraId="478C5B6C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6E9C0C9B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increase of BM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proliferation and differentiation into osteoblasts</w:t>
            </w:r>
          </w:p>
        </w:tc>
        <w:tc>
          <w:tcPr>
            <w:tcW w:w="504" w:type="dxa"/>
            <w:vAlign w:val="center"/>
          </w:tcPr>
          <w:p w14:paraId="739C965C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[16]</w:t>
            </w:r>
          </w:p>
        </w:tc>
      </w:tr>
      <w:tr w:rsidR="00E80B1E" w:rsidRPr="009E4F91" w14:paraId="12169C72" w14:textId="77777777" w:rsidTr="00EE4865">
        <w:tc>
          <w:tcPr>
            <w:tcW w:w="562" w:type="dxa"/>
            <w:vAlign w:val="center"/>
          </w:tcPr>
          <w:p w14:paraId="35187CE5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3</w:t>
            </w:r>
          </w:p>
        </w:tc>
        <w:tc>
          <w:tcPr>
            <w:tcW w:w="1276" w:type="dxa"/>
            <w:vAlign w:val="center"/>
          </w:tcPr>
          <w:p w14:paraId="077C2D85" w14:textId="77777777" w:rsidR="00E80B1E" w:rsidRPr="00CF192C" w:rsidRDefault="00E80B1E" w:rsidP="00EE4865">
            <w:pPr>
              <w:jc w:val="both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CF192C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>Ferula</w:t>
            </w:r>
            <w:proofErr w:type="spellEnd"/>
            <w:r w:rsidRPr="00CF192C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CF192C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>gummosa</w:t>
            </w:r>
            <w:proofErr w:type="spellEnd"/>
          </w:p>
        </w:tc>
        <w:tc>
          <w:tcPr>
            <w:tcW w:w="1276" w:type="dxa"/>
            <w:vAlign w:val="center"/>
          </w:tcPr>
          <w:p w14:paraId="41EAF001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6D06220A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proliferate and differentiate 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into osteocytes, demonstrating increased alkaline phosphatase activity</w:t>
            </w:r>
          </w:p>
        </w:tc>
        <w:tc>
          <w:tcPr>
            <w:tcW w:w="504" w:type="dxa"/>
            <w:vAlign w:val="center"/>
          </w:tcPr>
          <w:p w14:paraId="1F54C50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[17]</w:t>
            </w:r>
          </w:p>
        </w:tc>
      </w:tr>
      <w:tr w:rsidR="00E80B1E" w:rsidRPr="009E4F91" w14:paraId="442E0D7E" w14:textId="77777777" w:rsidTr="00EE4865">
        <w:tc>
          <w:tcPr>
            <w:tcW w:w="562" w:type="dxa"/>
            <w:vAlign w:val="center"/>
          </w:tcPr>
          <w:p w14:paraId="087C762B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4</w:t>
            </w:r>
          </w:p>
        </w:tc>
        <w:tc>
          <w:tcPr>
            <w:tcW w:w="1276" w:type="dxa"/>
            <w:vAlign w:val="center"/>
          </w:tcPr>
          <w:p w14:paraId="29CDFE4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Dipsacus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asper (hedraganin-3-O-(2-O-acetyl)-α-L-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arabinopyranoside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)</w:t>
            </w:r>
          </w:p>
        </w:tc>
        <w:tc>
          <w:tcPr>
            <w:tcW w:w="1276" w:type="dxa"/>
            <w:vAlign w:val="center"/>
          </w:tcPr>
          <w:p w14:paraId="5EA1B007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7BEAF77F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enhance osteoblastic differentiation due to induced alkaline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phophatase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activity and expression of bone-specific proteins (bone sialoprotein and osteocalcin)</w:t>
            </w:r>
          </w:p>
        </w:tc>
        <w:tc>
          <w:tcPr>
            <w:tcW w:w="504" w:type="dxa"/>
            <w:vAlign w:val="center"/>
          </w:tcPr>
          <w:p w14:paraId="0025C61E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[26]</w:t>
            </w:r>
          </w:p>
        </w:tc>
      </w:tr>
      <w:tr w:rsidR="00E80B1E" w:rsidRPr="009E4F91" w14:paraId="70B6918B" w14:textId="77777777" w:rsidTr="00EE4865">
        <w:tc>
          <w:tcPr>
            <w:tcW w:w="562" w:type="dxa"/>
            <w:vAlign w:val="center"/>
          </w:tcPr>
          <w:p w14:paraId="35C87524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5</w:t>
            </w:r>
          </w:p>
        </w:tc>
        <w:tc>
          <w:tcPr>
            <w:tcW w:w="1276" w:type="dxa"/>
            <w:vAlign w:val="center"/>
          </w:tcPr>
          <w:p w14:paraId="6642AA30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Fructus </w:t>
            </w:r>
            <w:proofErr w:type="spellStart"/>
            <w:r w:rsidRPr="009E4F91">
              <w:rPr>
                <w:rFonts w:ascii="Arial" w:hAnsi="Arial" w:cs="Arial"/>
                <w:i/>
                <w:iCs/>
                <w:sz w:val="13"/>
                <w:szCs w:val="13"/>
              </w:rPr>
              <w:t>Ligustri</w:t>
            </w:r>
            <w:proofErr w:type="spellEnd"/>
            <w:r w:rsidRPr="009E4F91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9E4F91">
              <w:rPr>
                <w:rFonts w:ascii="Arial" w:hAnsi="Arial" w:cs="Arial"/>
                <w:i/>
                <w:iCs/>
                <w:sz w:val="13"/>
                <w:szCs w:val="13"/>
              </w:rPr>
              <w:t>Lucidi</w:t>
            </w:r>
            <w:proofErr w:type="spellEnd"/>
          </w:p>
        </w:tc>
        <w:tc>
          <w:tcPr>
            <w:tcW w:w="1276" w:type="dxa"/>
            <w:vAlign w:val="center"/>
          </w:tcPr>
          <w:p w14:paraId="2687D18D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437EC718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increase the expression of osteogenic stimulating genes, β-catenin, BMP2, cyclin D1, MT1-MMP,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os-teoprotegerin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and TBX3</w:t>
            </w:r>
          </w:p>
        </w:tc>
        <w:tc>
          <w:tcPr>
            <w:tcW w:w="504" w:type="dxa"/>
            <w:vAlign w:val="center"/>
          </w:tcPr>
          <w:p w14:paraId="71A8B863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[27]</w:t>
            </w:r>
          </w:p>
        </w:tc>
      </w:tr>
      <w:tr w:rsidR="00E80B1E" w:rsidRPr="009E4F91" w14:paraId="019459B9" w14:textId="77777777" w:rsidTr="00EE4865">
        <w:tc>
          <w:tcPr>
            <w:tcW w:w="562" w:type="dxa"/>
            <w:vAlign w:val="center"/>
          </w:tcPr>
          <w:p w14:paraId="26FA6AC6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6</w:t>
            </w:r>
          </w:p>
        </w:tc>
        <w:tc>
          <w:tcPr>
            <w:tcW w:w="1276" w:type="dxa"/>
            <w:vAlign w:val="center"/>
          </w:tcPr>
          <w:p w14:paraId="6FDEE95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Poncirin</w:t>
            </w:r>
            <w:proofErr w:type="spellEnd"/>
          </w:p>
        </w:tc>
        <w:tc>
          <w:tcPr>
            <w:tcW w:w="1276" w:type="dxa"/>
            <w:vAlign w:val="center"/>
          </w:tcPr>
          <w:p w14:paraId="55AAD6B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C3H10T1/2 MSCs and primary bone marrow MSCs</w:t>
            </w:r>
          </w:p>
        </w:tc>
        <w:tc>
          <w:tcPr>
            <w:tcW w:w="4678" w:type="dxa"/>
            <w:vAlign w:val="center"/>
          </w:tcPr>
          <w:p w14:paraId="15FD27F1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upregulate the expression of the osteoblastic marker genes in BM-MSCs, and contribute to the osteoblast mineralization at the late stages of differentiation; inhibited the expression of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adipogenic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marker genes, such as PPAR-γ and C/EBP- β</w:t>
            </w:r>
          </w:p>
        </w:tc>
        <w:tc>
          <w:tcPr>
            <w:tcW w:w="504" w:type="dxa"/>
            <w:vAlign w:val="center"/>
          </w:tcPr>
          <w:p w14:paraId="2BF21820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[28]</w:t>
            </w:r>
          </w:p>
        </w:tc>
      </w:tr>
      <w:tr w:rsidR="00E80B1E" w:rsidRPr="009E4F91" w14:paraId="7249D833" w14:textId="77777777" w:rsidTr="00EE4865">
        <w:tc>
          <w:tcPr>
            <w:tcW w:w="562" w:type="dxa"/>
            <w:vAlign w:val="center"/>
          </w:tcPr>
          <w:p w14:paraId="3342B65F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7</w:t>
            </w:r>
          </w:p>
        </w:tc>
        <w:tc>
          <w:tcPr>
            <w:tcW w:w="1276" w:type="dxa"/>
            <w:vAlign w:val="center"/>
          </w:tcPr>
          <w:p w14:paraId="215B1BC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CF192C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 xml:space="preserve">Panax </w:t>
            </w:r>
            <w:proofErr w:type="spellStart"/>
            <w:r w:rsidRPr="00CF192C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>notoginseng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saponins</w:t>
            </w:r>
          </w:p>
        </w:tc>
        <w:tc>
          <w:tcPr>
            <w:tcW w:w="1276" w:type="dxa"/>
            <w:vAlign w:val="center"/>
          </w:tcPr>
          <w:p w14:paraId="3F45684A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</w:p>
        </w:tc>
        <w:tc>
          <w:tcPr>
            <w:tcW w:w="4678" w:type="dxa"/>
            <w:vAlign w:val="center"/>
          </w:tcPr>
          <w:p w14:paraId="64BEA98C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increased ALP activity, Alizarin red S staining and mRNA level of ALP,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Cbfa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1, OC, and BSP, whereas decreased the mRNA level and protein expression of PPARγ2 during osteogenic induction</w:t>
            </w:r>
          </w:p>
        </w:tc>
        <w:tc>
          <w:tcPr>
            <w:tcW w:w="504" w:type="dxa"/>
            <w:vAlign w:val="center"/>
          </w:tcPr>
          <w:p w14:paraId="017B4D1C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[29]</w:t>
            </w:r>
          </w:p>
        </w:tc>
      </w:tr>
      <w:tr w:rsidR="00E80B1E" w:rsidRPr="009E4F91" w14:paraId="71FA87F1" w14:textId="77777777" w:rsidTr="00EE4865">
        <w:tc>
          <w:tcPr>
            <w:tcW w:w="562" w:type="dxa"/>
            <w:vAlign w:val="center"/>
          </w:tcPr>
          <w:p w14:paraId="15F8231A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6B676426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7879FF7C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</w:p>
        </w:tc>
        <w:tc>
          <w:tcPr>
            <w:tcW w:w="4678" w:type="dxa"/>
            <w:vAlign w:val="center"/>
          </w:tcPr>
          <w:p w14:paraId="7B4B37A5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enhanced the mRNA expression of OPG, β-catenin, and cyclin D1 while decreased the mRNA expression of RANKL and PPARγ2</w:t>
            </w:r>
          </w:p>
        </w:tc>
        <w:tc>
          <w:tcPr>
            <w:tcW w:w="504" w:type="dxa"/>
            <w:vAlign w:val="center"/>
          </w:tcPr>
          <w:p w14:paraId="0FA2C209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[30]</w:t>
            </w:r>
          </w:p>
        </w:tc>
      </w:tr>
      <w:tr w:rsidR="00E80B1E" w:rsidRPr="009E4F91" w14:paraId="2B1AF15B" w14:textId="77777777" w:rsidTr="00EE4865">
        <w:tc>
          <w:tcPr>
            <w:tcW w:w="562" w:type="dxa"/>
            <w:vAlign w:val="center"/>
          </w:tcPr>
          <w:p w14:paraId="333E1CF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8</w:t>
            </w:r>
          </w:p>
        </w:tc>
        <w:tc>
          <w:tcPr>
            <w:tcW w:w="1276" w:type="dxa"/>
            <w:vAlign w:val="center"/>
          </w:tcPr>
          <w:p w14:paraId="70EAFA3D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Naringin</w:t>
            </w:r>
          </w:p>
        </w:tc>
        <w:tc>
          <w:tcPr>
            <w:tcW w:w="1276" w:type="dxa"/>
            <w:vAlign w:val="center"/>
          </w:tcPr>
          <w:p w14:paraId="018ED852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600D737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increased mRNA levels of osteogenic genes and Notch1 expression, while decreasing PPARγ2 mRNA levels</w:t>
            </w:r>
          </w:p>
        </w:tc>
        <w:tc>
          <w:tcPr>
            <w:tcW w:w="504" w:type="dxa"/>
            <w:vAlign w:val="center"/>
          </w:tcPr>
          <w:p w14:paraId="7F13867A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[31]</w:t>
            </w:r>
          </w:p>
        </w:tc>
      </w:tr>
      <w:tr w:rsidR="00E80B1E" w:rsidRPr="009E4F91" w14:paraId="0994B67E" w14:textId="77777777" w:rsidTr="00EE4865">
        <w:tc>
          <w:tcPr>
            <w:tcW w:w="562" w:type="dxa"/>
            <w:vAlign w:val="center"/>
          </w:tcPr>
          <w:p w14:paraId="43A9ED6D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69063F5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2FB9F202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BM-MSCs</w:t>
            </w:r>
          </w:p>
        </w:tc>
        <w:tc>
          <w:tcPr>
            <w:tcW w:w="4678" w:type="dxa"/>
            <w:vAlign w:val="center"/>
          </w:tcPr>
          <w:p w14:paraId="0B86100B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enhance the proliferation and osteogenic differentiation of human BM-MSCs</w:t>
            </w:r>
          </w:p>
        </w:tc>
        <w:tc>
          <w:tcPr>
            <w:tcW w:w="504" w:type="dxa"/>
            <w:vAlign w:val="center"/>
          </w:tcPr>
          <w:p w14:paraId="31223D41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[32]</w:t>
            </w:r>
          </w:p>
        </w:tc>
      </w:tr>
      <w:tr w:rsidR="00E80B1E" w:rsidRPr="009E4F91" w14:paraId="72343F08" w14:textId="77777777" w:rsidTr="00EE4865">
        <w:tc>
          <w:tcPr>
            <w:tcW w:w="562" w:type="dxa"/>
            <w:vAlign w:val="center"/>
          </w:tcPr>
          <w:p w14:paraId="2929A50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3DAC487F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1565F2E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human 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A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SCs</w:t>
            </w:r>
          </w:p>
        </w:tc>
        <w:tc>
          <w:tcPr>
            <w:tcW w:w="4678" w:type="dxa"/>
            <w:vAlign w:val="center"/>
          </w:tcPr>
          <w:p w14:paraId="0324355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activation of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Wnt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signaling</w:t>
            </w:r>
          </w:p>
        </w:tc>
        <w:tc>
          <w:tcPr>
            <w:tcW w:w="504" w:type="dxa"/>
            <w:vAlign w:val="center"/>
          </w:tcPr>
          <w:p w14:paraId="1F1E8DD7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[44]</w:t>
            </w:r>
          </w:p>
        </w:tc>
      </w:tr>
      <w:tr w:rsidR="00E80B1E" w:rsidRPr="009E4F91" w14:paraId="058D8C57" w14:textId="77777777" w:rsidTr="00EE4865">
        <w:tc>
          <w:tcPr>
            <w:tcW w:w="562" w:type="dxa"/>
            <w:vAlign w:val="center"/>
          </w:tcPr>
          <w:p w14:paraId="5963032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9</w:t>
            </w:r>
          </w:p>
        </w:tc>
        <w:tc>
          <w:tcPr>
            <w:tcW w:w="1276" w:type="dxa"/>
            <w:vAlign w:val="center"/>
          </w:tcPr>
          <w:p w14:paraId="467CC2B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Harmine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B46AE43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C3H10T1/2 cells</w:t>
            </w:r>
          </w:p>
        </w:tc>
        <w:tc>
          <w:tcPr>
            <w:tcW w:w="4678" w:type="dxa"/>
            <w:vAlign w:val="center"/>
          </w:tcPr>
          <w:p w14:paraId="21981AA1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promoted ALP activity in MC3T3-E1 cells without affecting their proliferation; increased the mRNA expressions of the osteoblast marker genes ALP and </w:t>
            </w:r>
            <w:proofErr w:type="spellStart"/>
            <w:proofErr w:type="gramStart"/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o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steocalcin;enhanced</w:t>
            </w:r>
            <w:proofErr w:type="spellEnd"/>
            <w:proofErr w:type="gram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the mRNA expressions of Runx2 and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Osterix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, which are key transcription factors in osteoblast differentiation</w:t>
            </w:r>
            <w:r>
              <w:rPr>
                <w:rFonts w:ascii="Arial" w:eastAsia="DengXian" w:hAnsi="Arial" w:cs="Arial" w:hint="eastAsia"/>
                <w:color w:val="000000"/>
                <w:sz w:val="13"/>
                <w:szCs w:val="13"/>
              </w:rPr>
              <w:t>;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inducing the expressions of BMPs and activating BMP and Runx2 pathways</w:t>
            </w:r>
          </w:p>
        </w:tc>
        <w:tc>
          <w:tcPr>
            <w:tcW w:w="504" w:type="dxa"/>
            <w:vAlign w:val="center"/>
          </w:tcPr>
          <w:p w14:paraId="6342679B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[33]</w:t>
            </w:r>
          </w:p>
        </w:tc>
      </w:tr>
      <w:tr w:rsidR="00E80B1E" w:rsidRPr="009E4F91" w14:paraId="22F56E25" w14:textId="77777777" w:rsidTr="00EE4865">
        <w:tc>
          <w:tcPr>
            <w:tcW w:w="562" w:type="dxa"/>
            <w:vAlign w:val="center"/>
          </w:tcPr>
          <w:p w14:paraId="224D8FB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276" w:type="dxa"/>
            <w:vAlign w:val="center"/>
          </w:tcPr>
          <w:p w14:paraId="148F3C7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Epigallocatechin-3- gallate</w:t>
            </w:r>
          </w:p>
        </w:tc>
        <w:tc>
          <w:tcPr>
            <w:tcW w:w="1276" w:type="dxa"/>
            <w:vAlign w:val="center"/>
          </w:tcPr>
          <w:p w14:paraId="560F8B0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2D5577AA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promote cell growth; enhance osteogenesis in the presence of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osteoinductive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agents through the upregulation of BMP2 expression</w:t>
            </w:r>
          </w:p>
        </w:tc>
        <w:tc>
          <w:tcPr>
            <w:tcW w:w="504" w:type="dxa"/>
            <w:vAlign w:val="center"/>
          </w:tcPr>
          <w:p w14:paraId="42DC92B8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[34]</w:t>
            </w:r>
          </w:p>
        </w:tc>
      </w:tr>
      <w:tr w:rsidR="00E80B1E" w:rsidRPr="009E4F91" w14:paraId="53E73DBA" w14:textId="77777777" w:rsidTr="00EE4865">
        <w:tc>
          <w:tcPr>
            <w:tcW w:w="562" w:type="dxa"/>
            <w:vAlign w:val="center"/>
          </w:tcPr>
          <w:p w14:paraId="3C8F37FD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hAnsi="Arial" w:cs="Arial"/>
                <w:sz w:val="13"/>
                <w:szCs w:val="13"/>
              </w:rPr>
              <w:t>11</w:t>
            </w:r>
          </w:p>
        </w:tc>
        <w:tc>
          <w:tcPr>
            <w:tcW w:w="1276" w:type="dxa"/>
            <w:vAlign w:val="center"/>
          </w:tcPr>
          <w:p w14:paraId="5D63C7BD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Gastrodin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7F28DE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0F3AB482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promoted the </w:t>
            </w:r>
            <w:proofErr w:type="spellStart"/>
            <w:proofErr w:type="gram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proliferation,improved</w:t>
            </w:r>
            <w:proofErr w:type="spellEnd"/>
            <w:proofErr w:type="gram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ALP, OCN, COL I, OPN; reduced ROS</w:t>
            </w:r>
          </w:p>
        </w:tc>
        <w:tc>
          <w:tcPr>
            <w:tcW w:w="504" w:type="dxa"/>
            <w:vAlign w:val="center"/>
          </w:tcPr>
          <w:p w14:paraId="5A2B8DAE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[19]</w:t>
            </w:r>
          </w:p>
        </w:tc>
      </w:tr>
      <w:tr w:rsidR="00E80B1E" w:rsidRPr="009E4F91" w14:paraId="3AAE8053" w14:textId="77777777" w:rsidTr="00EE4865">
        <w:tc>
          <w:tcPr>
            <w:tcW w:w="562" w:type="dxa"/>
            <w:vAlign w:val="center"/>
          </w:tcPr>
          <w:p w14:paraId="6937E986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276" w:type="dxa"/>
            <w:vAlign w:val="center"/>
          </w:tcPr>
          <w:p w14:paraId="2106BB8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ZD-I</w:t>
            </w:r>
          </w:p>
        </w:tc>
        <w:tc>
          <w:tcPr>
            <w:tcW w:w="1276" w:type="dxa"/>
            <w:vAlign w:val="center"/>
          </w:tcPr>
          <w:p w14:paraId="1A5521EE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-TERT cell</w:t>
            </w:r>
          </w:p>
        </w:tc>
        <w:tc>
          <w:tcPr>
            <w:tcW w:w="4678" w:type="dxa"/>
            <w:vAlign w:val="center"/>
          </w:tcPr>
          <w:p w14:paraId="4F0372EA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stimulatory effects on the proliferation and inhibitory effects on mineralization of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through down-regulation of several osteogenic markers such as osteocalcin, BMP-2, and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osteopontin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in the late stages</w:t>
            </w:r>
          </w:p>
        </w:tc>
        <w:tc>
          <w:tcPr>
            <w:tcW w:w="504" w:type="dxa"/>
            <w:vAlign w:val="center"/>
          </w:tcPr>
          <w:p w14:paraId="525C5179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[24]</w:t>
            </w:r>
          </w:p>
        </w:tc>
      </w:tr>
      <w:tr w:rsidR="00E80B1E" w:rsidRPr="009E4F91" w14:paraId="1570B4AB" w14:textId="77777777" w:rsidTr="00EE4865">
        <w:tc>
          <w:tcPr>
            <w:tcW w:w="562" w:type="dxa"/>
            <w:vAlign w:val="center"/>
          </w:tcPr>
          <w:p w14:paraId="537DC32C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276" w:type="dxa"/>
            <w:vAlign w:val="center"/>
          </w:tcPr>
          <w:p w14:paraId="1AB552B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BuShenNingXin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Decoction</w:t>
            </w:r>
          </w:p>
        </w:tc>
        <w:tc>
          <w:tcPr>
            <w:tcW w:w="1276" w:type="dxa"/>
            <w:vAlign w:val="center"/>
          </w:tcPr>
          <w:p w14:paraId="39330741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 xml:space="preserve">mice </w:t>
            </w:r>
            <w:r w:rsidRPr="009E4F91">
              <w:rPr>
                <w:rFonts w:ascii="Arial" w:hAnsi="Arial" w:cs="Arial"/>
                <w:sz w:val="13"/>
                <w:szCs w:val="13"/>
              </w:rPr>
              <w:t>MSCs</w:t>
            </w:r>
          </w:p>
        </w:tc>
        <w:tc>
          <w:tcPr>
            <w:tcW w:w="4678" w:type="dxa"/>
            <w:vAlign w:val="center"/>
          </w:tcPr>
          <w:p w14:paraId="75AA1B1B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increased ALP activity as well as collagen type I, osteocalcin, Runx2, and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osterix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mRNA expression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;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decreased adipocyte numbers and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PPARγ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mRNA expression, whereas in Tregs; enhanced ALP activity</w:t>
            </w:r>
          </w:p>
        </w:tc>
        <w:tc>
          <w:tcPr>
            <w:tcW w:w="504" w:type="dxa"/>
            <w:vAlign w:val="center"/>
          </w:tcPr>
          <w:p w14:paraId="19DEDA7D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[37]</w:t>
            </w:r>
          </w:p>
        </w:tc>
      </w:tr>
      <w:tr w:rsidR="00E80B1E" w:rsidRPr="009E4F91" w14:paraId="3152CF7D" w14:textId="77777777" w:rsidTr="00EE4865">
        <w:tc>
          <w:tcPr>
            <w:tcW w:w="562" w:type="dxa"/>
            <w:vAlign w:val="center"/>
          </w:tcPr>
          <w:p w14:paraId="1FCFD3FF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lastRenderedPageBreak/>
              <w:t>14</w:t>
            </w:r>
          </w:p>
        </w:tc>
        <w:tc>
          <w:tcPr>
            <w:tcW w:w="1276" w:type="dxa"/>
            <w:vAlign w:val="center"/>
          </w:tcPr>
          <w:p w14:paraId="0304A93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Flavonoids of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epimedii</w:t>
            </w:r>
            <w:proofErr w:type="spellEnd"/>
          </w:p>
        </w:tc>
        <w:tc>
          <w:tcPr>
            <w:tcW w:w="1276" w:type="dxa"/>
            <w:vAlign w:val="center"/>
          </w:tcPr>
          <w:p w14:paraId="64DD6D9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1DC11671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increased rates of osteogenic activity through the BMP or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Wnt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-signaling pathway</w:t>
            </w:r>
          </w:p>
        </w:tc>
        <w:tc>
          <w:tcPr>
            <w:tcW w:w="504" w:type="dxa"/>
            <w:vAlign w:val="center"/>
          </w:tcPr>
          <w:p w14:paraId="1386B177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[38]</w:t>
            </w:r>
          </w:p>
        </w:tc>
      </w:tr>
      <w:tr w:rsidR="00E80B1E" w:rsidRPr="009E4F91" w14:paraId="142213FF" w14:textId="77777777" w:rsidTr="00EE4865">
        <w:tc>
          <w:tcPr>
            <w:tcW w:w="562" w:type="dxa"/>
            <w:vAlign w:val="center"/>
          </w:tcPr>
          <w:p w14:paraId="50EEBD29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15</w:t>
            </w:r>
          </w:p>
        </w:tc>
        <w:tc>
          <w:tcPr>
            <w:tcW w:w="1276" w:type="dxa"/>
            <w:vAlign w:val="center"/>
          </w:tcPr>
          <w:p w14:paraId="71DBA40F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865849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>Angelica sinensis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polysaccharide</w:t>
            </w:r>
          </w:p>
        </w:tc>
        <w:tc>
          <w:tcPr>
            <w:tcW w:w="1276" w:type="dxa"/>
            <w:vAlign w:val="center"/>
          </w:tcPr>
          <w:p w14:paraId="1231CF4F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rat BMSCs</w:t>
            </w:r>
          </w:p>
        </w:tc>
        <w:tc>
          <w:tcPr>
            <w:tcW w:w="4678" w:type="dxa"/>
            <w:vAlign w:val="center"/>
          </w:tcPr>
          <w:p w14:paraId="1BEAC6EB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promote the osteogenic differentiation of rat BM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-M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SCs under high glucose culture and induce bone regeneration in rats with type 2 diabetes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; 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activation of the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Wnt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/β-catenin signaling pathway.</w:t>
            </w:r>
          </w:p>
        </w:tc>
        <w:tc>
          <w:tcPr>
            <w:tcW w:w="504" w:type="dxa"/>
            <w:vAlign w:val="center"/>
          </w:tcPr>
          <w:p w14:paraId="18DDE836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[39]</w:t>
            </w:r>
          </w:p>
        </w:tc>
      </w:tr>
      <w:tr w:rsidR="00E80B1E" w:rsidRPr="009E4F91" w14:paraId="2667B7A6" w14:textId="77777777" w:rsidTr="00EE4865">
        <w:tc>
          <w:tcPr>
            <w:tcW w:w="562" w:type="dxa"/>
            <w:vAlign w:val="center"/>
          </w:tcPr>
          <w:p w14:paraId="7A65CFD6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16</w:t>
            </w:r>
          </w:p>
        </w:tc>
        <w:tc>
          <w:tcPr>
            <w:tcW w:w="1276" w:type="dxa"/>
            <w:vAlign w:val="center"/>
          </w:tcPr>
          <w:p w14:paraId="2EE3396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</w:t>
            </w:r>
            <w:r w:rsidRPr="00865849">
              <w:rPr>
                <w:rFonts w:ascii="Arial" w:eastAsia="DengXian" w:hAnsi="Arial" w:cs="Arial"/>
                <w:i/>
                <w:iCs/>
                <w:color w:val="000000"/>
                <w:sz w:val="13"/>
                <w:szCs w:val="13"/>
              </w:rPr>
              <w:t>Ginkgo biloba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(Ginkgolide B)</w:t>
            </w:r>
          </w:p>
        </w:tc>
        <w:tc>
          <w:tcPr>
            <w:tcW w:w="1276" w:type="dxa"/>
            <w:vAlign w:val="center"/>
          </w:tcPr>
          <w:p w14:paraId="5E1E1D93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4461859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promote osteogenesis in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hBMSCs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through up-regulation of Runx2 and BMP4 expression in BMP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signalling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, as well as β-catenin and Cyclin D1 in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Wnt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/β-catenin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signalling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; Ginkgolide B: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Wnt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/β-catenin-dependent</w:t>
            </w:r>
          </w:p>
        </w:tc>
        <w:tc>
          <w:tcPr>
            <w:tcW w:w="504" w:type="dxa"/>
            <w:vAlign w:val="center"/>
          </w:tcPr>
          <w:p w14:paraId="6C4ECEFD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[40][45]</w:t>
            </w:r>
          </w:p>
        </w:tc>
      </w:tr>
      <w:tr w:rsidR="00E80B1E" w:rsidRPr="009E4F91" w14:paraId="6659AFD7" w14:textId="77777777" w:rsidTr="00EE4865">
        <w:tc>
          <w:tcPr>
            <w:tcW w:w="562" w:type="dxa"/>
            <w:vAlign w:val="center"/>
          </w:tcPr>
          <w:p w14:paraId="73FD18F8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17</w:t>
            </w:r>
          </w:p>
        </w:tc>
        <w:tc>
          <w:tcPr>
            <w:tcW w:w="1276" w:type="dxa"/>
            <w:vAlign w:val="center"/>
          </w:tcPr>
          <w:p w14:paraId="4FB3CEBD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Berberine</w:t>
            </w:r>
          </w:p>
        </w:tc>
        <w:tc>
          <w:tcPr>
            <w:tcW w:w="1276" w:type="dxa"/>
            <w:vAlign w:val="center"/>
          </w:tcPr>
          <w:p w14:paraId="400F112F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</w:p>
        </w:tc>
        <w:tc>
          <w:tcPr>
            <w:tcW w:w="4678" w:type="dxa"/>
            <w:vAlign w:val="center"/>
          </w:tcPr>
          <w:p w14:paraId="1D1320D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stimulate osteogenic differentiation of MSCs by enhancing Runx2 expression and by activating canonical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Wnt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/β-catenin signaling pathway</w:t>
            </w:r>
          </w:p>
        </w:tc>
        <w:tc>
          <w:tcPr>
            <w:tcW w:w="504" w:type="dxa"/>
            <w:vAlign w:val="center"/>
          </w:tcPr>
          <w:p w14:paraId="01DF15F3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[41]</w:t>
            </w:r>
          </w:p>
        </w:tc>
      </w:tr>
      <w:tr w:rsidR="00E80B1E" w:rsidRPr="009E4F91" w14:paraId="419960A3" w14:textId="77777777" w:rsidTr="00EE4865">
        <w:tc>
          <w:tcPr>
            <w:tcW w:w="562" w:type="dxa"/>
            <w:vAlign w:val="center"/>
          </w:tcPr>
          <w:p w14:paraId="19BBBD87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18</w:t>
            </w:r>
          </w:p>
        </w:tc>
        <w:tc>
          <w:tcPr>
            <w:tcW w:w="1276" w:type="dxa"/>
            <w:vAlign w:val="center"/>
          </w:tcPr>
          <w:p w14:paraId="5262962B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Salvianolic acid B</w:t>
            </w:r>
          </w:p>
        </w:tc>
        <w:tc>
          <w:tcPr>
            <w:tcW w:w="1276" w:type="dxa"/>
            <w:vAlign w:val="center"/>
          </w:tcPr>
          <w:p w14:paraId="2B27DD51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</w:p>
        </w:tc>
        <w:tc>
          <w:tcPr>
            <w:tcW w:w="4678" w:type="dxa"/>
            <w:vAlign w:val="center"/>
          </w:tcPr>
          <w:p w14:paraId="33624345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influence the ERK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signalling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pathway; affected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Wnt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pathway through the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up-regulation of β-catenin mRNA expression and down-regulation of Dickkopf-1 (DKK-1); enhanced Runx2 and decreased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PPARγ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mRNA expression, promoting the lineage commitment of MSCs to osteogenesis</w:t>
            </w:r>
          </w:p>
        </w:tc>
        <w:tc>
          <w:tcPr>
            <w:tcW w:w="504" w:type="dxa"/>
            <w:vAlign w:val="center"/>
          </w:tcPr>
          <w:p w14:paraId="5BBB758C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[42]</w:t>
            </w:r>
          </w:p>
        </w:tc>
      </w:tr>
      <w:tr w:rsidR="00E80B1E" w:rsidRPr="009E4F91" w14:paraId="05426D48" w14:textId="77777777" w:rsidTr="00EE4865">
        <w:tc>
          <w:tcPr>
            <w:tcW w:w="562" w:type="dxa"/>
            <w:vAlign w:val="center"/>
          </w:tcPr>
          <w:p w14:paraId="341D32D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5F33617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512E7DB3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7F991EB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stimulated MSC differentiation to osteoblast and increased osteoblast activities, decreased GC associated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adipogenic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differentiation by down-regulation of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PPARγ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mRNA expression, increased Runx2 mRNA expression without osteoblast inducement, decreased Dickkopf-1 and increased β-catenin mRNA expression with or without adipocyte inducement in MSC</w:t>
            </w:r>
          </w:p>
        </w:tc>
        <w:tc>
          <w:tcPr>
            <w:tcW w:w="504" w:type="dxa"/>
            <w:vAlign w:val="center"/>
          </w:tcPr>
          <w:p w14:paraId="303BE810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[43]</w:t>
            </w:r>
          </w:p>
        </w:tc>
      </w:tr>
      <w:tr w:rsidR="00E80B1E" w:rsidRPr="009E4F91" w14:paraId="0EC4C130" w14:textId="77777777" w:rsidTr="00EE4865">
        <w:tc>
          <w:tcPr>
            <w:tcW w:w="562" w:type="dxa"/>
            <w:vAlign w:val="center"/>
          </w:tcPr>
          <w:p w14:paraId="606710DC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19</w:t>
            </w:r>
          </w:p>
        </w:tc>
        <w:tc>
          <w:tcPr>
            <w:tcW w:w="1276" w:type="dxa"/>
            <w:vAlign w:val="center"/>
          </w:tcPr>
          <w:p w14:paraId="6CFEC07B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Silibinin</w:t>
            </w:r>
            <w:proofErr w:type="spellEnd"/>
          </w:p>
        </w:tc>
        <w:tc>
          <w:tcPr>
            <w:tcW w:w="1276" w:type="dxa"/>
            <w:vAlign w:val="center"/>
          </w:tcPr>
          <w:p w14:paraId="042B127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03711D2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inducing the expressions of BMPs and activating BMP and Runx2 pathways</w:t>
            </w:r>
          </w:p>
        </w:tc>
        <w:tc>
          <w:tcPr>
            <w:tcW w:w="504" w:type="dxa"/>
            <w:vAlign w:val="center"/>
          </w:tcPr>
          <w:p w14:paraId="25782F8B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[46]</w:t>
            </w:r>
          </w:p>
        </w:tc>
      </w:tr>
      <w:tr w:rsidR="00E80B1E" w:rsidRPr="009E4F91" w14:paraId="7DA44955" w14:textId="77777777" w:rsidTr="00EE4865">
        <w:tc>
          <w:tcPr>
            <w:tcW w:w="562" w:type="dxa"/>
            <w:vAlign w:val="center"/>
          </w:tcPr>
          <w:p w14:paraId="2D34122D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20</w:t>
            </w:r>
          </w:p>
        </w:tc>
        <w:tc>
          <w:tcPr>
            <w:tcW w:w="1276" w:type="dxa"/>
            <w:vAlign w:val="center"/>
          </w:tcPr>
          <w:p w14:paraId="41AA039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Genistein</w:t>
            </w:r>
          </w:p>
        </w:tc>
        <w:tc>
          <w:tcPr>
            <w:tcW w:w="1276" w:type="dxa"/>
            <w:vAlign w:val="center"/>
          </w:tcPr>
          <w:p w14:paraId="325991E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4678" w:type="dxa"/>
            <w:vAlign w:val="center"/>
          </w:tcPr>
          <w:p w14:paraId="313E112C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the differentiation mediated by ERα-dependent BMP activation leading to increasing expression of Runx2 and small mothers against decapentaplegic homologs 5 (SMAD 5)</w:t>
            </w:r>
          </w:p>
        </w:tc>
        <w:tc>
          <w:tcPr>
            <w:tcW w:w="504" w:type="dxa"/>
            <w:vAlign w:val="center"/>
          </w:tcPr>
          <w:p w14:paraId="352593CF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[47]</w:t>
            </w:r>
          </w:p>
        </w:tc>
      </w:tr>
      <w:tr w:rsidR="00E80B1E" w:rsidRPr="009E4F91" w14:paraId="79CAB4C1" w14:textId="77777777" w:rsidTr="00EE4865">
        <w:tc>
          <w:tcPr>
            <w:tcW w:w="562" w:type="dxa"/>
            <w:vAlign w:val="center"/>
          </w:tcPr>
          <w:p w14:paraId="229E399E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21</w:t>
            </w:r>
          </w:p>
        </w:tc>
        <w:tc>
          <w:tcPr>
            <w:tcW w:w="1276" w:type="dxa"/>
            <w:vAlign w:val="center"/>
          </w:tcPr>
          <w:p w14:paraId="2B152011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Icariin</w:t>
            </w:r>
          </w:p>
        </w:tc>
        <w:tc>
          <w:tcPr>
            <w:tcW w:w="1276" w:type="dxa"/>
            <w:vAlign w:val="center"/>
          </w:tcPr>
          <w:p w14:paraId="647BF275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rat BM-MSC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</w:p>
        </w:tc>
        <w:tc>
          <w:tcPr>
            <w:tcW w:w="4678" w:type="dxa"/>
            <w:vAlign w:val="center"/>
          </w:tcPr>
          <w:p w14:paraId="02115AE2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i</w:t>
            </w:r>
            <w:r w:rsidRPr="00E77096">
              <w:rPr>
                <w:rFonts w:ascii="Arial" w:eastAsia="DengXian" w:hAnsi="Arial" w:cs="Arial"/>
                <w:color w:val="000000"/>
                <w:sz w:val="13"/>
                <w:szCs w:val="13"/>
              </w:rPr>
              <w:t>ncrease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d</w:t>
            </w:r>
            <w:r>
              <w:rPr>
                <w:rFonts w:ascii="Arial" w:eastAsia="DengXian" w:hAnsi="Arial" w:cs="Arial" w:hint="eastAsia"/>
                <w:color w:val="000000"/>
                <w:sz w:val="13"/>
                <w:szCs w:val="13"/>
              </w:rPr>
              <w:t xml:space="preserve"> 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ERK, p38 kinase and JNK</w:t>
            </w:r>
          </w:p>
        </w:tc>
        <w:tc>
          <w:tcPr>
            <w:tcW w:w="504" w:type="dxa"/>
            <w:vAlign w:val="center"/>
          </w:tcPr>
          <w:p w14:paraId="6ED8448D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[49]</w:t>
            </w:r>
          </w:p>
        </w:tc>
      </w:tr>
      <w:tr w:rsidR="00E80B1E" w:rsidRPr="009E4F91" w14:paraId="58E39065" w14:textId="77777777" w:rsidTr="00EE4865">
        <w:tc>
          <w:tcPr>
            <w:tcW w:w="562" w:type="dxa"/>
            <w:vAlign w:val="center"/>
          </w:tcPr>
          <w:p w14:paraId="708557A8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4680B88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5332D2B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MSCs</w:t>
            </w:r>
          </w:p>
        </w:tc>
        <w:tc>
          <w:tcPr>
            <w:tcW w:w="4678" w:type="dxa"/>
            <w:vAlign w:val="center"/>
          </w:tcPr>
          <w:p w14:paraId="5FCA12D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activation of the PI3K-AKT-eNOS-NO-cGMP-PKG pathway in treated cells</w:t>
            </w:r>
          </w:p>
        </w:tc>
        <w:tc>
          <w:tcPr>
            <w:tcW w:w="504" w:type="dxa"/>
            <w:vAlign w:val="center"/>
          </w:tcPr>
          <w:p w14:paraId="6640A414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[50]</w:t>
            </w:r>
          </w:p>
        </w:tc>
      </w:tr>
      <w:tr w:rsidR="00E80B1E" w:rsidRPr="009E4F91" w14:paraId="48E33FA2" w14:textId="77777777" w:rsidTr="00EE4865">
        <w:tc>
          <w:tcPr>
            <w:tcW w:w="562" w:type="dxa"/>
            <w:vAlign w:val="center"/>
          </w:tcPr>
          <w:p w14:paraId="2D27599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22</w:t>
            </w:r>
          </w:p>
        </w:tc>
        <w:tc>
          <w:tcPr>
            <w:tcW w:w="1276" w:type="dxa"/>
            <w:vAlign w:val="center"/>
          </w:tcPr>
          <w:p w14:paraId="59A3F893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Quercetin</w:t>
            </w:r>
          </w:p>
        </w:tc>
        <w:tc>
          <w:tcPr>
            <w:tcW w:w="1276" w:type="dxa"/>
            <w:vAlign w:val="center"/>
          </w:tcPr>
          <w:p w14:paraId="028404A2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</w:p>
        </w:tc>
        <w:tc>
          <w:tcPr>
            <w:tcW w:w="4678" w:type="dxa"/>
            <w:vAlign w:val="center"/>
          </w:tcPr>
          <w:p w14:paraId="1DB27D8A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activation of ERK and p38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signalling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pathways</w:t>
            </w:r>
          </w:p>
        </w:tc>
        <w:tc>
          <w:tcPr>
            <w:tcW w:w="504" w:type="dxa"/>
            <w:vAlign w:val="center"/>
          </w:tcPr>
          <w:p w14:paraId="6386E3EF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[51]</w:t>
            </w:r>
          </w:p>
        </w:tc>
      </w:tr>
      <w:tr w:rsidR="00E80B1E" w:rsidRPr="009E4F91" w14:paraId="1B19AFA2" w14:textId="77777777" w:rsidTr="00EE4865">
        <w:tc>
          <w:tcPr>
            <w:tcW w:w="562" w:type="dxa"/>
            <w:vAlign w:val="center"/>
          </w:tcPr>
          <w:p w14:paraId="510D14B3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7DDFF19D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1345050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</w:p>
        </w:tc>
        <w:tc>
          <w:tcPr>
            <w:tcW w:w="4678" w:type="dxa"/>
            <w:vAlign w:val="center"/>
          </w:tcPr>
          <w:p w14:paraId="59DEB415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DengXian" w:hAnsi="Arial" w:cs="Arial"/>
                <w:color w:val="111111"/>
                <w:sz w:val="13"/>
                <w:szCs w:val="13"/>
              </w:rPr>
              <w:t>d</w:t>
            </w:r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>ecrease in replicative senescence, oxidative stress, inflammation and apoptosis in WS</w:t>
            </w:r>
            <w:r>
              <w:rPr>
                <w:rFonts w:ascii="Arial" w:eastAsia="DengXian" w:hAnsi="Arial" w:cs="Arial"/>
                <w:color w:val="111111"/>
                <w:sz w:val="13"/>
                <w:szCs w:val="13"/>
              </w:rPr>
              <w:t>-</w:t>
            </w:r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>MSCs; enhancement of osteogenic and chondrogenic differentiation in WS</w:t>
            </w:r>
            <w:r>
              <w:rPr>
                <w:rFonts w:ascii="Arial" w:eastAsia="DengXian" w:hAnsi="Arial" w:cs="Arial"/>
                <w:color w:val="111111"/>
                <w:sz w:val="13"/>
                <w:szCs w:val="13"/>
              </w:rPr>
              <w:t>-</w:t>
            </w:r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>MSCs; attenuation of cellular senescence in HGPS MSCs and in both physiological-aging MSCs</w:t>
            </w:r>
          </w:p>
        </w:tc>
        <w:tc>
          <w:tcPr>
            <w:tcW w:w="504" w:type="dxa"/>
            <w:vAlign w:val="center"/>
          </w:tcPr>
          <w:p w14:paraId="4FAF81F7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[52]</w:t>
            </w:r>
          </w:p>
        </w:tc>
      </w:tr>
      <w:tr w:rsidR="00E80B1E" w:rsidRPr="009E4F91" w14:paraId="4CF149F4" w14:textId="77777777" w:rsidTr="00EE4865">
        <w:tc>
          <w:tcPr>
            <w:tcW w:w="562" w:type="dxa"/>
            <w:vAlign w:val="center"/>
          </w:tcPr>
          <w:p w14:paraId="4373979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448B6F7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344032D9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AS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Cs</w:t>
            </w:r>
          </w:p>
        </w:tc>
        <w:tc>
          <w:tcPr>
            <w:tcW w:w="4678" w:type="dxa"/>
            <w:vAlign w:val="center"/>
          </w:tcPr>
          <w:p w14:paraId="1DEB8A06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>increase osteogenic differentiation of mouse ASC</w:t>
            </w:r>
            <w:r>
              <w:rPr>
                <w:rFonts w:ascii="Arial" w:eastAsia="DengXian" w:hAnsi="Arial" w:cs="Arial"/>
                <w:color w:val="111111"/>
                <w:sz w:val="13"/>
                <w:szCs w:val="13"/>
              </w:rPr>
              <w:t>s</w:t>
            </w:r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 xml:space="preserve">, enhancing the expression of </w:t>
            </w:r>
            <w:proofErr w:type="spellStart"/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>Osx</w:t>
            </w:r>
            <w:proofErr w:type="spellEnd"/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>, Runx2, BMP- 2, Col1, OPN and OCN genes</w:t>
            </w:r>
          </w:p>
        </w:tc>
        <w:tc>
          <w:tcPr>
            <w:tcW w:w="504" w:type="dxa"/>
            <w:vAlign w:val="center"/>
          </w:tcPr>
          <w:p w14:paraId="701ABDD3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[36]</w:t>
            </w:r>
          </w:p>
        </w:tc>
      </w:tr>
      <w:tr w:rsidR="00E80B1E" w:rsidRPr="009E4F91" w14:paraId="513743DD" w14:textId="77777777" w:rsidTr="00EE4865">
        <w:tc>
          <w:tcPr>
            <w:tcW w:w="562" w:type="dxa"/>
            <w:vAlign w:val="center"/>
          </w:tcPr>
          <w:p w14:paraId="5FAEEAAF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123</w:t>
            </w:r>
          </w:p>
        </w:tc>
        <w:tc>
          <w:tcPr>
            <w:tcW w:w="1276" w:type="dxa"/>
            <w:vAlign w:val="center"/>
          </w:tcPr>
          <w:p w14:paraId="546E1BA2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Fucoidan</w:t>
            </w:r>
          </w:p>
        </w:tc>
        <w:tc>
          <w:tcPr>
            <w:tcW w:w="1276" w:type="dxa"/>
            <w:vAlign w:val="center"/>
          </w:tcPr>
          <w:p w14:paraId="1F26EA73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h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32FCF40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induces osteoblast differentiation through BMP2-Smad 1/5/8 signaling by activating ERK and JNK</w:t>
            </w:r>
          </w:p>
        </w:tc>
        <w:tc>
          <w:tcPr>
            <w:tcW w:w="504" w:type="dxa"/>
            <w:vAlign w:val="center"/>
          </w:tcPr>
          <w:p w14:paraId="2D2A7780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[53]</w:t>
            </w:r>
          </w:p>
        </w:tc>
      </w:tr>
      <w:tr w:rsidR="00E80B1E" w:rsidRPr="009E4F91" w14:paraId="2EB38CD3" w14:textId="77777777" w:rsidTr="00EE4865">
        <w:tc>
          <w:tcPr>
            <w:tcW w:w="562" w:type="dxa"/>
            <w:vAlign w:val="center"/>
          </w:tcPr>
          <w:p w14:paraId="5033515F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5BC58C6A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44A8B5B8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murine BM-MSC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s</w:t>
            </w:r>
          </w:p>
        </w:tc>
        <w:tc>
          <w:tcPr>
            <w:tcW w:w="4678" w:type="dxa"/>
            <w:vAlign w:val="center"/>
          </w:tcPr>
          <w:p w14:paraId="17502D5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promote osteogenic differentiation via controlling the sequential markers at the early and late stages of osteogenic differentiation in D1 cells</w:t>
            </w:r>
          </w:p>
        </w:tc>
        <w:tc>
          <w:tcPr>
            <w:tcW w:w="504" w:type="dxa"/>
            <w:vAlign w:val="center"/>
          </w:tcPr>
          <w:p w14:paraId="79E704E4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[54]</w:t>
            </w:r>
          </w:p>
        </w:tc>
      </w:tr>
      <w:tr w:rsidR="00E80B1E" w:rsidRPr="009E4F91" w14:paraId="5709AA7E" w14:textId="77777777" w:rsidTr="00EE4865">
        <w:tc>
          <w:tcPr>
            <w:tcW w:w="562" w:type="dxa"/>
            <w:vAlign w:val="center"/>
          </w:tcPr>
          <w:p w14:paraId="392E4701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3F66CEB9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6615757B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h</w:t>
            </w: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uman ASCs</w:t>
            </w:r>
          </w:p>
        </w:tc>
        <w:tc>
          <w:tcPr>
            <w:tcW w:w="4678" w:type="dxa"/>
            <w:vAlign w:val="center"/>
          </w:tcPr>
          <w:p w14:paraId="6048ED9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enhanced the expression of osteogenesis-specific marker genes, including ALP,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osteopontin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, type I collagen, Runt-related transcription factor 2, and osteocalcin</w:t>
            </w:r>
          </w:p>
        </w:tc>
        <w:tc>
          <w:tcPr>
            <w:tcW w:w="504" w:type="dxa"/>
            <w:vAlign w:val="center"/>
          </w:tcPr>
          <w:p w14:paraId="68CE8D25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[35]</w:t>
            </w:r>
          </w:p>
        </w:tc>
      </w:tr>
      <w:tr w:rsidR="00E80B1E" w:rsidRPr="009E4F91" w14:paraId="6445A04A" w14:textId="77777777" w:rsidTr="00EE4865">
        <w:tc>
          <w:tcPr>
            <w:tcW w:w="562" w:type="dxa"/>
            <w:vAlign w:val="center"/>
          </w:tcPr>
          <w:p w14:paraId="28DE8CC0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24</w:t>
            </w:r>
          </w:p>
        </w:tc>
        <w:tc>
          <w:tcPr>
            <w:tcW w:w="1276" w:type="dxa"/>
            <w:vAlign w:val="center"/>
          </w:tcPr>
          <w:p w14:paraId="7CCA679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Resveratrol</w:t>
            </w:r>
          </w:p>
        </w:tc>
        <w:tc>
          <w:tcPr>
            <w:tcW w:w="1276" w:type="dxa"/>
            <w:vAlign w:val="center"/>
          </w:tcPr>
          <w:p w14:paraId="7BF4A40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MSCs and pre-osteoblastic cells</w:t>
            </w:r>
          </w:p>
        </w:tc>
        <w:tc>
          <w:tcPr>
            <w:tcW w:w="4678" w:type="dxa"/>
            <w:vAlign w:val="center"/>
          </w:tcPr>
          <w:p w14:paraId="7346A0B3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Runx2 acetylation/deacetylation</w:t>
            </w:r>
          </w:p>
        </w:tc>
        <w:tc>
          <w:tcPr>
            <w:tcW w:w="504" w:type="dxa"/>
            <w:vAlign w:val="center"/>
          </w:tcPr>
          <w:p w14:paraId="778FD75A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[55]</w:t>
            </w:r>
          </w:p>
        </w:tc>
      </w:tr>
      <w:tr w:rsidR="00E80B1E" w:rsidRPr="009E4F91" w14:paraId="59742E32" w14:textId="77777777" w:rsidTr="00EE4865">
        <w:tc>
          <w:tcPr>
            <w:tcW w:w="562" w:type="dxa"/>
            <w:vAlign w:val="center"/>
          </w:tcPr>
          <w:p w14:paraId="5E2315D1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0308D21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047063B2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</w:p>
        </w:tc>
        <w:tc>
          <w:tcPr>
            <w:tcW w:w="4678" w:type="dxa"/>
            <w:vAlign w:val="center"/>
          </w:tcPr>
          <w:p w14:paraId="66AD650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stimulates 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BM-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proliferation and osteoblastic differentiation through an ER-dependent mechanism and coupling to ERK1/2 activation</w:t>
            </w:r>
          </w:p>
        </w:tc>
        <w:tc>
          <w:tcPr>
            <w:tcW w:w="504" w:type="dxa"/>
            <w:vAlign w:val="center"/>
          </w:tcPr>
          <w:p w14:paraId="2508B0D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[20]</w:t>
            </w:r>
          </w:p>
        </w:tc>
      </w:tr>
      <w:tr w:rsidR="00E80B1E" w:rsidRPr="009E4F91" w14:paraId="217DA463" w14:textId="77777777" w:rsidTr="00EE4865">
        <w:tc>
          <w:tcPr>
            <w:tcW w:w="562" w:type="dxa"/>
            <w:vAlign w:val="center"/>
          </w:tcPr>
          <w:p w14:paraId="591D200F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111111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4D63CEDE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0903F85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</w:p>
        </w:tc>
        <w:tc>
          <w:tcPr>
            <w:tcW w:w="4678" w:type="dxa"/>
            <w:vAlign w:val="center"/>
          </w:tcPr>
          <w:p w14:paraId="7859CA7C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promotes cell self-renewal by inhibiting cellular </w:t>
            </w:r>
            <w:proofErr w:type="spellStart"/>
            <w:proofErr w:type="gram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senescence,</w:t>
            </w:r>
            <w:r>
              <w:rPr>
                <w:rFonts w:ascii="Arial" w:eastAsia="DengXian" w:hAnsi="Arial" w:cs="Arial"/>
                <w:color w:val="000000"/>
                <w:sz w:val="13"/>
                <w:szCs w:val="13"/>
              </w:rPr>
              <w:t>and</w:t>
            </w:r>
            <w:proofErr w:type="spellEnd"/>
            <w:proofErr w:type="gram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inhibits cell self-renewal by increasing senescence rate, cell doubling time and S-phase cell cycle arrest</w:t>
            </w:r>
          </w:p>
        </w:tc>
        <w:tc>
          <w:tcPr>
            <w:tcW w:w="504" w:type="dxa"/>
            <w:vAlign w:val="center"/>
          </w:tcPr>
          <w:p w14:paraId="27B9E472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[56]</w:t>
            </w:r>
          </w:p>
        </w:tc>
      </w:tr>
      <w:tr w:rsidR="00E80B1E" w:rsidRPr="009E4F91" w14:paraId="38B2640D" w14:textId="77777777" w:rsidTr="00EE4865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C181B91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111111"/>
                <w:sz w:val="13"/>
                <w:szCs w:val="13"/>
              </w:rPr>
              <w:t>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3E66CF4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Du-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Huo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-Ji-Sheng-Tang (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Ligusticum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chuanxiong)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9EEC067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075821B0" w14:textId="77777777" w:rsidR="00E80B1E" w:rsidRPr="009E4F91" w:rsidRDefault="00E80B1E" w:rsidP="00EE4865">
            <w:pPr>
              <w:jc w:val="both"/>
              <w:rPr>
                <w:rFonts w:ascii="Arial" w:eastAsia="DengXian" w:hAnsi="Arial" w:cs="Arial"/>
                <w:color w:val="000000"/>
                <w:sz w:val="13"/>
                <w:szCs w:val="13"/>
              </w:rPr>
            </w:pP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Ligusticum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chuanxiong increased osteogenic activity in </w:t>
            </w:r>
            <w:proofErr w:type="spellStart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>hMSCs</w:t>
            </w:r>
            <w:proofErr w:type="spellEnd"/>
            <w:r w:rsidRPr="009E4F91">
              <w:rPr>
                <w:rFonts w:ascii="Arial" w:eastAsia="DengXian" w:hAnsi="Arial" w:cs="Arial"/>
                <w:color w:val="000000"/>
                <w:sz w:val="13"/>
                <w:szCs w:val="13"/>
              </w:rPr>
              <w:t xml:space="preserve"> and up-regulated BMP-2 and RUNX2 gene expression via the activation of SMAD 1/5/8 and ERK signaling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5B11107D" w14:textId="77777777" w:rsidR="00E80B1E" w:rsidRPr="009E4F91" w:rsidRDefault="00E80B1E" w:rsidP="00EE4865">
            <w:pPr>
              <w:jc w:val="both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</w:rPr>
              <w:t>[48]</w:t>
            </w:r>
          </w:p>
        </w:tc>
      </w:tr>
    </w:tbl>
    <w:p w14:paraId="429D9EBB" w14:textId="77777777" w:rsidR="000C6E35" w:rsidRDefault="000C6E35"/>
    <w:sectPr w:rsidR="000C6E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B1E"/>
    <w:rsid w:val="000C6E35"/>
    <w:rsid w:val="00E8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CCEDE7"/>
  <w15:chartTrackingRefBased/>
  <w15:docId w15:val="{E0113F4D-B3FA-6643-8270-086BA0E8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B1E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0B1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5576</Characters>
  <Application>Microsoft Office Word</Application>
  <DocSecurity>0</DocSecurity>
  <Lines>118</Lines>
  <Paragraphs>34</Paragraphs>
  <ScaleCrop>false</ScaleCrop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2022-03-30T03:21:00Z</dcterms:created>
  <dcterms:modified xsi:type="dcterms:W3CDTF">2022-03-30T03:22:00Z</dcterms:modified>
</cp:coreProperties>
</file>