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F86" w:rsidRPr="00E35845" w:rsidRDefault="008B7F86" w:rsidP="008B7F86">
      <w:pPr>
        <w:pStyle w:val="Heading1"/>
        <w:jc w:val="both"/>
        <w:rPr>
          <w:color w:val="000000" w:themeColor="text1"/>
          <w:sz w:val="20"/>
          <w:szCs w:val="20"/>
          <w:lang w:val="en-GB"/>
        </w:rPr>
      </w:pPr>
      <w:r w:rsidRPr="00E35845">
        <w:rPr>
          <w:color w:val="000000" w:themeColor="text1"/>
          <w:sz w:val="20"/>
          <w:szCs w:val="20"/>
          <w:lang w:val="en-GB"/>
        </w:rPr>
        <w:t>Supplementary Inf</w:t>
      </w:r>
      <w:bookmarkStart w:id="0" w:name="_GoBack"/>
      <w:bookmarkEnd w:id="0"/>
      <w:r w:rsidRPr="00E35845">
        <w:rPr>
          <w:color w:val="000000" w:themeColor="text1"/>
          <w:sz w:val="20"/>
          <w:szCs w:val="20"/>
          <w:lang w:val="en-GB"/>
        </w:rPr>
        <w:t>ormation</w:t>
      </w:r>
    </w:p>
    <w:p w:rsidR="008B7F86" w:rsidRPr="00E35845" w:rsidRDefault="008B7F86" w:rsidP="008B7F86">
      <w:pPr>
        <w:keepNext/>
        <w:spacing w:after="200"/>
        <w:jc w:val="both"/>
      </w:pPr>
      <w:r w:rsidRPr="00E35845">
        <w:rPr>
          <w:noProof/>
          <w:color w:val="000000" w:themeColor="text1"/>
          <w:sz w:val="20"/>
          <w:szCs w:val="20"/>
          <w:lang w:eastAsia="en-IN"/>
        </w:rPr>
        <w:drawing>
          <wp:inline distT="0" distB="0" distL="0" distR="0" wp14:anchorId="452E37C0" wp14:editId="191D87B6">
            <wp:extent cx="6208395" cy="5475605"/>
            <wp:effectExtent l="0" t="0" r="1905" b="0"/>
            <wp:docPr id="20" name="Picture 20" descr="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Engineering drawing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547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F86" w:rsidRPr="00E35845" w:rsidRDefault="008B7F86" w:rsidP="008B7F86">
      <w:pPr>
        <w:jc w:val="both"/>
        <w:rPr>
          <w:b/>
          <w:bCs/>
          <w:color w:val="000000" w:themeColor="text1"/>
          <w:sz w:val="20"/>
          <w:szCs w:val="20"/>
          <w:lang w:val="en-GB"/>
        </w:rPr>
      </w:pPr>
      <w:r w:rsidRPr="00E35845">
        <w:rPr>
          <w:b/>
          <w:bCs/>
          <w:color w:val="000000" w:themeColor="text1"/>
          <w:sz w:val="20"/>
          <w:szCs w:val="20"/>
          <w:lang w:val="en-GB"/>
        </w:rPr>
        <w:t>Figure S</w:t>
      </w:r>
      <w:r w:rsidRPr="00E35845">
        <w:rPr>
          <w:b/>
          <w:bCs/>
          <w:color w:val="000000" w:themeColor="text1"/>
          <w:sz w:val="20"/>
          <w:szCs w:val="20"/>
          <w:lang w:val="en-GB"/>
        </w:rPr>
        <w:fldChar w:fldCharType="begin"/>
      </w:r>
      <w:r w:rsidRPr="00E35845">
        <w:rPr>
          <w:b/>
          <w:bCs/>
          <w:color w:val="000000" w:themeColor="text1"/>
          <w:sz w:val="20"/>
          <w:szCs w:val="20"/>
          <w:lang w:val="en-GB"/>
        </w:rPr>
        <w:instrText xml:space="preserve"> SEQ Figure_S \* ARABIC </w:instrText>
      </w:r>
      <w:r w:rsidRPr="00E35845">
        <w:rPr>
          <w:b/>
          <w:bCs/>
          <w:color w:val="000000" w:themeColor="text1"/>
          <w:sz w:val="20"/>
          <w:szCs w:val="20"/>
          <w:lang w:val="en-GB"/>
        </w:rPr>
        <w:fldChar w:fldCharType="separate"/>
      </w:r>
      <w:r w:rsidRPr="00E35845">
        <w:rPr>
          <w:b/>
          <w:bCs/>
          <w:noProof/>
          <w:color w:val="000000" w:themeColor="text1"/>
          <w:sz w:val="20"/>
          <w:szCs w:val="20"/>
          <w:lang w:val="en-GB"/>
        </w:rPr>
        <w:t>1</w:t>
      </w:r>
      <w:r w:rsidRPr="00E35845">
        <w:rPr>
          <w:b/>
          <w:bCs/>
          <w:color w:val="000000" w:themeColor="text1"/>
          <w:sz w:val="20"/>
          <w:szCs w:val="20"/>
          <w:lang w:val="en-GB"/>
        </w:rPr>
        <w:fldChar w:fldCharType="end"/>
      </w:r>
      <w:r w:rsidRPr="00E35845">
        <w:rPr>
          <w:b/>
          <w:bCs/>
          <w:color w:val="000000" w:themeColor="text1"/>
          <w:sz w:val="20"/>
          <w:szCs w:val="20"/>
          <w:lang w:val="en-GB"/>
        </w:rPr>
        <w:t xml:space="preserve">: </w:t>
      </w:r>
      <w:r w:rsidRPr="00E35845">
        <w:rPr>
          <w:color w:val="000000" w:themeColor="text1"/>
          <w:sz w:val="20"/>
          <w:szCs w:val="20"/>
          <w:lang w:val="en-GB"/>
        </w:rPr>
        <w:t>FACS plot shows a representative differentiation of three lines of iPSC-CMs with a high-purity cardiomyocyte population (Average 91</w:t>
      </w:r>
      <w:proofErr w:type="gramStart"/>
      <w:r w:rsidRPr="00E35845">
        <w:rPr>
          <w:color w:val="000000" w:themeColor="text1"/>
          <w:sz w:val="20"/>
          <w:szCs w:val="20"/>
          <w:lang w:val="en-GB"/>
        </w:rPr>
        <w:t>,5</w:t>
      </w:r>
      <w:proofErr w:type="gramEnd"/>
      <w:r w:rsidRPr="00E35845">
        <w:rPr>
          <w:color w:val="000000" w:themeColor="text1"/>
          <w:sz w:val="20"/>
          <w:szCs w:val="20"/>
          <w:lang w:val="en-GB"/>
        </w:rPr>
        <w:t xml:space="preserve">% </w:t>
      </w:r>
      <w:r w:rsidRPr="00E35845">
        <w:rPr>
          <w:color w:val="000000" w:themeColor="text1"/>
          <w:sz w:val="20"/>
          <w:szCs w:val="20"/>
          <w:lang w:val="en-GB"/>
        </w:rPr>
        <w:softHyphen/>
        <w:t>±9,5 ACTN+).</w:t>
      </w:r>
    </w:p>
    <w:p w:rsidR="008B7F86" w:rsidRPr="00E35845" w:rsidRDefault="008B7F86" w:rsidP="008B7F86">
      <w:pPr>
        <w:spacing w:after="200" w:line="276" w:lineRule="auto"/>
        <w:rPr>
          <w:color w:val="000000" w:themeColor="text1"/>
          <w:sz w:val="20"/>
          <w:szCs w:val="20"/>
          <w:lang w:val="en-GB"/>
        </w:rPr>
      </w:pPr>
      <w:r w:rsidRPr="00E35845">
        <w:rPr>
          <w:color w:val="000000" w:themeColor="text1"/>
          <w:sz w:val="20"/>
          <w:szCs w:val="20"/>
          <w:lang w:val="en-GB"/>
        </w:rPr>
        <w:br w:type="page"/>
      </w:r>
    </w:p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  <w:r w:rsidRPr="00E35845">
        <w:rPr>
          <w:b/>
          <w:bCs/>
          <w:color w:val="000000" w:themeColor="text1"/>
          <w:sz w:val="20"/>
          <w:szCs w:val="20"/>
          <w:lang w:val="en-GB"/>
        </w:rPr>
        <w:lastRenderedPageBreak/>
        <w:t>Table S</w:t>
      </w:r>
      <w:r w:rsidRPr="00E35845">
        <w:rPr>
          <w:b/>
          <w:bCs/>
          <w:color w:val="000000" w:themeColor="text1"/>
          <w:sz w:val="20"/>
          <w:szCs w:val="20"/>
          <w:lang w:val="en-GB"/>
        </w:rPr>
        <w:fldChar w:fldCharType="begin"/>
      </w:r>
      <w:r w:rsidRPr="00E35845">
        <w:rPr>
          <w:b/>
          <w:bCs/>
          <w:color w:val="000000" w:themeColor="text1"/>
          <w:sz w:val="20"/>
          <w:szCs w:val="20"/>
          <w:lang w:val="en-GB"/>
        </w:rPr>
        <w:instrText xml:space="preserve"> SEQ Table_S \* ARABIC </w:instrText>
      </w:r>
      <w:r w:rsidRPr="00E35845">
        <w:rPr>
          <w:b/>
          <w:bCs/>
          <w:color w:val="000000" w:themeColor="text1"/>
          <w:sz w:val="20"/>
          <w:szCs w:val="20"/>
          <w:lang w:val="en-GB"/>
        </w:rPr>
        <w:fldChar w:fldCharType="separate"/>
      </w:r>
      <w:r w:rsidRPr="00E35845">
        <w:rPr>
          <w:b/>
          <w:bCs/>
          <w:noProof/>
          <w:color w:val="000000" w:themeColor="text1"/>
          <w:sz w:val="20"/>
          <w:szCs w:val="20"/>
          <w:lang w:val="en-GB"/>
        </w:rPr>
        <w:t>1</w:t>
      </w:r>
      <w:r w:rsidRPr="00E35845">
        <w:rPr>
          <w:b/>
          <w:bCs/>
          <w:color w:val="000000" w:themeColor="text1"/>
          <w:sz w:val="20"/>
          <w:szCs w:val="20"/>
          <w:lang w:val="en-GB"/>
        </w:rPr>
        <w:fldChar w:fldCharType="end"/>
      </w:r>
      <w:r w:rsidRPr="00E35845">
        <w:rPr>
          <w:b/>
          <w:bCs/>
          <w:color w:val="000000" w:themeColor="text1"/>
          <w:sz w:val="20"/>
          <w:szCs w:val="20"/>
          <w:lang w:val="en-GB"/>
        </w:rPr>
        <w:t xml:space="preserve">: </w:t>
      </w:r>
      <w:r w:rsidRPr="00E35845">
        <w:rPr>
          <w:color w:val="000000" w:themeColor="text1"/>
          <w:sz w:val="20"/>
          <w:szCs w:val="20"/>
          <w:lang w:val="en-GB"/>
        </w:rPr>
        <w:t xml:space="preserve">Overview of culture Media used during this study. </w:t>
      </w:r>
    </w:p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</w:p>
    <w:tbl>
      <w:tblPr>
        <w:tblStyle w:val="Tabelraster1"/>
        <w:tblW w:w="9214" w:type="dxa"/>
        <w:jc w:val="center"/>
        <w:tblLook w:val="04A0" w:firstRow="1" w:lastRow="0" w:firstColumn="1" w:lastColumn="0" w:noHBand="0" w:noVBand="1"/>
      </w:tblPr>
      <w:tblGrid>
        <w:gridCol w:w="1555"/>
        <w:gridCol w:w="2835"/>
        <w:gridCol w:w="4824"/>
      </w:tblGrid>
      <w:tr w:rsidR="008B7F86" w:rsidRPr="00E35845" w:rsidTr="004D57F9">
        <w:trPr>
          <w:jc w:val="center"/>
        </w:trPr>
        <w:tc>
          <w:tcPr>
            <w:tcW w:w="155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283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Media </w:t>
            </w:r>
          </w:p>
        </w:tc>
        <w:tc>
          <w:tcPr>
            <w:tcW w:w="4824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Supplements</w:t>
            </w:r>
          </w:p>
        </w:tc>
      </w:tr>
      <w:tr w:rsidR="008B7F86" w:rsidRPr="00E35845" w:rsidTr="004D57F9">
        <w:trPr>
          <w:jc w:val="center"/>
        </w:trPr>
        <w:tc>
          <w:tcPr>
            <w:tcW w:w="155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Heparin medium (HM)</w:t>
            </w:r>
          </w:p>
        </w:tc>
        <w:tc>
          <w:tcPr>
            <w:tcW w:w="283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DMEM-F12 50/50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Thermo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Fisher Scientific, 31331)</w:t>
            </w:r>
          </w:p>
        </w:tc>
        <w:tc>
          <w:tcPr>
            <w:tcW w:w="4824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213 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μg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mL-1 L-ascorbic acid 2 phosphate (Sigma-Aldrich, A8960-5G)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1:100 Chemically defined lipid concentrate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Thermo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Fisher Scientific, 11905031)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1.5 IU mL-1 Heparin (Leo Pharmaceuticals Ltd.)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1% Penicillin-Streptomycin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15-140-122)</w:t>
            </w:r>
          </w:p>
        </w:tc>
      </w:tr>
      <w:tr w:rsidR="008B7F86" w:rsidRPr="00E35845" w:rsidTr="004D57F9">
        <w:trPr>
          <w:trHeight w:val="1618"/>
          <w:jc w:val="center"/>
        </w:trPr>
        <w:tc>
          <w:tcPr>
            <w:tcW w:w="155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Insulin medium (IM)</w:t>
            </w:r>
          </w:p>
        </w:tc>
        <w:tc>
          <w:tcPr>
            <w:tcW w:w="283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DMEM-F12 50/50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Thermo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Fisher Scientific, 31331)</w:t>
            </w:r>
          </w:p>
        </w:tc>
        <w:tc>
          <w:tcPr>
            <w:tcW w:w="4824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213 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μg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mL-1 L-ascorbic acid 2 phosphate (Sigma-Aldrich, A8960-5G)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1:100 Chemically defined lipid concentrate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Thermo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Fisher Scientific, 11905031)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 µg mL-1 Human recombinant insulin (Sigma-Aldrich, I9278-5ML)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1% Penicillin/streptomycin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15-140-122)</w:t>
            </w:r>
          </w:p>
        </w:tc>
      </w:tr>
      <w:tr w:rsidR="008B7F86" w:rsidRPr="00E35845" w:rsidTr="004D57F9">
        <w:trPr>
          <w:jc w:val="center"/>
        </w:trPr>
        <w:tc>
          <w:tcPr>
            <w:tcW w:w="155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Purification medium (PM)</w:t>
            </w:r>
          </w:p>
        </w:tc>
        <w:tc>
          <w:tcPr>
            <w:tcW w:w="283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RPMI 1640 L-Glutamine without glucose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11879)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24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3.5 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μM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Sodium-dl-Lactate (Sigma-Aldrich, L4263)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213 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μg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mL-1 L-ascorbic acid 2 phosphate (Sigma-Aldrich, A8960-5G)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1:100 Chemically defined lipid concentrate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Thermo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Fisher Scientific 11905031)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 µg mL-1 Human recombinant insulin (Sigma-Aldrich I9278-5ML)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1% Penicillin/streptomycin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15-140-122)</w:t>
            </w:r>
          </w:p>
        </w:tc>
      </w:tr>
      <w:tr w:rsidR="008B7F86" w:rsidRPr="00E35845" w:rsidTr="004D57F9">
        <w:trPr>
          <w:jc w:val="center"/>
        </w:trPr>
        <w:tc>
          <w:tcPr>
            <w:tcW w:w="155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Replating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medium (RM)</w:t>
            </w:r>
          </w:p>
        </w:tc>
        <w:tc>
          <w:tcPr>
            <w:tcW w:w="283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RPMI 1640 L-Glutamine without glucose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11879)</w:t>
            </w:r>
          </w:p>
        </w:tc>
        <w:tc>
          <w:tcPr>
            <w:tcW w:w="4824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 µM ROCK inhibitor (Sigma-Aldrich, Y0503)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10% 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KnockOutTM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serum replacement (KOSR)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Thermo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Fisher Scientific, 10828028)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1% B27®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17504-001)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1% Penicillin/streptomycin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15-140-122)</w:t>
            </w:r>
          </w:p>
        </w:tc>
      </w:tr>
      <w:tr w:rsidR="008B7F86" w:rsidRPr="00E35845" w:rsidTr="004D57F9">
        <w:trPr>
          <w:jc w:val="center"/>
        </w:trPr>
        <w:tc>
          <w:tcPr>
            <w:tcW w:w="155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iPSC culture medium</w:t>
            </w:r>
          </w:p>
        </w:tc>
        <w:tc>
          <w:tcPr>
            <w:tcW w:w="283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Essential 8</w:t>
            </w: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</w:rPr>
              <w:t>TM</w:t>
            </w: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medium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A1517001)</w:t>
            </w:r>
          </w:p>
        </w:tc>
        <w:tc>
          <w:tcPr>
            <w:tcW w:w="4824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8B7F86" w:rsidRPr="00E35845" w:rsidTr="004D57F9">
        <w:trPr>
          <w:jc w:val="center"/>
        </w:trPr>
        <w:tc>
          <w:tcPr>
            <w:tcW w:w="155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Basal maturation medium</w:t>
            </w:r>
          </w:p>
        </w:tc>
        <w:tc>
          <w:tcPr>
            <w:tcW w:w="283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DMEM, no glucose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Thermo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Fisher Scientific 11966025, USA)</w:t>
            </w:r>
          </w:p>
        </w:tc>
        <w:tc>
          <w:tcPr>
            <w:tcW w:w="4824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1:100 Chemically defined lipid concentrate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Thermo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Fisher Scientific 11905031)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10 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mM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Galactose (Sigma-Aldrich G0750)1% Penicillin-Streptomycin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15-140-122)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8B7F86" w:rsidRPr="00E35845" w:rsidTr="004D57F9">
        <w:trPr>
          <w:trHeight w:val="1007"/>
          <w:jc w:val="center"/>
        </w:trPr>
        <w:tc>
          <w:tcPr>
            <w:tcW w:w="155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Seahorse culture media</w:t>
            </w:r>
          </w:p>
        </w:tc>
        <w:tc>
          <w:tcPr>
            <w:tcW w:w="2835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Agilent Technologies/Seahorse Bioscience) </w:t>
            </w:r>
          </w:p>
        </w:tc>
        <w:tc>
          <w:tcPr>
            <w:tcW w:w="4824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1% Chemically Defined Lipid Concentrate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), 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4mM L-glutamine (</w:t>
            </w:r>
            <w:proofErr w:type="spellStart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Gibco</w:t>
            </w:r>
            <w:proofErr w:type="spellEnd"/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10mM glucose (Agilent, 103577-100)</w:t>
            </w:r>
          </w:p>
        </w:tc>
      </w:tr>
    </w:tbl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  <w:r w:rsidRPr="00E35845">
        <w:rPr>
          <w:color w:val="000000" w:themeColor="text1"/>
          <w:sz w:val="20"/>
          <w:szCs w:val="20"/>
          <w:lang w:val="en-GB"/>
        </w:rPr>
        <w:br w:type="page"/>
      </w:r>
    </w:p>
    <w:p w:rsidR="008B7F86" w:rsidRPr="00E35845" w:rsidRDefault="008B7F86" w:rsidP="008B7F86">
      <w:pPr>
        <w:pStyle w:val="Caption"/>
        <w:rPr>
          <w:b w:val="0"/>
          <w:bCs w:val="0"/>
          <w:lang w:val="en-US"/>
        </w:rPr>
      </w:pPr>
      <w:r w:rsidRPr="00E35845">
        <w:rPr>
          <w:color w:val="000000" w:themeColor="text1"/>
          <w:sz w:val="20"/>
          <w:szCs w:val="20"/>
          <w:lang w:val="en-GB"/>
        </w:rPr>
        <w:lastRenderedPageBreak/>
        <w:t>Table S</w:t>
      </w:r>
      <w:r w:rsidRPr="00E35845">
        <w:rPr>
          <w:color w:val="000000" w:themeColor="text1"/>
          <w:sz w:val="20"/>
          <w:szCs w:val="20"/>
          <w:lang w:val="en-GB"/>
        </w:rPr>
        <w:fldChar w:fldCharType="begin"/>
      </w:r>
      <w:r w:rsidRPr="00E35845">
        <w:rPr>
          <w:color w:val="000000" w:themeColor="text1"/>
          <w:sz w:val="20"/>
          <w:szCs w:val="20"/>
          <w:lang w:val="en-GB"/>
        </w:rPr>
        <w:instrText xml:space="preserve"> SEQ Table_S \* ARABIC </w:instrText>
      </w:r>
      <w:r w:rsidRPr="00E35845">
        <w:rPr>
          <w:color w:val="000000" w:themeColor="text1"/>
          <w:sz w:val="20"/>
          <w:szCs w:val="20"/>
          <w:lang w:val="en-GB"/>
        </w:rPr>
        <w:fldChar w:fldCharType="separate"/>
      </w:r>
      <w:r w:rsidRPr="00E35845">
        <w:rPr>
          <w:noProof/>
          <w:color w:val="000000" w:themeColor="text1"/>
          <w:sz w:val="20"/>
          <w:szCs w:val="20"/>
          <w:lang w:val="en-GB"/>
        </w:rPr>
        <w:t>2</w:t>
      </w:r>
      <w:r w:rsidRPr="00E35845">
        <w:rPr>
          <w:color w:val="000000" w:themeColor="text1"/>
          <w:sz w:val="20"/>
          <w:szCs w:val="20"/>
          <w:lang w:val="en-GB"/>
        </w:rPr>
        <w:fldChar w:fldCharType="end"/>
      </w:r>
      <w:r w:rsidRPr="00E35845">
        <w:rPr>
          <w:color w:val="000000" w:themeColor="text1"/>
          <w:sz w:val="20"/>
          <w:szCs w:val="20"/>
          <w:lang w:val="en-GB"/>
        </w:rPr>
        <w:t>:</w:t>
      </w:r>
      <w:r w:rsidRPr="00E35845">
        <w:rPr>
          <w:lang w:val="en-US"/>
        </w:rPr>
        <w:t xml:space="preserve"> </w:t>
      </w:r>
      <w:r w:rsidRPr="00E35845">
        <w:rPr>
          <w:b w:val="0"/>
          <w:bCs w:val="0"/>
          <w:color w:val="000000" w:themeColor="text1"/>
          <w:sz w:val="20"/>
          <w:szCs w:val="20"/>
          <w:lang w:val="en-GB"/>
        </w:rPr>
        <w:t>Primer list used for qPCR experiments.</w:t>
      </w:r>
    </w:p>
    <w:tbl>
      <w:tblPr>
        <w:tblStyle w:val="Tabelraster1"/>
        <w:tblW w:w="9214" w:type="dxa"/>
        <w:jc w:val="center"/>
        <w:tblLook w:val="04A0" w:firstRow="1" w:lastRow="0" w:firstColumn="1" w:lastColumn="0" w:noHBand="0" w:noVBand="1"/>
      </w:tblPr>
      <w:tblGrid>
        <w:gridCol w:w="4390"/>
        <w:gridCol w:w="1417"/>
        <w:gridCol w:w="3407"/>
      </w:tblGrid>
      <w:tr w:rsidR="008B7F86" w:rsidRPr="00E35845" w:rsidTr="004D57F9">
        <w:trPr>
          <w:trHeight w:val="227"/>
          <w:jc w:val="center"/>
        </w:trPr>
        <w:tc>
          <w:tcPr>
            <w:tcW w:w="4390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Theme="minorHAnsi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Target gene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Theme="minorHAnsi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Primer name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Theme="minorHAnsi" w:hAnsi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Sequence (5'-3')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 xml:space="preserve">Carnitine </w:t>
            </w:r>
            <w:proofErr w:type="spellStart"/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Palmitoyltransferase</w:t>
            </w:r>
            <w:proofErr w:type="spellEnd"/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 xml:space="preserve"> 1B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CPT1B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CTCCTTTCCTTGCTGAGGTG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CPT1B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TCTCGCCTGCAATCATGTAG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Peroxisome Proliferator-Activated Receptor Gamma Coactivator 1-Alpha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PPARGC1A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GCTTTCTGGGTGGACTCAAGT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PPARGC1A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GAGGGCAATCCGTCTTCATCC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Lactate Dehydrogenase B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LDHB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TCTGTGACCGCCAATTCTAAGA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LDHB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GCACCAGATTGAGCCGACTC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Inner Mitochondrial Membrane Protein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IMMT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GTCCTCCGTCCATTGCGAC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IMMT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GGACCAAGAACCATCTCGAAG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Cardiac Troponin I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TNNI3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TTTGACCTTCGAGGCAAGTTT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TNNI3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CCCGGTTTTCCTTCTCGGTG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Actin Alpha Cardiac Muscle 1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ACTC1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GTCGGGACCTCACTGACTAC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ACTC1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CAATTTCACGTTCAGCAGTG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 xml:space="preserve">Gap Junction Protein </w:t>
            </w:r>
            <w:proofErr w:type="spellStart"/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Connexin</w:t>
            </w:r>
            <w:proofErr w:type="spellEnd"/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 xml:space="preserve"> 43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GJA1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TGGTAAGGTGAAAATGCGAGG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GJA1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GCACTCAAGCTGAATCCATAGAT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Calcium Voltage-Gated Channel Subunit Alpha1 C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CACNA1C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TAGGCATTGGGGTGAAAGAG    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CACNA1C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GAAGATGATTCCAACGCCAC  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Sodium Voltage-Gated Channel Alpha Subunit 5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SCN5A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TCTCTATGGCAATCCACCCCA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SCN5A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GAGGACATACAAGGCGTTGGT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Potassium Voltage-Gated Channel Subfamily Q Member 1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KCNQ1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GACTCTGCTGACACCCATCA    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KCNQ1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ACAAAGTACTGCATGCGTCG  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Ribosomal Protein L32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RPL32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AGGCATTGACAACAGGGTTC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RPL32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GACGTTGTGGACCAGGAACT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 w:val="restart"/>
            <w:vAlign w:val="center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Ryanodine Receptor 2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RyR2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GCGAAGACGAGATCCAGTTC</w:t>
            </w:r>
          </w:p>
        </w:tc>
      </w:tr>
      <w:tr w:rsidR="008B7F86" w:rsidRPr="00E35845" w:rsidTr="004D57F9">
        <w:trPr>
          <w:trHeight w:val="227"/>
          <w:jc w:val="center"/>
        </w:trPr>
        <w:tc>
          <w:tcPr>
            <w:tcW w:w="4390" w:type="dxa"/>
            <w:vMerge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RyR2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CTGTTGCCAAATCCTTCTGC</w:t>
            </w:r>
          </w:p>
        </w:tc>
      </w:tr>
      <w:tr w:rsidR="008B7F86" w:rsidRPr="00E35845" w:rsidTr="004D57F9">
        <w:tblPrEx>
          <w:jc w:val="left"/>
        </w:tblPrEx>
        <w:trPr>
          <w:trHeight w:val="227"/>
        </w:trPr>
        <w:tc>
          <w:tcPr>
            <w:tcW w:w="4390" w:type="dxa"/>
            <w:vMerge w:val="restart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NADH: Ubiquinone Oxidoreductase Subunit V3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NDUFV3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CTGAGCCGTTTGACAACACTA</w:t>
            </w:r>
          </w:p>
        </w:tc>
      </w:tr>
      <w:tr w:rsidR="008B7F86" w:rsidRPr="00E35845" w:rsidTr="004D57F9">
        <w:tblPrEx>
          <w:jc w:val="left"/>
        </w:tblPrEx>
        <w:trPr>
          <w:trHeight w:val="227"/>
        </w:trPr>
        <w:tc>
          <w:tcPr>
            <w:tcW w:w="4390" w:type="dxa"/>
            <w:vMerge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NDUFV3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TGAGGTCTAAGAAGGTGTACGTG</w:t>
            </w:r>
          </w:p>
        </w:tc>
      </w:tr>
      <w:tr w:rsidR="008B7F86" w:rsidRPr="00E35845" w:rsidTr="004D57F9">
        <w:tblPrEx>
          <w:jc w:val="left"/>
        </w:tblPrEx>
        <w:trPr>
          <w:trHeight w:val="227"/>
        </w:trPr>
        <w:tc>
          <w:tcPr>
            <w:tcW w:w="4390" w:type="dxa"/>
            <w:vMerge w:val="restart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Oxoglutarate</w:t>
            </w:r>
            <w:proofErr w:type="spellEnd"/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 xml:space="preserve"> Dehydrogenase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OGDH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GGGCGTGGTATATGAGACCTT</w:t>
            </w:r>
          </w:p>
        </w:tc>
      </w:tr>
      <w:tr w:rsidR="008B7F86" w:rsidRPr="00E35845" w:rsidTr="004D57F9">
        <w:tblPrEx>
          <w:jc w:val="left"/>
        </w:tblPrEx>
        <w:trPr>
          <w:trHeight w:val="227"/>
        </w:trPr>
        <w:tc>
          <w:tcPr>
            <w:tcW w:w="4390" w:type="dxa"/>
            <w:vMerge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OGDH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TGTGGTGAATCCAATCTGGTTG</w:t>
            </w:r>
          </w:p>
        </w:tc>
      </w:tr>
      <w:tr w:rsidR="008B7F86" w:rsidRPr="00E35845" w:rsidTr="004D57F9">
        <w:tblPrEx>
          <w:jc w:val="left"/>
        </w:tblPrEx>
        <w:trPr>
          <w:trHeight w:val="227"/>
        </w:trPr>
        <w:tc>
          <w:tcPr>
            <w:tcW w:w="4390" w:type="dxa"/>
            <w:vMerge w:val="restart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lastRenderedPageBreak/>
              <w:t>Mitochondrially</w:t>
            </w:r>
            <w:proofErr w:type="spellEnd"/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 xml:space="preserve"> Encoded Cytochrome C Oxidase III </w:t>
            </w:r>
          </w:p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COX3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TTGCTCTGACCGAATTAAGCC</w:t>
            </w:r>
          </w:p>
        </w:tc>
      </w:tr>
      <w:tr w:rsidR="008B7F86" w:rsidRPr="00E35845" w:rsidTr="004D57F9">
        <w:tblPrEx>
          <w:jc w:val="left"/>
        </w:tblPrEx>
        <w:trPr>
          <w:trHeight w:val="227"/>
        </w:trPr>
        <w:tc>
          <w:tcPr>
            <w:tcW w:w="4390" w:type="dxa"/>
            <w:vMerge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COX3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CTCAGTGGCAGGATCGTAGT</w:t>
            </w:r>
          </w:p>
        </w:tc>
      </w:tr>
      <w:tr w:rsidR="008B7F86" w:rsidRPr="00E35845" w:rsidTr="004D57F9">
        <w:tblPrEx>
          <w:jc w:val="left"/>
        </w:tblPrEx>
        <w:trPr>
          <w:trHeight w:val="227"/>
        </w:trPr>
        <w:tc>
          <w:tcPr>
            <w:tcW w:w="4390" w:type="dxa"/>
            <w:vMerge w:val="restart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Cytochrome C Oxidase Subunit 5B</w:t>
            </w: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COX5B F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TGTGAAGAGGACAATACCAGCG</w:t>
            </w:r>
          </w:p>
        </w:tc>
      </w:tr>
      <w:tr w:rsidR="008B7F86" w:rsidRPr="00E35845" w:rsidTr="004D57F9">
        <w:tblPrEx>
          <w:jc w:val="left"/>
        </w:tblPrEx>
        <w:trPr>
          <w:trHeight w:val="227"/>
        </w:trPr>
        <w:tc>
          <w:tcPr>
            <w:tcW w:w="4390" w:type="dxa"/>
            <w:vMerge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8B7F86" w:rsidRPr="00E35845" w:rsidRDefault="008B7F86" w:rsidP="004D57F9">
            <w:pPr>
              <w:pStyle w:val="TableBody"/>
              <w:spacing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</w:pPr>
            <w:r w:rsidRPr="00E35845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COX5B R</w:t>
            </w:r>
          </w:p>
        </w:tc>
        <w:tc>
          <w:tcPr>
            <w:tcW w:w="3407" w:type="dxa"/>
          </w:tcPr>
          <w:p w:rsidR="008B7F86" w:rsidRPr="00E35845" w:rsidRDefault="008B7F86" w:rsidP="004D57F9">
            <w:pPr>
              <w:pStyle w:val="TableBody"/>
              <w:keepNext/>
              <w:spacing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E35845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CCAGCTTGTAATGGGCTCCAC</w:t>
            </w:r>
          </w:p>
        </w:tc>
      </w:tr>
    </w:tbl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pStyle w:val="Caption"/>
        <w:rPr>
          <w:lang w:val="en-US"/>
        </w:rPr>
      </w:pPr>
      <w:r w:rsidRPr="00E35845">
        <w:rPr>
          <w:color w:val="000000" w:themeColor="text1"/>
          <w:sz w:val="20"/>
          <w:szCs w:val="20"/>
          <w:lang w:val="en-GB"/>
        </w:rPr>
        <w:t>Table S</w:t>
      </w:r>
      <w:r w:rsidRPr="00E35845">
        <w:rPr>
          <w:color w:val="000000" w:themeColor="text1"/>
          <w:sz w:val="20"/>
          <w:szCs w:val="20"/>
          <w:lang w:val="en-GB"/>
        </w:rPr>
        <w:fldChar w:fldCharType="begin"/>
      </w:r>
      <w:r w:rsidRPr="00E35845">
        <w:rPr>
          <w:color w:val="000000" w:themeColor="text1"/>
          <w:sz w:val="20"/>
          <w:szCs w:val="20"/>
          <w:lang w:val="en-GB"/>
        </w:rPr>
        <w:instrText xml:space="preserve"> SEQ Table_S \* ARABIC </w:instrText>
      </w:r>
      <w:r w:rsidRPr="00E35845">
        <w:rPr>
          <w:color w:val="000000" w:themeColor="text1"/>
          <w:sz w:val="20"/>
          <w:szCs w:val="20"/>
          <w:lang w:val="en-GB"/>
        </w:rPr>
        <w:fldChar w:fldCharType="separate"/>
      </w:r>
      <w:r w:rsidRPr="00E35845">
        <w:rPr>
          <w:noProof/>
          <w:color w:val="000000" w:themeColor="text1"/>
          <w:sz w:val="20"/>
          <w:szCs w:val="20"/>
          <w:lang w:val="en-GB"/>
        </w:rPr>
        <w:t>3</w:t>
      </w:r>
      <w:r w:rsidRPr="00E35845">
        <w:rPr>
          <w:color w:val="000000" w:themeColor="text1"/>
          <w:sz w:val="20"/>
          <w:szCs w:val="20"/>
          <w:lang w:val="en-GB"/>
        </w:rPr>
        <w:fldChar w:fldCharType="end"/>
      </w:r>
      <w:r w:rsidRPr="00E35845">
        <w:rPr>
          <w:color w:val="000000" w:themeColor="text1"/>
          <w:sz w:val="20"/>
          <w:szCs w:val="20"/>
          <w:lang w:val="en-GB"/>
        </w:rPr>
        <w:t xml:space="preserve">: </w:t>
      </w:r>
      <w:r w:rsidRPr="00E35845">
        <w:rPr>
          <w:b w:val="0"/>
          <w:bCs w:val="0"/>
          <w:color w:val="000000" w:themeColor="text1"/>
          <w:sz w:val="20"/>
          <w:szCs w:val="20"/>
          <w:lang w:val="en-GB"/>
        </w:rPr>
        <w:t>Antibodies list used for Western Blot, flow cytometry and fluorescent Immunohistochemistry experiments.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52"/>
        <w:gridCol w:w="4164"/>
      </w:tblGrid>
      <w:tr w:rsidR="008B7F86" w:rsidRPr="00E35845" w:rsidTr="004D57F9">
        <w:trPr>
          <w:trHeight w:val="454"/>
          <w:jc w:val="center"/>
        </w:trPr>
        <w:tc>
          <w:tcPr>
            <w:tcW w:w="4852" w:type="dxa"/>
            <w:vAlign w:val="center"/>
          </w:tcPr>
          <w:p w:rsidR="008B7F86" w:rsidRPr="00E35845" w:rsidRDefault="008B7F86" w:rsidP="004D57F9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Antibody host and target</w:t>
            </w:r>
          </w:p>
        </w:tc>
        <w:tc>
          <w:tcPr>
            <w:tcW w:w="4164" w:type="dxa"/>
            <w:vAlign w:val="center"/>
          </w:tcPr>
          <w:p w:rsidR="008B7F86" w:rsidRPr="00E35845" w:rsidRDefault="008B7F86" w:rsidP="004D57F9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Reference</w:t>
            </w:r>
          </w:p>
        </w:tc>
      </w:tr>
      <w:tr w:rsidR="008B7F86" w:rsidRPr="00E35845" w:rsidTr="004D57F9">
        <w:trPr>
          <w:trHeight w:val="454"/>
          <w:jc w:val="center"/>
        </w:trPr>
        <w:tc>
          <w:tcPr>
            <w:tcW w:w="4852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Rabbit anti-cardiac Troponin T</w:t>
            </w:r>
          </w:p>
        </w:tc>
        <w:tc>
          <w:tcPr>
            <w:tcW w:w="4164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Abcam</w:t>
            </w:r>
            <w:proofErr w:type="spellEnd"/>
            <w:r w:rsidRPr="00E35845">
              <w:rPr>
                <w:color w:val="000000" w:themeColor="text1"/>
                <w:sz w:val="20"/>
                <w:szCs w:val="20"/>
                <w:lang w:val="en-GB"/>
              </w:rPr>
              <w:t xml:space="preserve"> ab45932</w:t>
            </w:r>
          </w:p>
        </w:tc>
      </w:tr>
      <w:tr w:rsidR="008B7F86" w:rsidRPr="00E35845" w:rsidTr="004D57F9">
        <w:trPr>
          <w:trHeight w:val="454"/>
          <w:jc w:val="center"/>
        </w:trPr>
        <w:tc>
          <w:tcPr>
            <w:tcW w:w="4852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r w:rsidRPr="00E35845">
              <w:rPr>
                <w:color w:val="000000" w:themeColor="text1"/>
                <w:sz w:val="20"/>
                <w:szCs w:val="20"/>
                <w:lang w:val="en-GB"/>
              </w:rPr>
              <w:t xml:space="preserve">Mouse anti-ATP5A </w:t>
            </w:r>
          </w:p>
        </w:tc>
        <w:tc>
          <w:tcPr>
            <w:tcW w:w="4164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Abcam</w:t>
            </w:r>
            <w:proofErr w:type="spellEnd"/>
            <w:r w:rsidRPr="00E35845">
              <w:rPr>
                <w:color w:val="000000" w:themeColor="text1"/>
                <w:sz w:val="20"/>
                <w:szCs w:val="20"/>
                <w:lang w:val="en-GB"/>
              </w:rPr>
              <w:t xml:space="preserve"> ab14748, USA</w:t>
            </w:r>
          </w:p>
        </w:tc>
      </w:tr>
      <w:tr w:rsidR="008B7F86" w:rsidRPr="00E35845" w:rsidTr="004D57F9">
        <w:trPr>
          <w:trHeight w:val="454"/>
          <w:jc w:val="center"/>
        </w:trPr>
        <w:tc>
          <w:tcPr>
            <w:tcW w:w="4852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Rabbit anti-tom20</w:t>
            </w:r>
          </w:p>
        </w:tc>
        <w:tc>
          <w:tcPr>
            <w:tcW w:w="4164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Santa Cruz sc-11415, FL-145, USA</w:t>
            </w:r>
          </w:p>
        </w:tc>
      </w:tr>
      <w:tr w:rsidR="008B7F86" w:rsidRPr="00E35845" w:rsidTr="004D57F9">
        <w:trPr>
          <w:trHeight w:val="454"/>
          <w:jc w:val="center"/>
        </w:trPr>
        <w:tc>
          <w:tcPr>
            <w:tcW w:w="4852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Mouse anti-α-</w:t>
            </w:r>
            <w:proofErr w:type="spellStart"/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actinin</w:t>
            </w:r>
            <w:proofErr w:type="spellEnd"/>
            <w:r w:rsidRPr="00E35845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164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Merck</w:t>
            </w:r>
            <w:r w:rsidRPr="00E35845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A7811, USA</w:t>
            </w:r>
          </w:p>
        </w:tc>
      </w:tr>
      <w:tr w:rsidR="008B7F86" w:rsidRPr="00E35845" w:rsidTr="004D57F9">
        <w:trPr>
          <w:trHeight w:val="454"/>
          <w:jc w:val="center"/>
        </w:trPr>
        <w:tc>
          <w:tcPr>
            <w:tcW w:w="4852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AlexaFluor</w:t>
            </w:r>
            <w:proofErr w:type="spellEnd"/>
            <w:r w:rsidRPr="00E35845">
              <w:rPr>
                <w:color w:val="000000" w:themeColor="text1"/>
                <w:sz w:val="20"/>
                <w:szCs w:val="20"/>
                <w:lang w:val="en-GB"/>
              </w:rPr>
              <w:t xml:space="preserve"> goat anti-rabbit 568 </w:t>
            </w:r>
          </w:p>
        </w:tc>
        <w:tc>
          <w:tcPr>
            <w:tcW w:w="4164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Invitrogen A11036</w:t>
            </w:r>
          </w:p>
        </w:tc>
      </w:tr>
      <w:tr w:rsidR="008B7F86" w:rsidRPr="00E35845" w:rsidTr="004D57F9">
        <w:trPr>
          <w:trHeight w:val="454"/>
          <w:jc w:val="center"/>
        </w:trPr>
        <w:tc>
          <w:tcPr>
            <w:tcW w:w="4852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AlexaFluor</w:t>
            </w:r>
            <w:proofErr w:type="spellEnd"/>
            <w:r w:rsidRPr="00E35845">
              <w:rPr>
                <w:color w:val="000000" w:themeColor="text1"/>
                <w:sz w:val="20"/>
                <w:szCs w:val="20"/>
                <w:lang w:val="en-GB"/>
              </w:rPr>
              <w:t xml:space="preserve"> goat anti-mouse 488</w:t>
            </w:r>
          </w:p>
        </w:tc>
        <w:tc>
          <w:tcPr>
            <w:tcW w:w="4164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r w:rsidRPr="00E35845">
              <w:rPr>
                <w:color w:val="000000" w:themeColor="text1"/>
                <w:sz w:val="20"/>
                <w:szCs w:val="20"/>
                <w:lang w:val="en-GB"/>
              </w:rPr>
              <w:t>Invitrogen A11029</w:t>
            </w:r>
          </w:p>
        </w:tc>
      </w:tr>
      <w:tr w:rsidR="008B7F86" w:rsidRPr="00E35845" w:rsidTr="004D57F9">
        <w:trPr>
          <w:trHeight w:val="454"/>
          <w:jc w:val="center"/>
        </w:trPr>
        <w:tc>
          <w:tcPr>
            <w:tcW w:w="4852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  <w:r w:rsidRPr="00E35845">
              <w:rPr>
                <w:color w:val="000000" w:themeColor="text1"/>
                <w:sz w:val="20"/>
                <w:szCs w:val="20"/>
                <w:lang w:val="en-GB"/>
              </w:rPr>
              <w:t xml:space="preserve">Hoechst 33342 </w:t>
            </w:r>
          </w:p>
        </w:tc>
        <w:tc>
          <w:tcPr>
            <w:tcW w:w="4164" w:type="dxa"/>
            <w:vAlign w:val="center"/>
          </w:tcPr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  <w:lang w:val="en-GB"/>
              </w:rPr>
              <w:t xml:space="preserve">Invitrogen </w:t>
            </w:r>
            <w:r w:rsidRPr="00E35845">
              <w:rPr>
                <w:color w:val="000000" w:themeColor="text1"/>
                <w:sz w:val="20"/>
                <w:szCs w:val="20"/>
              </w:rPr>
              <w:t>H3570</w:t>
            </w:r>
          </w:p>
          <w:p w:rsidR="008B7F86" w:rsidRPr="00E35845" w:rsidRDefault="008B7F86" w:rsidP="004D57F9">
            <w:pPr>
              <w:jc w:val="both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</w:tbl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  <w:r w:rsidRPr="00E35845">
        <w:rPr>
          <w:noProof/>
          <w:color w:val="000000" w:themeColor="text1"/>
          <w:sz w:val="20"/>
          <w:szCs w:val="20"/>
          <w:lang w:eastAsia="en-IN"/>
        </w:rPr>
        <w:lastRenderedPageBreak/>
        <w:drawing>
          <wp:inline distT="0" distB="0" distL="0" distR="0" wp14:anchorId="1CEC051F" wp14:editId="258D2BFD">
            <wp:extent cx="6208395" cy="4648200"/>
            <wp:effectExtent l="0" t="0" r="1905" b="0"/>
            <wp:docPr id="2" name="Picture 2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ba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  <w:r w:rsidRPr="00E35845">
        <w:rPr>
          <w:b/>
          <w:bCs/>
          <w:color w:val="000000" w:themeColor="text1"/>
          <w:sz w:val="20"/>
          <w:szCs w:val="20"/>
          <w:lang w:val="en-GB"/>
        </w:rPr>
        <w:t>Figure S2:</w:t>
      </w:r>
      <w:r w:rsidRPr="00E35845">
        <w:rPr>
          <w:color w:val="000000" w:themeColor="text1"/>
          <w:sz w:val="20"/>
          <w:szCs w:val="20"/>
          <w:lang w:val="en-GB"/>
        </w:rPr>
        <w:t xml:space="preserve"> Cell line dependent small molecules dose titration. </w:t>
      </w:r>
      <w:proofErr w:type="gramStart"/>
      <w:r w:rsidRPr="00E35845">
        <w:rPr>
          <w:color w:val="000000" w:themeColor="text1"/>
          <w:sz w:val="20"/>
          <w:szCs w:val="20"/>
          <w:lang w:val="en-GB"/>
        </w:rPr>
        <w:t>iPSC-line-dependent</w:t>
      </w:r>
      <w:proofErr w:type="gramEnd"/>
      <w:r w:rsidRPr="00E35845">
        <w:rPr>
          <w:color w:val="000000" w:themeColor="text1"/>
          <w:sz w:val="20"/>
          <w:szCs w:val="20"/>
          <w:lang w:val="en-GB"/>
        </w:rPr>
        <w:t xml:space="preserve"> dose response-effect on CMs at day 27 of differentiation (Fig. 2). For further experiments, the cell clone-dependent optimal concentrations (</w:t>
      </w:r>
      <w:r w:rsidRPr="00E35845">
        <w:rPr>
          <w:color w:val="000000" w:themeColor="text1"/>
          <w:sz w:val="20"/>
          <w:szCs w:val="20"/>
          <w:shd w:val="clear" w:color="auto" w:fill="FFFFFF"/>
          <w:lang w:val="en-GB"/>
        </w:rPr>
        <w:t xml:space="preserve">UKKi036-C: AA 2 and 1 </w:t>
      </w:r>
      <w:proofErr w:type="spellStart"/>
      <w:r w:rsidRPr="00E35845">
        <w:rPr>
          <w:color w:val="000000" w:themeColor="text1"/>
          <w:sz w:val="20"/>
          <w:szCs w:val="20"/>
          <w:lang w:val="en-GB"/>
        </w:rPr>
        <w:t>μM</w:t>
      </w:r>
      <w:proofErr w:type="spellEnd"/>
      <w:r w:rsidRPr="00E35845">
        <w:rPr>
          <w:color w:val="000000" w:themeColor="text1"/>
          <w:sz w:val="20"/>
          <w:szCs w:val="20"/>
          <w:lang w:val="en-GB"/>
        </w:rPr>
        <w:t xml:space="preserve">, GW: 250 and 100 </w:t>
      </w:r>
      <w:proofErr w:type="spellStart"/>
      <w:r w:rsidRPr="00E35845">
        <w:rPr>
          <w:color w:val="000000" w:themeColor="text1"/>
          <w:sz w:val="20"/>
          <w:szCs w:val="20"/>
          <w:lang w:val="en-GB"/>
        </w:rPr>
        <w:t>nM</w:t>
      </w:r>
      <w:proofErr w:type="spellEnd"/>
      <w:r w:rsidRPr="00E35845">
        <w:rPr>
          <w:color w:val="000000" w:themeColor="text1"/>
          <w:sz w:val="20"/>
          <w:szCs w:val="20"/>
          <w:lang w:val="en-GB"/>
        </w:rPr>
        <w:t xml:space="preserve">; and T3: 200, and 100 </w:t>
      </w:r>
      <w:proofErr w:type="spellStart"/>
      <w:r w:rsidRPr="00E35845">
        <w:rPr>
          <w:color w:val="000000" w:themeColor="text1"/>
          <w:sz w:val="20"/>
          <w:szCs w:val="20"/>
          <w:lang w:val="en-GB"/>
        </w:rPr>
        <w:t>nM</w:t>
      </w:r>
      <w:proofErr w:type="spellEnd"/>
      <w:r w:rsidRPr="00E35845">
        <w:rPr>
          <w:color w:val="000000" w:themeColor="text1"/>
          <w:sz w:val="20"/>
          <w:szCs w:val="20"/>
          <w:lang w:val="en-GB"/>
        </w:rPr>
        <w:t>;</w:t>
      </w:r>
      <w:r w:rsidRPr="00E35845">
        <w:rPr>
          <w:color w:val="000000" w:themeColor="text1"/>
          <w:sz w:val="20"/>
          <w:szCs w:val="20"/>
          <w:shd w:val="clear" w:color="auto" w:fill="FFFFFF"/>
          <w:lang w:val="en-GB"/>
        </w:rPr>
        <w:t xml:space="preserve"> UKKi032-C: </w:t>
      </w:r>
      <w:r w:rsidRPr="00E35845">
        <w:rPr>
          <w:color w:val="000000" w:themeColor="text1"/>
          <w:sz w:val="20"/>
          <w:szCs w:val="20"/>
          <w:lang w:val="en-GB"/>
        </w:rPr>
        <w:t xml:space="preserve">AA 10 and 5 </w:t>
      </w:r>
      <w:proofErr w:type="spellStart"/>
      <w:r w:rsidRPr="00E35845">
        <w:rPr>
          <w:color w:val="000000" w:themeColor="text1"/>
          <w:sz w:val="20"/>
          <w:szCs w:val="20"/>
          <w:lang w:val="en-GB"/>
        </w:rPr>
        <w:t>μM</w:t>
      </w:r>
      <w:proofErr w:type="spellEnd"/>
      <w:r w:rsidRPr="00E35845">
        <w:rPr>
          <w:color w:val="000000" w:themeColor="text1"/>
          <w:sz w:val="20"/>
          <w:szCs w:val="20"/>
          <w:lang w:val="en-GB"/>
        </w:rPr>
        <w:t xml:space="preserve">, GW: 1000 and 500 </w:t>
      </w:r>
      <w:proofErr w:type="spellStart"/>
      <w:r w:rsidRPr="00E35845">
        <w:rPr>
          <w:color w:val="000000" w:themeColor="text1"/>
          <w:sz w:val="20"/>
          <w:szCs w:val="20"/>
          <w:lang w:val="en-GB"/>
        </w:rPr>
        <w:t>nM</w:t>
      </w:r>
      <w:proofErr w:type="spellEnd"/>
      <w:r w:rsidRPr="00E35845">
        <w:rPr>
          <w:color w:val="000000" w:themeColor="text1"/>
          <w:sz w:val="20"/>
          <w:szCs w:val="20"/>
          <w:lang w:val="en-GB"/>
        </w:rPr>
        <w:t xml:space="preserve">; and T3: 400, and 200 </w:t>
      </w:r>
      <w:proofErr w:type="spellStart"/>
      <w:r w:rsidRPr="00E35845">
        <w:rPr>
          <w:color w:val="000000" w:themeColor="text1"/>
          <w:sz w:val="20"/>
          <w:szCs w:val="20"/>
          <w:lang w:val="en-GB"/>
        </w:rPr>
        <w:t>nM</w:t>
      </w:r>
      <w:proofErr w:type="spellEnd"/>
      <w:r w:rsidRPr="00E35845">
        <w:rPr>
          <w:color w:val="000000" w:themeColor="text1"/>
          <w:sz w:val="20"/>
          <w:szCs w:val="20"/>
          <w:lang w:val="en-GB"/>
        </w:rPr>
        <w:t>;</w:t>
      </w:r>
      <w:r w:rsidRPr="00E35845">
        <w:rPr>
          <w:color w:val="000000" w:themeColor="text1"/>
          <w:sz w:val="20"/>
          <w:szCs w:val="20"/>
          <w:shd w:val="clear" w:color="auto" w:fill="FFFFFF"/>
          <w:lang w:val="en-GB"/>
        </w:rPr>
        <w:t xml:space="preserve"> UKKi037-C </w:t>
      </w:r>
      <w:r w:rsidRPr="00E35845">
        <w:rPr>
          <w:color w:val="000000" w:themeColor="text1"/>
          <w:sz w:val="20"/>
          <w:szCs w:val="20"/>
          <w:lang w:val="en-GB"/>
        </w:rPr>
        <w:t xml:space="preserve">AA 10 and 5 </w:t>
      </w:r>
      <w:proofErr w:type="spellStart"/>
      <w:r w:rsidRPr="00E35845">
        <w:rPr>
          <w:color w:val="000000" w:themeColor="text1"/>
          <w:sz w:val="20"/>
          <w:szCs w:val="20"/>
          <w:lang w:val="en-GB"/>
        </w:rPr>
        <w:t>μM</w:t>
      </w:r>
      <w:proofErr w:type="spellEnd"/>
      <w:r w:rsidRPr="00E35845">
        <w:rPr>
          <w:color w:val="000000" w:themeColor="text1"/>
          <w:sz w:val="20"/>
          <w:szCs w:val="20"/>
          <w:lang w:val="en-GB"/>
        </w:rPr>
        <w:t xml:space="preserve">, GW: 1000 and 500 </w:t>
      </w:r>
      <w:proofErr w:type="spellStart"/>
      <w:r w:rsidRPr="00E35845">
        <w:rPr>
          <w:color w:val="000000" w:themeColor="text1"/>
          <w:sz w:val="20"/>
          <w:szCs w:val="20"/>
          <w:lang w:val="en-GB"/>
        </w:rPr>
        <w:t>nM</w:t>
      </w:r>
      <w:proofErr w:type="spellEnd"/>
      <w:r w:rsidRPr="00E35845">
        <w:rPr>
          <w:color w:val="000000" w:themeColor="text1"/>
          <w:sz w:val="20"/>
          <w:szCs w:val="20"/>
          <w:lang w:val="en-GB"/>
        </w:rPr>
        <w:t xml:space="preserve">; and T3 800 and 400 </w:t>
      </w:r>
      <w:proofErr w:type="spellStart"/>
      <w:r w:rsidRPr="00E35845">
        <w:rPr>
          <w:color w:val="000000" w:themeColor="text1"/>
          <w:sz w:val="20"/>
          <w:szCs w:val="20"/>
          <w:lang w:val="en-GB"/>
        </w:rPr>
        <w:t>nM</w:t>
      </w:r>
      <w:proofErr w:type="spellEnd"/>
      <w:r w:rsidRPr="00E35845">
        <w:rPr>
          <w:color w:val="000000" w:themeColor="text1"/>
          <w:sz w:val="20"/>
          <w:szCs w:val="20"/>
          <w:lang w:val="en-GB"/>
        </w:rPr>
        <w:t xml:space="preserve"> – Fig. S2) were used. </w:t>
      </w:r>
    </w:p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keepNext/>
        <w:jc w:val="both"/>
        <w:rPr>
          <w:color w:val="000000" w:themeColor="text1"/>
          <w:sz w:val="20"/>
          <w:szCs w:val="20"/>
        </w:rPr>
      </w:pPr>
      <w:r w:rsidRPr="00E35845">
        <w:rPr>
          <w:noProof/>
          <w:color w:val="000000" w:themeColor="text1"/>
          <w:sz w:val="20"/>
          <w:szCs w:val="20"/>
          <w:lang w:eastAsia="en-IN"/>
        </w:rPr>
        <w:lastRenderedPageBreak/>
        <w:drawing>
          <wp:inline distT="0" distB="0" distL="0" distR="0" wp14:anchorId="33DD4574" wp14:editId="4ABE43FD">
            <wp:extent cx="6208395" cy="5264785"/>
            <wp:effectExtent l="0" t="0" r="1905" b="5715"/>
            <wp:docPr id="5" name="Picture 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scatter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526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US"/>
        </w:rPr>
      </w:pPr>
      <w:r w:rsidRPr="00E35845">
        <w:rPr>
          <w:b/>
          <w:bCs/>
          <w:color w:val="000000" w:themeColor="text1"/>
          <w:sz w:val="20"/>
          <w:szCs w:val="20"/>
        </w:rPr>
        <w:t xml:space="preserve">Figure </w:t>
      </w:r>
      <w:r w:rsidRPr="00E35845">
        <w:rPr>
          <w:b/>
          <w:bCs/>
          <w:color w:val="000000" w:themeColor="text1"/>
          <w:sz w:val="20"/>
          <w:szCs w:val="20"/>
          <w:lang w:val="en-US"/>
        </w:rPr>
        <w:t>S3:</w:t>
      </w:r>
      <w:r w:rsidRPr="00E35845">
        <w:rPr>
          <w:color w:val="000000" w:themeColor="text1"/>
          <w:sz w:val="20"/>
          <w:szCs w:val="20"/>
          <w:lang w:val="en-US"/>
        </w:rPr>
        <w:t xml:space="preserve"> </w:t>
      </w:r>
      <w:r w:rsidRPr="00E35845">
        <w:rPr>
          <w:color w:val="000000" w:themeColor="text1"/>
          <w:sz w:val="20"/>
          <w:szCs w:val="20"/>
          <w:lang w:val="en-GB"/>
        </w:rPr>
        <w:t xml:space="preserve">AA and GW treatment enhances levels of mitochondrial key enzymes expression. a) OGDH CTRL versus AA, GW, and T3, respectively: </w:t>
      </w:r>
      <w:r w:rsidRPr="00E35845">
        <w:rPr>
          <w:color w:val="000000" w:themeColor="text1"/>
          <w:sz w:val="20"/>
          <w:szCs w:val="20"/>
        </w:rPr>
        <w:t xml:space="preserve">1.110 </w:t>
      </w:r>
      <w:r w:rsidRPr="00E35845">
        <w:rPr>
          <w:color w:val="000000" w:themeColor="text1"/>
          <w:sz w:val="20"/>
          <w:szCs w:val="20"/>
          <w:lang w:val="en-US"/>
        </w:rPr>
        <w:t>(</w:t>
      </w:r>
      <w:r w:rsidRPr="00E35845">
        <w:rPr>
          <w:color w:val="000000" w:themeColor="text1"/>
          <w:sz w:val="20"/>
          <w:szCs w:val="20"/>
        </w:rPr>
        <w:t>0.6000</w:t>
      </w:r>
      <w:r w:rsidRPr="00E35845">
        <w:rPr>
          <w:color w:val="000000" w:themeColor="text1"/>
          <w:sz w:val="20"/>
          <w:szCs w:val="20"/>
          <w:lang w:val="en-US"/>
        </w:rPr>
        <w:t xml:space="preserve"> – </w:t>
      </w:r>
      <w:r w:rsidRPr="00E35845">
        <w:rPr>
          <w:color w:val="000000" w:themeColor="text1"/>
          <w:sz w:val="20"/>
          <w:szCs w:val="20"/>
        </w:rPr>
        <w:t>1.800</w:t>
      </w:r>
      <w:r w:rsidRPr="00E35845">
        <w:rPr>
          <w:color w:val="000000" w:themeColor="text1"/>
          <w:sz w:val="20"/>
          <w:szCs w:val="20"/>
          <w:lang w:val="en-US"/>
        </w:rPr>
        <w:t xml:space="preserve">) versus </w:t>
      </w:r>
      <w:r w:rsidRPr="00E35845">
        <w:rPr>
          <w:color w:val="000000" w:themeColor="text1"/>
          <w:sz w:val="20"/>
          <w:szCs w:val="20"/>
        </w:rPr>
        <w:t>1.919</w:t>
      </w:r>
      <w:r w:rsidRPr="00E35845">
        <w:rPr>
          <w:color w:val="000000" w:themeColor="text1"/>
          <w:sz w:val="20"/>
          <w:szCs w:val="20"/>
          <w:lang w:val="en-US"/>
        </w:rPr>
        <w:t xml:space="preserve"> (</w:t>
      </w:r>
      <w:r w:rsidRPr="00E35845">
        <w:rPr>
          <w:color w:val="000000" w:themeColor="text1"/>
          <w:sz w:val="20"/>
          <w:szCs w:val="20"/>
        </w:rPr>
        <w:t>1.285</w:t>
      </w:r>
      <w:r w:rsidRPr="00E35845">
        <w:rPr>
          <w:color w:val="000000" w:themeColor="text1"/>
          <w:sz w:val="20"/>
          <w:szCs w:val="20"/>
          <w:lang w:val="en-US"/>
        </w:rPr>
        <w:t xml:space="preserve"> - </w:t>
      </w:r>
      <w:r w:rsidRPr="00E35845">
        <w:rPr>
          <w:color w:val="000000" w:themeColor="text1"/>
          <w:sz w:val="20"/>
          <w:szCs w:val="20"/>
        </w:rPr>
        <w:t>2.375</w:t>
      </w:r>
      <w:r w:rsidRPr="00E35845">
        <w:rPr>
          <w:color w:val="000000" w:themeColor="text1"/>
          <w:sz w:val="20"/>
          <w:szCs w:val="20"/>
          <w:lang w:val="en-US"/>
        </w:rPr>
        <w:t xml:space="preserve">; </w:t>
      </w:r>
      <w:r w:rsidRPr="00E35845">
        <w:rPr>
          <w:i/>
          <w:iCs/>
          <w:color w:val="000000" w:themeColor="text1"/>
          <w:sz w:val="20"/>
          <w:szCs w:val="20"/>
          <w:lang w:val="en-US"/>
        </w:rPr>
        <w:t>p=</w:t>
      </w:r>
      <w:r w:rsidRPr="00E35845">
        <w:rPr>
          <w:i/>
          <w:iCs/>
          <w:color w:val="000000" w:themeColor="text1"/>
          <w:sz w:val="20"/>
          <w:szCs w:val="20"/>
        </w:rPr>
        <w:t xml:space="preserve"> 0.0078</w:t>
      </w:r>
      <w:r w:rsidRPr="00E35845">
        <w:rPr>
          <w:color w:val="000000" w:themeColor="text1"/>
          <w:sz w:val="20"/>
          <w:szCs w:val="20"/>
          <w:lang w:val="en-US"/>
        </w:rPr>
        <w:t xml:space="preserve">) versus </w:t>
      </w:r>
      <w:r w:rsidRPr="00E35845">
        <w:rPr>
          <w:color w:val="000000" w:themeColor="text1"/>
          <w:sz w:val="20"/>
          <w:szCs w:val="20"/>
        </w:rPr>
        <w:t>2.608</w:t>
      </w:r>
      <w:r w:rsidRPr="00E35845">
        <w:rPr>
          <w:color w:val="000000" w:themeColor="text1"/>
          <w:sz w:val="20"/>
          <w:szCs w:val="20"/>
          <w:lang w:val="en-US"/>
        </w:rPr>
        <w:t xml:space="preserve"> (</w:t>
      </w:r>
      <w:r w:rsidRPr="00E35845">
        <w:rPr>
          <w:color w:val="000000" w:themeColor="text1"/>
          <w:sz w:val="20"/>
          <w:szCs w:val="20"/>
        </w:rPr>
        <w:t>2.035</w:t>
      </w:r>
      <w:r w:rsidRPr="00E35845">
        <w:rPr>
          <w:color w:val="000000" w:themeColor="text1"/>
          <w:sz w:val="20"/>
          <w:szCs w:val="20"/>
          <w:lang w:val="en-US"/>
        </w:rPr>
        <w:t xml:space="preserve"> - </w:t>
      </w:r>
      <w:r w:rsidRPr="00E35845">
        <w:rPr>
          <w:color w:val="000000" w:themeColor="text1"/>
          <w:sz w:val="20"/>
          <w:szCs w:val="20"/>
        </w:rPr>
        <w:t>2.963</w:t>
      </w:r>
      <w:r w:rsidRPr="00E35845">
        <w:rPr>
          <w:color w:val="000000" w:themeColor="text1"/>
          <w:sz w:val="20"/>
          <w:szCs w:val="20"/>
          <w:lang w:val="en-US"/>
        </w:rPr>
        <w:t xml:space="preserve">. </w:t>
      </w:r>
      <w:proofErr w:type="spellStart"/>
      <w:r w:rsidRPr="00E35845">
        <w:rPr>
          <w:i/>
          <w:iCs/>
          <w:color w:val="000000" w:themeColor="text1"/>
          <w:sz w:val="20"/>
          <w:szCs w:val="20"/>
          <w:lang w:val="en-US"/>
        </w:rPr>
        <w:t>n.s</w:t>
      </w:r>
      <w:proofErr w:type="spellEnd"/>
      <w:r w:rsidRPr="00E35845">
        <w:rPr>
          <w:i/>
          <w:iCs/>
          <w:color w:val="000000" w:themeColor="text1"/>
          <w:sz w:val="20"/>
          <w:szCs w:val="20"/>
          <w:lang w:val="en-US"/>
        </w:rPr>
        <w:t>.</w:t>
      </w:r>
      <w:r w:rsidRPr="00E35845">
        <w:rPr>
          <w:color w:val="000000" w:themeColor="text1"/>
          <w:sz w:val="20"/>
          <w:szCs w:val="20"/>
          <w:lang w:val="en-US"/>
        </w:rPr>
        <w:t xml:space="preserve">) versus </w:t>
      </w:r>
      <w:r w:rsidRPr="00E35845">
        <w:rPr>
          <w:color w:val="000000" w:themeColor="text1"/>
          <w:sz w:val="20"/>
          <w:szCs w:val="20"/>
        </w:rPr>
        <w:t>2.287</w:t>
      </w:r>
      <w:r w:rsidRPr="00E35845">
        <w:rPr>
          <w:color w:val="000000" w:themeColor="text1"/>
          <w:sz w:val="20"/>
          <w:szCs w:val="20"/>
          <w:lang w:val="en-US"/>
        </w:rPr>
        <w:t xml:space="preserve"> (</w:t>
      </w:r>
      <w:r w:rsidRPr="00E35845">
        <w:rPr>
          <w:color w:val="000000" w:themeColor="text1"/>
          <w:sz w:val="20"/>
          <w:szCs w:val="20"/>
        </w:rPr>
        <w:t>1.520</w:t>
      </w:r>
      <w:r w:rsidRPr="00E35845">
        <w:rPr>
          <w:color w:val="000000" w:themeColor="text1"/>
          <w:sz w:val="20"/>
          <w:szCs w:val="20"/>
          <w:lang w:val="en-US"/>
        </w:rPr>
        <w:t xml:space="preserve"> - </w:t>
      </w:r>
      <w:r w:rsidRPr="00E35845">
        <w:rPr>
          <w:color w:val="000000" w:themeColor="text1"/>
          <w:sz w:val="20"/>
          <w:szCs w:val="20"/>
        </w:rPr>
        <w:t>2.770</w:t>
      </w:r>
      <w:r w:rsidRPr="00E35845">
        <w:rPr>
          <w:color w:val="000000" w:themeColor="text1"/>
          <w:sz w:val="20"/>
          <w:szCs w:val="20"/>
          <w:lang w:val="en-US"/>
        </w:rPr>
        <w:t xml:space="preserve">; </w:t>
      </w:r>
      <w:r w:rsidRPr="00E35845">
        <w:rPr>
          <w:i/>
          <w:iCs/>
          <w:color w:val="000000" w:themeColor="text1"/>
          <w:sz w:val="20"/>
          <w:szCs w:val="20"/>
          <w:lang w:val="en-US"/>
        </w:rPr>
        <w:t>p=</w:t>
      </w:r>
      <w:r w:rsidRPr="00E35845">
        <w:rPr>
          <w:i/>
          <w:iCs/>
          <w:color w:val="000000" w:themeColor="text1"/>
          <w:sz w:val="20"/>
          <w:szCs w:val="20"/>
        </w:rPr>
        <w:t>0.0156</w:t>
      </w:r>
      <w:r w:rsidRPr="00E35845">
        <w:rPr>
          <w:color w:val="000000" w:themeColor="text1"/>
          <w:sz w:val="20"/>
          <w:szCs w:val="20"/>
          <w:lang w:val="en-US"/>
        </w:rPr>
        <w:t xml:space="preserve">); </w:t>
      </w:r>
      <w:r w:rsidRPr="00E35845">
        <w:rPr>
          <w:color w:val="000000" w:themeColor="text1"/>
          <w:sz w:val="20"/>
          <w:szCs w:val="20"/>
          <w:lang w:val="en-GB"/>
        </w:rPr>
        <w:t xml:space="preserve">b) NDUFV3 CTRL versus AA, GW, and T3, respectively: 1.037 (0.7100 – 1.400;) versus 1.738 (1,553 – 1.933, </w:t>
      </w:r>
      <w:r w:rsidRPr="00E35845">
        <w:rPr>
          <w:i/>
          <w:iCs/>
          <w:color w:val="000000" w:themeColor="text1"/>
          <w:sz w:val="20"/>
          <w:szCs w:val="20"/>
          <w:lang w:val="en-GB"/>
        </w:rPr>
        <w:t>p=</w:t>
      </w:r>
      <w:r w:rsidRPr="00E35845">
        <w:rPr>
          <w:i/>
          <w:iCs/>
          <w:color w:val="000000" w:themeColor="text1"/>
          <w:sz w:val="20"/>
          <w:szCs w:val="20"/>
        </w:rPr>
        <w:t>0,0078</w:t>
      </w:r>
      <w:r w:rsidRPr="00E35845">
        <w:rPr>
          <w:color w:val="000000" w:themeColor="text1"/>
          <w:sz w:val="20"/>
          <w:szCs w:val="20"/>
          <w:lang w:val="en-GB"/>
        </w:rPr>
        <w:t>), 3.750 (1.738 – 4.390;</w:t>
      </w:r>
      <w:r w:rsidRPr="00E35845">
        <w:rPr>
          <w:i/>
          <w:iCs/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E35845">
        <w:rPr>
          <w:i/>
          <w:iCs/>
          <w:color w:val="000000" w:themeColor="text1"/>
          <w:sz w:val="20"/>
          <w:szCs w:val="20"/>
          <w:lang w:val="en-GB"/>
        </w:rPr>
        <w:t>n.s</w:t>
      </w:r>
      <w:proofErr w:type="spellEnd"/>
      <w:r w:rsidRPr="00E35845">
        <w:rPr>
          <w:i/>
          <w:iCs/>
          <w:color w:val="000000" w:themeColor="text1"/>
          <w:sz w:val="20"/>
          <w:szCs w:val="20"/>
          <w:lang w:val="en-GB"/>
        </w:rPr>
        <w:t>.</w:t>
      </w:r>
      <w:r w:rsidRPr="00E35845">
        <w:rPr>
          <w:color w:val="000000" w:themeColor="text1"/>
          <w:sz w:val="20"/>
          <w:szCs w:val="20"/>
          <w:lang w:val="en-GB"/>
        </w:rPr>
        <w:t xml:space="preserve">). and 2.251 (1.950 – 2.510; </w:t>
      </w:r>
      <w:r w:rsidRPr="00E35845">
        <w:rPr>
          <w:i/>
          <w:iCs/>
          <w:color w:val="000000" w:themeColor="text1"/>
          <w:sz w:val="20"/>
          <w:szCs w:val="20"/>
          <w:lang w:val="en-GB"/>
        </w:rPr>
        <w:t>p=</w:t>
      </w:r>
      <w:r w:rsidRPr="00E35845">
        <w:rPr>
          <w:i/>
          <w:iCs/>
          <w:color w:val="000000" w:themeColor="text1"/>
          <w:sz w:val="20"/>
          <w:szCs w:val="20"/>
        </w:rPr>
        <w:t>0.0156</w:t>
      </w:r>
      <w:r w:rsidRPr="00E35845">
        <w:rPr>
          <w:color w:val="000000" w:themeColor="text1"/>
          <w:sz w:val="20"/>
          <w:szCs w:val="20"/>
          <w:lang w:val="en-GB"/>
        </w:rPr>
        <w:t xml:space="preserve">); c) COX3 CTRL versus AA. GW. </w:t>
      </w:r>
      <w:proofErr w:type="gramStart"/>
      <w:r w:rsidRPr="00E35845">
        <w:rPr>
          <w:color w:val="000000" w:themeColor="text1"/>
          <w:sz w:val="20"/>
          <w:szCs w:val="20"/>
          <w:lang w:val="en-GB"/>
        </w:rPr>
        <w:t>and</w:t>
      </w:r>
      <w:proofErr w:type="gramEnd"/>
      <w:r w:rsidRPr="00E35845">
        <w:rPr>
          <w:color w:val="000000" w:themeColor="text1"/>
          <w:sz w:val="20"/>
          <w:szCs w:val="20"/>
          <w:lang w:val="en-GB"/>
        </w:rPr>
        <w:t xml:space="preserve"> T3. </w:t>
      </w:r>
      <w:proofErr w:type="gramStart"/>
      <w:r w:rsidRPr="00E35845">
        <w:rPr>
          <w:color w:val="000000" w:themeColor="text1"/>
          <w:sz w:val="20"/>
          <w:szCs w:val="20"/>
          <w:lang w:val="en-GB"/>
        </w:rPr>
        <w:t>respectively</w:t>
      </w:r>
      <w:proofErr w:type="gramEnd"/>
      <w:r w:rsidRPr="00E35845">
        <w:rPr>
          <w:color w:val="000000" w:themeColor="text1"/>
          <w:sz w:val="20"/>
          <w:szCs w:val="20"/>
          <w:lang w:val="en-GB"/>
        </w:rPr>
        <w:t xml:space="preserve">: </w:t>
      </w:r>
      <w:r w:rsidRPr="00E35845">
        <w:rPr>
          <w:color w:val="000000" w:themeColor="text1"/>
          <w:sz w:val="20"/>
          <w:szCs w:val="20"/>
        </w:rPr>
        <w:t>1.187</w:t>
      </w:r>
      <w:r w:rsidRPr="00E35845">
        <w:rPr>
          <w:color w:val="000000" w:themeColor="text1"/>
          <w:sz w:val="20"/>
          <w:szCs w:val="20"/>
          <w:lang w:val="en-US"/>
        </w:rPr>
        <w:t xml:space="preserve"> (</w:t>
      </w:r>
      <w:r w:rsidRPr="00E35845">
        <w:rPr>
          <w:color w:val="000000" w:themeColor="text1"/>
          <w:sz w:val="20"/>
          <w:szCs w:val="20"/>
        </w:rPr>
        <w:t>0.4200</w:t>
      </w:r>
      <w:r w:rsidRPr="00E35845">
        <w:rPr>
          <w:color w:val="000000" w:themeColor="text1"/>
          <w:sz w:val="20"/>
          <w:szCs w:val="20"/>
          <w:lang w:val="en-US"/>
        </w:rPr>
        <w:t xml:space="preserve"> - </w:t>
      </w:r>
      <w:r w:rsidRPr="00E35845">
        <w:rPr>
          <w:color w:val="000000" w:themeColor="text1"/>
          <w:sz w:val="20"/>
          <w:szCs w:val="20"/>
        </w:rPr>
        <w:t>1.830</w:t>
      </w:r>
      <w:r w:rsidRPr="00E35845">
        <w:rPr>
          <w:color w:val="000000" w:themeColor="text1"/>
          <w:sz w:val="20"/>
          <w:szCs w:val="20"/>
          <w:lang w:val="en-US"/>
        </w:rPr>
        <w:t xml:space="preserve">) versus </w:t>
      </w:r>
      <w:r w:rsidRPr="00E35845">
        <w:rPr>
          <w:color w:val="000000" w:themeColor="text1"/>
          <w:sz w:val="20"/>
          <w:szCs w:val="20"/>
        </w:rPr>
        <w:t>1.166</w:t>
      </w:r>
      <w:r w:rsidRPr="00E35845">
        <w:rPr>
          <w:color w:val="000000" w:themeColor="text1"/>
          <w:sz w:val="20"/>
          <w:szCs w:val="20"/>
          <w:lang w:val="en-US"/>
        </w:rPr>
        <w:t xml:space="preserve"> (</w:t>
      </w:r>
      <w:r w:rsidRPr="00E35845">
        <w:rPr>
          <w:color w:val="000000" w:themeColor="text1"/>
          <w:sz w:val="20"/>
          <w:szCs w:val="20"/>
        </w:rPr>
        <w:t>0.8725</w:t>
      </w:r>
      <w:r w:rsidRPr="00E35845">
        <w:rPr>
          <w:color w:val="000000" w:themeColor="text1"/>
          <w:sz w:val="20"/>
          <w:szCs w:val="20"/>
          <w:lang w:val="en-US"/>
        </w:rPr>
        <w:t xml:space="preserve"> - </w:t>
      </w:r>
      <w:r w:rsidRPr="00E35845">
        <w:rPr>
          <w:color w:val="000000" w:themeColor="text1"/>
          <w:sz w:val="20"/>
          <w:szCs w:val="20"/>
        </w:rPr>
        <w:t>1.433</w:t>
      </w:r>
      <w:r w:rsidRPr="00E35845">
        <w:rPr>
          <w:color w:val="000000" w:themeColor="text1"/>
          <w:sz w:val="20"/>
          <w:szCs w:val="20"/>
          <w:lang w:val="en-US"/>
        </w:rPr>
        <w:t xml:space="preserve">; </w:t>
      </w:r>
      <w:r w:rsidRPr="00E35845">
        <w:rPr>
          <w:i/>
          <w:iCs/>
          <w:color w:val="000000" w:themeColor="text1"/>
          <w:sz w:val="20"/>
          <w:szCs w:val="20"/>
          <w:lang w:val="en-US"/>
        </w:rPr>
        <w:t>p=</w:t>
      </w:r>
      <w:r w:rsidRPr="00E35845">
        <w:rPr>
          <w:i/>
          <w:iCs/>
          <w:color w:val="000000" w:themeColor="text1"/>
          <w:sz w:val="20"/>
          <w:szCs w:val="20"/>
        </w:rPr>
        <w:t xml:space="preserve"> 0.0234</w:t>
      </w:r>
      <w:r w:rsidRPr="00E35845">
        <w:rPr>
          <w:color w:val="000000" w:themeColor="text1"/>
          <w:sz w:val="20"/>
          <w:szCs w:val="20"/>
          <w:lang w:val="en-US"/>
        </w:rPr>
        <w:t xml:space="preserve">) versus </w:t>
      </w:r>
      <w:r w:rsidRPr="00E35845">
        <w:rPr>
          <w:color w:val="000000" w:themeColor="text1"/>
          <w:sz w:val="20"/>
          <w:szCs w:val="20"/>
        </w:rPr>
        <w:t>2.860</w:t>
      </w:r>
      <w:r w:rsidRPr="00E35845">
        <w:rPr>
          <w:color w:val="000000" w:themeColor="text1"/>
          <w:sz w:val="20"/>
          <w:szCs w:val="20"/>
          <w:lang w:val="en-US"/>
        </w:rPr>
        <w:t xml:space="preserve"> (</w:t>
      </w:r>
      <w:r w:rsidRPr="00E35845">
        <w:rPr>
          <w:color w:val="000000" w:themeColor="text1"/>
          <w:sz w:val="20"/>
          <w:szCs w:val="20"/>
        </w:rPr>
        <w:t>1.918</w:t>
      </w:r>
      <w:r w:rsidRPr="00E35845">
        <w:rPr>
          <w:color w:val="000000" w:themeColor="text1"/>
          <w:sz w:val="20"/>
          <w:szCs w:val="20"/>
          <w:lang w:val="en-US"/>
        </w:rPr>
        <w:t xml:space="preserve"> - </w:t>
      </w:r>
      <w:r w:rsidRPr="00E35845">
        <w:rPr>
          <w:color w:val="000000" w:themeColor="text1"/>
          <w:sz w:val="20"/>
          <w:szCs w:val="20"/>
        </w:rPr>
        <w:t>3.753</w:t>
      </w:r>
      <w:r w:rsidRPr="00E35845">
        <w:rPr>
          <w:color w:val="000000" w:themeColor="text1"/>
          <w:sz w:val="20"/>
          <w:szCs w:val="20"/>
          <w:lang w:val="en-US"/>
        </w:rPr>
        <w:t xml:space="preserve">; </w:t>
      </w:r>
      <w:r w:rsidRPr="00E35845">
        <w:rPr>
          <w:i/>
          <w:iCs/>
          <w:color w:val="000000" w:themeColor="text1"/>
          <w:sz w:val="20"/>
          <w:szCs w:val="20"/>
          <w:lang w:val="en-US"/>
        </w:rPr>
        <w:t>p=</w:t>
      </w:r>
      <w:proofErr w:type="spellStart"/>
      <w:r w:rsidRPr="00E35845">
        <w:rPr>
          <w:i/>
          <w:iCs/>
          <w:color w:val="000000" w:themeColor="text1"/>
          <w:sz w:val="20"/>
          <w:szCs w:val="20"/>
          <w:lang w:val="en-US"/>
        </w:rPr>
        <w:t>n.s</w:t>
      </w:r>
      <w:proofErr w:type="spellEnd"/>
      <w:r w:rsidRPr="00E35845">
        <w:rPr>
          <w:i/>
          <w:iCs/>
          <w:color w:val="000000" w:themeColor="text1"/>
          <w:sz w:val="20"/>
          <w:szCs w:val="20"/>
          <w:lang w:val="en-US"/>
        </w:rPr>
        <w:t>.)</w:t>
      </w:r>
      <w:r w:rsidRPr="00E35845">
        <w:rPr>
          <w:color w:val="000000" w:themeColor="text1"/>
          <w:sz w:val="20"/>
          <w:szCs w:val="20"/>
          <w:lang w:val="en-US"/>
        </w:rPr>
        <w:t xml:space="preserve"> versus </w:t>
      </w:r>
      <w:r w:rsidRPr="00E35845">
        <w:rPr>
          <w:color w:val="000000" w:themeColor="text1"/>
          <w:sz w:val="20"/>
          <w:szCs w:val="20"/>
        </w:rPr>
        <w:t>2.203</w:t>
      </w:r>
      <w:r w:rsidRPr="00E35845">
        <w:rPr>
          <w:color w:val="000000" w:themeColor="text1"/>
          <w:sz w:val="20"/>
          <w:szCs w:val="20"/>
          <w:lang w:val="en-US"/>
        </w:rPr>
        <w:t xml:space="preserve"> (</w:t>
      </w:r>
      <w:r w:rsidRPr="00E35845">
        <w:rPr>
          <w:color w:val="000000" w:themeColor="text1"/>
          <w:sz w:val="20"/>
          <w:szCs w:val="20"/>
        </w:rPr>
        <w:t>1.760</w:t>
      </w:r>
      <w:r w:rsidRPr="00E35845">
        <w:rPr>
          <w:color w:val="000000" w:themeColor="text1"/>
          <w:sz w:val="20"/>
          <w:szCs w:val="20"/>
          <w:lang w:val="en-US"/>
        </w:rPr>
        <w:t xml:space="preserve"> - </w:t>
      </w:r>
      <w:r w:rsidRPr="00E35845">
        <w:rPr>
          <w:color w:val="000000" w:themeColor="text1"/>
          <w:sz w:val="20"/>
          <w:szCs w:val="20"/>
        </w:rPr>
        <w:t>2.880</w:t>
      </w:r>
      <w:r w:rsidRPr="00E35845">
        <w:rPr>
          <w:color w:val="000000" w:themeColor="text1"/>
          <w:sz w:val="20"/>
          <w:szCs w:val="20"/>
          <w:lang w:val="en-US"/>
        </w:rPr>
        <w:t xml:space="preserve">; </w:t>
      </w:r>
      <w:r w:rsidRPr="00E35845">
        <w:rPr>
          <w:i/>
          <w:iCs/>
          <w:color w:val="000000" w:themeColor="text1"/>
          <w:sz w:val="20"/>
          <w:szCs w:val="20"/>
          <w:lang w:val="en-US"/>
        </w:rPr>
        <w:t>p=</w:t>
      </w:r>
      <w:r w:rsidRPr="00E35845">
        <w:rPr>
          <w:i/>
          <w:iCs/>
          <w:color w:val="000000" w:themeColor="text1"/>
          <w:sz w:val="20"/>
          <w:szCs w:val="20"/>
        </w:rPr>
        <w:t xml:space="preserve"> 0.0156</w:t>
      </w:r>
      <w:r w:rsidRPr="00E35845">
        <w:rPr>
          <w:color w:val="000000" w:themeColor="text1"/>
          <w:sz w:val="20"/>
          <w:szCs w:val="20"/>
          <w:lang w:val="en-US"/>
        </w:rPr>
        <w:t>)</w:t>
      </w:r>
      <w:r w:rsidRPr="00E35845">
        <w:rPr>
          <w:color w:val="000000" w:themeColor="text1"/>
          <w:sz w:val="20"/>
          <w:szCs w:val="20"/>
          <w:lang w:val="en-GB"/>
        </w:rPr>
        <w:t xml:space="preserve">; </w:t>
      </w:r>
      <w:r w:rsidRPr="00E35845">
        <w:rPr>
          <w:color w:val="000000" w:themeColor="text1"/>
          <w:sz w:val="20"/>
          <w:szCs w:val="20"/>
          <w:lang w:val="en-US"/>
        </w:rPr>
        <w:t xml:space="preserve">d) COX5 </w:t>
      </w:r>
      <w:r w:rsidRPr="00E35845">
        <w:rPr>
          <w:color w:val="000000" w:themeColor="text1"/>
          <w:sz w:val="20"/>
          <w:szCs w:val="20"/>
          <w:lang w:val="en-GB"/>
        </w:rPr>
        <w:t xml:space="preserve">CTRL versus AA. GW. </w:t>
      </w:r>
      <w:proofErr w:type="gramStart"/>
      <w:r w:rsidRPr="00E35845">
        <w:rPr>
          <w:color w:val="000000" w:themeColor="text1"/>
          <w:sz w:val="20"/>
          <w:szCs w:val="20"/>
          <w:lang w:val="en-GB"/>
        </w:rPr>
        <w:t>and</w:t>
      </w:r>
      <w:proofErr w:type="gramEnd"/>
      <w:r w:rsidRPr="00E35845">
        <w:rPr>
          <w:color w:val="000000" w:themeColor="text1"/>
          <w:sz w:val="20"/>
          <w:szCs w:val="20"/>
          <w:lang w:val="en-GB"/>
        </w:rPr>
        <w:t xml:space="preserve"> T3. </w:t>
      </w:r>
      <w:proofErr w:type="gramStart"/>
      <w:r w:rsidRPr="00E35845">
        <w:rPr>
          <w:color w:val="000000" w:themeColor="text1"/>
          <w:sz w:val="20"/>
          <w:szCs w:val="20"/>
          <w:lang w:val="en-GB"/>
        </w:rPr>
        <w:t>respectively</w:t>
      </w:r>
      <w:proofErr w:type="gramEnd"/>
      <w:r w:rsidRPr="00E35845">
        <w:rPr>
          <w:color w:val="000000" w:themeColor="text1"/>
          <w:sz w:val="20"/>
          <w:szCs w:val="20"/>
          <w:lang w:val="en-GB"/>
        </w:rPr>
        <w:t xml:space="preserve">: </w:t>
      </w:r>
      <w:r w:rsidRPr="00E35845">
        <w:rPr>
          <w:color w:val="000000" w:themeColor="text1"/>
          <w:sz w:val="20"/>
          <w:szCs w:val="20"/>
        </w:rPr>
        <w:t>1.053</w:t>
      </w:r>
      <w:r w:rsidRPr="00E35845">
        <w:rPr>
          <w:color w:val="000000" w:themeColor="text1"/>
          <w:sz w:val="20"/>
          <w:szCs w:val="20"/>
          <w:lang w:val="en-US"/>
        </w:rPr>
        <w:t xml:space="preserve"> (</w:t>
      </w:r>
      <w:r w:rsidRPr="00E35845">
        <w:rPr>
          <w:color w:val="000000" w:themeColor="text1"/>
          <w:sz w:val="20"/>
          <w:szCs w:val="20"/>
        </w:rPr>
        <w:t>0.7800</w:t>
      </w:r>
      <w:r w:rsidRPr="00E35845">
        <w:rPr>
          <w:color w:val="000000" w:themeColor="text1"/>
          <w:sz w:val="20"/>
          <w:szCs w:val="20"/>
          <w:lang w:val="en-US"/>
        </w:rPr>
        <w:t xml:space="preserve"> - </w:t>
      </w:r>
      <w:r w:rsidRPr="00E35845">
        <w:rPr>
          <w:color w:val="000000" w:themeColor="text1"/>
          <w:sz w:val="20"/>
          <w:szCs w:val="20"/>
        </w:rPr>
        <w:t>1.540</w:t>
      </w:r>
      <w:r w:rsidRPr="00E35845">
        <w:rPr>
          <w:color w:val="000000" w:themeColor="text1"/>
          <w:sz w:val="20"/>
          <w:szCs w:val="20"/>
          <w:lang w:val="en-US"/>
        </w:rPr>
        <w:t xml:space="preserve">) versus </w:t>
      </w:r>
      <w:r w:rsidRPr="00E35845">
        <w:rPr>
          <w:color w:val="000000" w:themeColor="text1"/>
          <w:sz w:val="20"/>
          <w:szCs w:val="20"/>
        </w:rPr>
        <w:t>2.471</w:t>
      </w:r>
      <w:r w:rsidRPr="00E35845">
        <w:rPr>
          <w:color w:val="000000" w:themeColor="text1"/>
          <w:sz w:val="20"/>
          <w:szCs w:val="20"/>
          <w:lang w:val="en-US"/>
        </w:rPr>
        <w:t xml:space="preserve"> (</w:t>
      </w:r>
      <w:r w:rsidRPr="00E35845">
        <w:rPr>
          <w:color w:val="000000" w:themeColor="text1"/>
          <w:sz w:val="20"/>
          <w:szCs w:val="20"/>
        </w:rPr>
        <w:t>1.950</w:t>
      </w:r>
      <w:r w:rsidRPr="00E35845">
        <w:rPr>
          <w:color w:val="000000" w:themeColor="text1"/>
          <w:sz w:val="20"/>
          <w:szCs w:val="20"/>
          <w:lang w:val="en-US"/>
        </w:rPr>
        <w:t xml:space="preserve"> - </w:t>
      </w:r>
      <w:r w:rsidRPr="00E35845">
        <w:rPr>
          <w:color w:val="000000" w:themeColor="text1"/>
          <w:sz w:val="20"/>
          <w:szCs w:val="20"/>
        </w:rPr>
        <w:t>2.943</w:t>
      </w:r>
      <w:r w:rsidRPr="00E35845">
        <w:rPr>
          <w:color w:val="000000" w:themeColor="text1"/>
          <w:sz w:val="20"/>
          <w:szCs w:val="20"/>
          <w:lang w:val="en-US"/>
        </w:rPr>
        <w:t xml:space="preserve">; </w:t>
      </w:r>
      <w:r w:rsidRPr="00E35845">
        <w:rPr>
          <w:i/>
          <w:iCs/>
          <w:color w:val="000000" w:themeColor="text1"/>
          <w:sz w:val="20"/>
          <w:szCs w:val="20"/>
          <w:lang w:val="en-US"/>
        </w:rPr>
        <w:t>p=</w:t>
      </w:r>
      <w:r w:rsidRPr="00E35845">
        <w:rPr>
          <w:i/>
          <w:iCs/>
          <w:color w:val="000000" w:themeColor="text1"/>
          <w:sz w:val="20"/>
          <w:szCs w:val="20"/>
        </w:rPr>
        <w:t xml:space="preserve"> 0.0078</w:t>
      </w:r>
      <w:r w:rsidRPr="00E35845">
        <w:rPr>
          <w:color w:val="000000" w:themeColor="text1"/>
          <w:sz w:val="20"/>
          <w:szCs w:val="20"/>
          <w:lang w:val="en-US"/>
        </w:rPr>
        <w:t xml:space="preserve">) versus </w:t>
      </w:r>
      <w:r w:rsidRPr="00E35845">
        <w:rPr>
          <w:color w:val="000000" w:themeColor="text1"/>
          <w:sz w:val="20"/>
          <w:szCs w:val="20"/>
        </w:rPr>
        <w:t>9.758</w:t>
      </w:r>
      <w:r w:rsidRPr="00E35845">
        <w:rPr>
          <w:color w:val="000000" w:themeColor="text1"/>
          <w:sz w:val="20"/>
          <w:szCs w:val="20"/>
          <w:lang w:val="en-US"/>
        </w:rPr>
        <w:t xml:space="preserve"> (</w:t>
      </w:r>
      <w:r w:rsidRPr="00E35845">
        <w:rPr>
          <w:color w:val="000000" w:themeColor="text1"/>
          <w:sz w:val="20"/>
          <w:szCs w:val="20"/>
        </w:rPr>
        <w:t>6.838</w:t>
      </w:r>
      <w:r w:rsidRPr="00E35845">
        <w:rPr>
          <w:color w:val="000000" w:themeColor="text1"/>
          <w:sz w:val="20"/>
          <w:szCs w:val="20"/>
          <w:lang w:val="en-US"/>
        </w:rPr>
        <w:t xml:space="preserve"> - </w:t>
      </w:r>
      <w:r w:rsidRPr="00E35845">
        <w:rPr>
          <w:color w:val="000000" w:themeColor="text1"/>
          <w:sz w:val="20"/>
          <w:szCs w:val="20"/>
        </w:rPr>
        <w:t>13.52</w:t>
      </w:r>
      <w:r w:rsidRPr="00E35845">
        <w:rPr>
          <w:color w:val="000000" w:themeColor="text1"/>
          <w:sz w:val="20"/>
          <w:szCs w:val="20"/>
          <w:lang w:val="en-US"/>
        </w:rPr>
        <w:t xml:space="preserve">; </w:t>
      </w:r>
      <w:r w:rsidRPr="00E35845">
        <w:rPr>
          <w:i/>
          <w:iCs/>
          <w:color w:val="000000" w:themeColor="text1"/>
          <w:sz w:val="20"/>
          <w:szCs w:val="20"/>
          <w:lang w:val="en-US"/>
        </w:rPr>
        <w:t>p=</w:t>
      </w:r>
      <w:proofErr w:type="spellStart"/>
      <w:r w:rsidRPr="00E35845">
        <w:rPr>
          <w:i/>
          <w:iCs/>
          <w:color w:val="000000" w:themeColor="text1"/>
          <w:sz w:val="20"/>
          <w:szCs w:val="20"/>
          <w:lang w:val="en-US"/>
        </w:rPr>
        <w:t>n.s</w:t>
      </w:r>
      <w:proofErr w:type="spellEnd"/>
      <w:r w:rsidRPr="00E35845">
        <w:rPr>
          <w:i/>
          <w:iCs/>
          <w:color w:val="000000" w:themeColor="text1"/>
          <w:sz w:val="20"/>
          <w:szCs w:val="20"/>
          <w:lang w:val="en-US"/>
        </w:rPr>
        <w:t>.)</w:t>
      </w:r>
      <w:r w:rsidRPr="00E35845">
        <w:rPr>
          <w:color w:val="000000" w:themeColor="text1"/>
          <w:sz w:val="20"/>
          <w:szCs w:val="20"/>
          <w:lang w:val="en-US"/>
        </w:rPr>
        <w:t xml:space="preserve"> versus </w:t>
      </w:r>
      <w:r w:rsidRPr="00E35845">
        <w:rPr>
          <w:color w:val="000000" w:themeColor="text1"/>
          <w:sz w:val="20"/>
          <w:szCs w:val="20"/>
        </w:rPr>
        <w:t>2.873</w:t>
      </w:r>
      <w:r w:rsidRPr="00E35845">
        <w:rPr>
          <w:color w:val="000000" w:themeColor="text1"/>
          <w:sz w:val="20"/>
          <w:szCs w:val="20"/>
          <w:lang w:val="en-US"/>
        </w:rPr>
        <w:t xml:space="preserve"> (</w:t>
      </w:r>
      <w:r w:rsidRPr="00E35845">
        <w:rPr>
          <w:color w:val="000000" w:themeColor="text1"/>
          <w:sz w:val="20"/>
          <w:szCs w:val="20"/>
        </w:rPr>
        <w:t>2.460</w:t>
      </w:r>
      <w:r w:rsidRPr="00E35845">
        <w:rPr>
          <w:color w:val="000000" w:themeColor="text1"/>
          <w:sz w:val="20"/>
          <w:szCs w:val="20"/>
          <w:lang w:val="en-US"/>
        </w:rPr>
        <w:t xml:space="preserve"> - </w:t>
      </w:r>
      <w:r w:rsidRPr="00E35845">
        <w:rPr>
          <w:color w:val="000000" w:themeColor="text1"/>
          <w:sz w:val="20"/>
          <w:szCs w:val="20"/>
        </w:rPr>
        <w:t>3.320</w:t>
      </w:r>
      <w:r w:rsidRPr="00E35845">
        <w:rPr>
          <w:i/>
          <w:iCs/>
          <w:color w:val="000000" w:themeColor="text1"/>
          <w:sz w:val="20"/>
          <w:szCs w:val="20"/>
          <w:lang w:val="en-US"/>
        </w:rPr>
        <w:t>; p=</w:t>
      </w:r>
      <w:r w:rsidRPr="00E35845">
        <w:rPr>
          <w:i/>
          <w:iCs/>
          <w:color w:val="000000" w:themeColor="text1"/>
          <w:sz w:val="20"/>
          <w:szCs w:val="20"/>
        </w:rPr>
        <w:t xml:space="preserve"> 0.0156</w:t>
      </w:r>
      <w:r w:rsidRPr="00E35845">
        <w:rPr>
          <w:color w:val="000000" w:themeColor="text1"/>
          <w:sz w:val="20"/>
          <w:szCs w:val="20"/>
          <w:lang w:val="en-US"/>
        </w:rPr>
        <w:t>)</w:t>
      </w:r>
    </w:p>
    <w:p w:rsidR="008B7F86" w:rsidRPr="00E35845" w:rsidRDefault="008B7F86" w:rsidP="008B7F86">
      <w:pPr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  <w:r w:rsidRPr="00E35845">
        <w:rPr>
          <w:noProof/>
          <w:color w:val="000000" w:themeColor="text1"/>
          <w:sz w:val="20"/>
          <w:szCs w:val="20"/>
          <w:lang w:eastAsia="en-IN"/>
        </w:rPr>
        <w:lastRenderedPageBreak/>
        <w:drawing>
          <wp:inline distT="0" distB="0" distL="0" distR="0" wp14:anchorId="00431A61" wp14:editId="2957AA12">
            <wp:extent cx="6208395" cy="2680138"/>
            <wp:effectExtent l="0" t="0" r="1905" b="0"/>
            <wp:docPr id="14" name="Picture 1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&#10;&#10;Description automatically generated"/>
                    <pic:cNvPicPr/>
                  </pic:nvPicPr>
                  <pic:blipFill rotWithShape="1">
                    <a:blip r:embed="rId8"/>
                    <a:srcRect b="46910"/>
                    <a:stretch/>
                  </pic:blipFill>
                  <pic:spPr bwMode="auto">
                    <a:xfrm>
                      <a:off x="0" y="0"/>
                      <a:ext cx="6208395" cy="2680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7F86" w:rsidRPr="00E35845" w:rsidRDefault="008B7F86" w:rsidP="008B7F86">
      <w:pPr>
        <w:pStyle w:val="Caption"/>
        <w:jc w:val="both"/>
        <w:rPr>
          <w:b w:val="0"/>
          <w:bCs w:val="0"/>
          <w:color w:val="000000" w:themeColor="text1"/>
          <w:sz w:val="20"/>
          <w:szCs w:val="20"/>
          <w:lang w:val="en-GB"/>
        </w:rPr>
      </w:pPr>
      <w:r w:rsidRPr="00E35845">
        <w:rPr>
          <w:color w:val="000000" w:themeColor="text1"/>
          <w:sz w:val="20"/>
          <w:szCs w:val="20"/>
          <w:lang w:val="en-GB"/>
        </w:rPr>
        <w:t>Figure S4:</w:t>
      </w:r>
      <w:r w:rsidRPr="00E35845">
        <w:rPr>
          <w:b w:val="0"/>
          <w:bCs w:val="0"/>
          <w:color w:val="000000" w:themeColor="text1"/>
          <w:sz w:val="20"/>
          <w:szCs w:val="20"/>
          <w:lang w:val="en-GB"/>
        </w:rPr>
        <w:t xml:space="preserve"> Experiments were performed using</w:t>
      </w:r>
      <w:r w:rsidRPr="00E35845">
        <w:rPr>
          <w:color w:val="000000" w:themeColor="text1"/>
          <w:sz w:val="20"/>
          <w:szCs w:val="20"/>
          <w:lang w:val="en-GB"/>
        </w:rPr>
        <w:t xml:space="preserve"> </w:t>
      </w:r>
      <w:r w:rsidRPr="00E35845">
        <w:rPr>
          <w:b w:val="0"/>
          <w:color w:val="000000" w:themeColor="text1"/>
          <w:sz w:val="20"/>
          <w:szCs w:val="20"/>
          <w:lang w:val="en-GB"/>
        </w:rPr>
        <w:t>day 27 iPSC-CMs line UKKi036-C.</w:t>
      </w:r>
      <w:r w:rsidRPr="00E35845">
        <w:rPr>
          <w:color w:val="000000" w:themeColor="text1"/>
          <w:sz w:val="20"/>
          <w:szCs w:val="20"/>
          <w:lang w:val="en-GB"/>
        </w:rPr>
        <w:t xml:space="preserve"> </w:t>
      </w:r>
      <w:r w:rsidRPr="00E35845">
        <w:rPr>
          <w:b w:val="0"/>
          <w:bCs w:val="0"/>
          <w:color w:val="000000" w:themeColor="text1"/>
          <w:sz w:val="20"/>
          <w:szCs w:val="20"/>
          <w:lang w:val="en-GB"/>
        </w:rPr>
        <w:t xml:space="preserve">(a) </w:t>
      </w:r>
      <w:r w:rsidRPr="00E35845">
        <w:rPr>
          <w:b w:val="0"/>
          <w:color w:val="000000" w:themeColor="text1"/>
          <w:sz w:val="20"/>
          <w:szCs w:val="20"/>
          <w:lang w:val="en-GB"/>
        </w:rPr>
        <w:t xml:space="preserve">Raw extracellular acidification rate (ECAR) </w:t>
      </w:r>
      <w:r w:rsidRPr="00E35845">
        <w:rPr>
          <w:b w:val="0"/>
          <w:bCs w:val="0"/>
          <w:color w:val="000000" w:themeColor="text1"/>
          <w:sz w:val="20"/>
          <w:szCs w:val="20"/>
          <w:lang w:val="en-GB"/>
        </w:rPr>
        <w:t xml:space="preserve">of iPSC-CMs </w:t>
      </w:r>
      <w:r w:rsidRPr="00E35845">
        <w:rPr>
          <w:b w:val="0"/>
          <w:color w:val="000000" w:themeColor="text1"/>
          <w:sz w:val="20"/>
          <w:szCs w:val="20"/>
          <w:lang w:val="en-GB"/>
        </w:rPr>
        <w:t xml:space="preserve">cultured in the seahorse medium with L-glutamine. Addition of ETO and 2DG block the FAO and glucose-dependent glycolysis respectively. </w:t>
      </w:r>
      <w:r w:rsidRPr="00E35845">
        <w:rPr>
          <w:b w:val="0"/>
          <w:bCs w:val="0"/>
          <w:color w:val="000000" w:themeColor="text1"/>
          <w:sz w:val="20"/>
          <w:szCs w:val="20"/>
          <w:lang w:val="en-GB"/>
        </w:rPr>
        <w:t>(b) Raw oxygen consumption rate (OCR) in cells at day 27 of differentiation after sequential administration of ETO and 2DG.</w:t>
      </w:r>
    </w:p>
    <w:p w:rsidR="008B7F86" w:rsidRPr="00E35845" w:rsidRDefault="008B7F86" w:rsidP="008B7F86">
      <w:pPr>
        <w:pStyle w:val="Caption"/>
      </w:pPr>
    </w:p>
    <w:p w:rsidR="008B7F86" w:rsidRPr="00E35845" w:rsidRDefault="008B7F86" w:rsidP="008B7F86">
      <w:pPr>
        <w:pStyle w:val="Caption"/>
        <w:rPr>
          <w:b w:val="0"/>
          <w:bCs w:val="0"/>
          <w:color w:val="000000" w:themeColor="text1"/>
          <w:sz w:val="20"/>
          <w:szCs w:val="20"/>
        </w:rPr>
      </w:pPr>
      <w:r w:rsidRPr="00E35845">
        <w:rPr>
          <w:sz w:val="20"/>
          <w:szCs w:val="20"/>
        </w:rPr>
        <w:t>Table S</w:t>
      </w:r>
      <w:r w:rsidRPr="00E35845">
        <w:rPr>
          <w:sz w:val="20"/>
          <w:szCs w:val="20"/>
        </w:rPr>
        <w:fldChar w:fldCharType="begin"/>
      </w:r>
      <w:r w:rsidRPr="00E35845">
        <w:rPr>
          <w:sz w:val="20"/>
          <w:szCs w:val="20"/>
        </w:rPr>
        <w:instrText xml:space="preserve"> SEQ Table_S \* ARABIC </w:instrText>
      </w:r>
      <w:r w:rsidRPr="00E35845">
        <w:rPr>
          <w:sz w:val="20"/>
          <w:szCs w:val="20"/>
        </w:rPr>
        <w:fldChar w:fldCharType="separate"/>
      </w:r>
      <w:r w:rsidRPr="00E35845">
        <w:rPr>
          <w:noProof/>
          <w:sz w:val="20"/>
          <w:szCs w:val="20"/>
        </w:rPr>
        <w:t>4</w:t>
      </w:r>
      <w:r w:rsidRPr="00E35845">
        <w:rPr>
          <w:sz w:val="20"/>
          <w:szCs w:val="20"/>
        </w:rPr>
        <w:fldChar w:fldCharType="end"/>
      </w:r>
      <w:r w:rsidRPr="00E35845">
        <w:rPr>
          <w:sz w:val="20"/>
          <w:szCs w:val="20"/>
          <w:lang w:val="en-US"/>
        </w:rPr>
        <w:t>:</w:t>
      </w:r>
      <w:r w:rsidRPr="00E35845">
        <w:rPr>
          <w:b w:val="0"/>
          <w:bCs w:val="0"/>
          <w:color w:val="000000" w:themeColor="text1"/>
          <w:sz w:val="15"/>
          <w:szCs w:val="15"/>
          <w:lang w:val="en-US"/>
        </w:rPr>
        <w:t xml:space="preserve"> </w:t>
      </w:r>
      <w:r w:rsidRPr="00E35845">
        <w:rPr>
          <w:b w:val="0"/>
          <w:bCs w:val="0"/>
          <w:color w:val="000000" w:themeColor="text1"/>
          <w:sz w:val="20"/>
          <w:szCs w:val="20"/>
          <w:lang w:val="en-US"/>
        </w:rPr>
        <w:t>Relative DNA content per single nucleus measured on three independent experiments with iPSC lines: UKKi036-C UKKi032-C and UKKi037-C combined n=6-12.</w:t>
      </w:r>
    </w:p>
    <w:tbl>
      <w:tblPr>
        <w:tblW w:w="11020" w:type="dxa"/>
        <w:jc w:val="center"/>
        <w:tblLook w:val="04A0" w:firstRow="1" w:lastRow="0" w:firstColumn="1" w:lastColumn="0" w:noHBand="0" w:noVBand="1"/>
      </w:tblPr>
      <w:tblGrid>
        <w:gridCol w:w="1480"/>
        <w:gridCol w:w="1155"/>
        <w:gridCol w:w="894"/>
        <w:gridCol w:w="1131"/>
        <w:gridCol w:w="1155"/>
        <w:gridCol w:w="894"/>
        <w:gridCol w:w="1131"/>
        <w:gridCol w:w="1155"/>
        <w:gridCol w:w="894"/>
        <w:gridCol w:w="1131"/>
      </w:tblGrid>
      <w:tr w:rsidR="008B7F86" w:rsidRPr="00E35845" w:rsidTr="004D57F9">
        <w:trPr>
          <w:trHeight w:val="340"/>
          <w:jc w:val="center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2N</w:t>
            </w:r>
          </w:p>
        </w:tc>
        <w:tc>
          <w:tcPr>
            <w:tcW w:w="3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&gt;2N</w:t>
            </w:r>
          </w:p>
        </w:tc>
        <w:tc>
          <w:tcPr>
            <w:tcW w:w="3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&gt;4N</w:t>
            </w:r>
          </w:p>
        </w:tc>
      </w:tr>
      <w:tr w:rsidR="008B7F86" w:rsidRPr="00E35845" w:rsidTr="004D57F9">
        <w:trPr>
          <w:trHeight w:val="340"/>
          <w:jc w:val="center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</w:tr>
      <w:tr w:rsidR="008B7F86" w:rsidRPr="00E35845" w:rsidTr="004D57F9">
        <w:trPr>
          <w:trHeight w:val="340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DMSO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002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900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015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900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042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600</w:t>
            </w:r>
          </w:p>
        </w:tc>
      </w:tr>
      <w:tr w:rsidR="008B7F86" w:rsidRPr="00E35845" w:rsidTr="004D57F9">
        <w:trPr>
          <w:trHeight w:val="340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AA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004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029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216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1200</w:t>
            </w:r>
          </w:p>
        </w:tc>
      </w:tr>
      <w:tr w:rsidR="008B7F86" w:rsidRPr="00E35845" w:rsidTr="004D57F9">
        <w:trPr>
          <w:trHeight w:val="340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GW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002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090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018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1200</w:t>
            </w:r>
          </w:p>
        </w:tc>
      </w:tr>
      <w:tr w:rsidR="008B7F86" w:rsidRPr="00E35845" w:rsidTr="004D57F9">
        <w:trPr>
          <w:trHeight w:val="340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35845">
              <w:rPr>
                <w:b/>
                <w:bCs/>
                <w:color w:val="000000" w:themeColor="text1"/>
                <w:sz w:val="20"/>
                <w:szCs w:val="20"/>
              </w:rPr>
              <w:t>T3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004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095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027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F86" w:rsidRPr="00E35845" w:rsidRDefault="008B7F86" w:rsidP="004D57F9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35845">
              <w:rPr>
                <w:color w:val="000000" w:themeColor="text1"/>
                <w:sz w:val="20"/>
                <w:szCs w:val="20"/>
              </w:rPr>
              <w:t>1200</w:t>
            </w:r>
          </w:p>
        </w:tc>
      </w:tr>
    </w:tbl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  <w:r w:rsidRPr="00E35845">
        <w:rPr>
          <w:noProof/>
          <w:color w:val="000000" w:themeColor="text1"/>
          <w:sz w:val="20"/>
          <w:szCs w:val="20"/>
          <w:lang w:eastAsia="en-IN"/>
        </w:rPr>
        <w:lastRenderedPageBreak/>
        <w:drawing>
          <wp:inline distT="0" distB="0" distL="0" distR="0" wp14:anchorId="23243C2D" wp14:editId="40253EB9">
            <wp:extent cx="3045278" cy="2808605"/>
            <wp:effectExtent l="0" t="0" r="3175" b="0"/>
            <wp:docPr id="17" name="Picture 17" descr="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hart&#10;&#10;Description automatically generated with low confidence"/>
                    <pic:cNvPicPr/>
                  </pic:nvPicPr>
                  <pic:blipFill rotWithShape="1">
                    <a:blip r:embed="rId9"/>
                    <a:srcRect t="43970" r="50943"/>
                    <a:stretch/>
                  </pic:blipFill>
                  <pic:spPr bwMode="auto">
                    <a:xfrm>
                      <a:off x="0" y="0"/>
                      <a:ext cx="3045672" cy="2808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  <w:r w:rsidRPr="00E35845">
        <w:rPr>
          <w:b/>
          <w:bCs/>
          <w:color w:val="000000" w:themeColor="text1"/>
          <w:sz w:val="20"/>
          <w:szCs w:val="20"/>
          <w:lang w:val="en-GB"/>
        </w:rPr>
        <w:t>Figure S5:</w:t>
      </w:r>
      <w:r w:rsidRPr="00E35845">
        <w:rPr>
          <w:color w:val="000000" w:themeColor="text1"/>
          <w:sz w:val="20"/>
          <w:szCs w:val="20"/>
          <w:lang w:val="en-GB"/>
        </w:rPr>
        <w:t xml:space="preserve"> Cell nuclei count per well measured by Hoechst staining and 20X magnification imaging using the </w:t>
      </w:r>
      <w:proofErr w:type="spellStart"/>
      <w:r w:rsidRPr="00E35845">
        <w:rPr>
          <w:color w:val="000000" w:themeColor="text1"/>
          <w:sz w:val="20"/>
          <w:szCs w:val="20"/>
          <w:lang w:val="en-GB"/>
        </w:rPr>
        <w:t>Evos</w:t>
      </w:r>
      <w:proofErr w:type="spellEnd"/>
      <w:r w:rsidRPr="00E35845">
        <w:rPr>
          <w:color w:val="000000" w:themeColor="text1"/>
          <w:sz w:val="20"/>
          <w:szCs w:val="20"/>
          <w:lang w:val="en-GB"/>
        </w:rPr>
        <w:t xml:space="preserve"> microscope and ImageJ show no significant changes in number of nuclei present.</w:t>
      </w: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  <w:r w:rsidRPr="00E35845">
        <w:rPr>
          <w:noProof/>
          <w:color w:val="000000" w:themeColor="text1"/>
          <w:sz w:val="20"/>
          <w:szCs w:val="20"/>
          <w:lang w:eastAsia="en-IN"/>
        </w:rPr>
        <w:drawing>
          <wp:anchor distT="0" distB="0" distL="114300" distR="114300" simplePos="0" relativeHeight="251659264" behindDoc="1" locked="0" layoutInCell="1" allowOverlap="1" wp14:anchorId="6FE417C5" wp14:editId="1C70D53B">
            <wp:simplePos x="0" y="0"/>
            <wp:positionH relativeFrom="column">
              <wp:posOffset>-1270</wp:posOffset>
            </wp:positionH>
            <wp:positionV relativeFrom="paragraph">
              <wp:posOffset>182245</wp:posOffset>
            </wp:positionV>
            <wp:extent cx="5046980" cy="2937510"/>
            <wp:effectExtent l="0" t="0" r="0" b="0"/>
            <wp:wrapTight wrapText="bothSides">
              <wp:wrapPolygon edited="0">
                <wp:start x="0" y="0"/>
                <wp:lineTo x="0" y="21479"/>
                <wp:lineTo x="21524" y="21479"/>
                <wp:lineTo x="21524" y="0"/>
                <wp:lineTo x="0" y="0"/>
              </wp:wrapPolygon>
            </wp:wrapTight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6980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</w:p>
    <w:p w:rsidR="008B7F86" w:rsidRPr="00E35845" w:rsidRDefault="008B7F86" w:rsidP="008B7F86">
      <w:pPr>
        <w:spacing w:after="200"/>
        <w:jc w:val="both"/>
        <w:rPr>
          <w:b/>
          <w:bCs/>
          <w:color w:val="000000" w:themeColor="text1"/>
          <w:sz w:val="20"/>
          <w:szCs w:val="20"/>
          <w:lang w:val="en-GB"/>
        </w:rPr>
      </w:pPr>
    </w:p>
    <w:p w:rsidR="008B7F86" w:rsidRPr="00B54700" w:rsidRDefault="008B7F86" w:rsidP="008B7F86">
      <w:pPr>
        <w:spacing w:after="200"/>
        <w:jc w:val="both"/>
        <w:rPr>
          <w:color w:val="000000" w:themeColor="text1"/>
          <w:sz w:val="20"/>
          <w:szCs w:val="20"/>
          <w:lang w:val="en-GB"/>
        </w:rPr>
      </w:pPr>
      <w:r w:rsidRPr="00E35845">
        <w:rPr>
          <w:b/>
          <w:bCs/>
          <w:color w:val="000000" w:themeColor="text1"/>
          <w:sz w:val="20"/>
          <w:szCs w:val="20"/>
          <w:lang w:val="en-GB"/>
        </w:rPr>
        <w:t xml:space="preserve">Figure S6: </w:t>
      </w:r>
      <w:r w:rsidRPr="00E35845">
        <w:rPr>
          <w:color w:val="000000" w:themeColor="text1"/>
          <w:sz w:val="18"/>
          <w:szCs w:val="18"/>
          <w:lang w:val="en-GB"/>
        </w:rPr>
        <w:t>Full-length blots of connexin-43 (left) and CaV1.2 (right) with marker and molecular weight of protein of interest in red. Western blot</w:t>
      </w:r>
      <w:r w:rsidRPr="00E35845">
        <w:rPr>
          <w:b/>
          <w:color w:val="000000" w:themeColor="text1"/>
          <w:sz w:val="18"/>
          <w:szCs w:val="18"/>
          <w:lang w:val="en-GB"/>
        </w:rPr>
        <w:t>s</w:t>
      </w:r>
      <w:r w:rsidRPr="00E35845">
        <w:rPr>
          <w:color w:val="000000" w:themeColor="text1"/>
          <w:sz w:val="18"/>
          <w:szCs w:val="18"/>
          <w:lang w:val="en-GB"/>
        </w:rPr>
        <w:t xml:space="preserve"> were performed on pooled proteins from all three cell lines. Equal amount of protein was loaded in each lane. </w:t>
      </w:r>
      <w:proofErr w:type="spellStart"/>
      <w:r w:rsidRPr="00E35845">
        <w:rPr>
          <w:color w:val="000000" w:themeColor="text1"/>
          <w:sz w:val="18"/>
          <w:szCs w:val="18"/>
          <w:lang w:val="en-GB"/>
        </w:rPr>
        <w:t>Ponceau</w:t>
      </w:r>
      <w:proofErr w:type="spellEnd"/>
      <w:r w:rsidRPr="00E35845">
        <w:rPr>
          <w:color w:val="000000" w:themeColor="text1"/>
          <w:sz w:val="18"/>
          <w:szCs w:val="18"/>
          <w:lang w:val="en-GB"/>
        </w:rPr>
        <w:t xml:space="preserve"> staining is shown underneath the Western blot panel as a loading control.</w:t>
      </w:r>
      <w:r w:rsidRPr="005165A2">
        <w:rPr>
          <w:color w:val="000000" w:themeColor="text1"/>
          <w:sz w:val="18"/>
          <w:szCs w:val="18"/>
          <w:lang w:val="en-GB"/>
        </w:rPr>
        <w:t xml:space="preserve"> </w:t>
      </w:r>
    </w:p>
    <w:p w:rsidR="006639DD" w:rsidRDefault="006639DD"/>
    <w:sectPr w:rsidR="006639DD" w:rsidSect="00E35845">
      <w:headerReference w:type="even" r:id="rId11"/>
      <w:headerReference w:type="default" r:id="rId12"/>
      <w:footerReference w:type="even" r:id="rId13"/>
      <w:footerReference w:type="default" r:id="rId14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DA7" w:rsidRPr="00577C4C" w:rsidRDefault="008B7F86">
    <w:pPr>
      <w:pStyle w:val="Footer"/>
      <w:rPr>
        <w:color w:val="C00000"/>
        <w:szCs w:val="24"/>
      </w:rPr>
    </w:pPr>
    <w:r w:rsidRPr="00577C4C">
      <w:rPr>
        <w:noProof/>
        <w:color w:val="C00000"/>
        <w:szCs w:val="24"/>
        <w:lang w:val="en-IN" w:eastAsia="en-I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9F0B00" wp14:editId="2F75C968">
              <wp:simplePos x="0" y="0"/>
              <wp:positionH relativeFrom="column">
                <wp:posOffset>-108280</wp:posOffset>
              </wp:positionH>
              <wp:positionV relativeFrom="paragraph">
                <wp:posOffset>-58420</wp:posOffset>
              </wp:positionV>
              <wp:extent cx="3672231" cy="1403985"/>
              <wp:effectExtent l="0" t="0" r="444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31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F1DA7" w:rsidRPr="00E9561B" w:rsidRDefault="008B7F86">
                          <w:pPr>
                            <w:rPr>
                              <w:color w:val="C00000"/>
                            </w:rPr>
                          </w:pPr>
                          <w:r w:rsidRPr="00E9561B">
                            <w:rPr>
                              <w:color w:val="C00000"/>
                            </w:rPr>
                            <w:t>This is a provisional file, not the final typeset article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B9F0B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.55pt;margin-top:-4.6pt;width:289.1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" stroked="f">
              <v:textbox style="mso-fit-shape-to-text:t">
                <w:txbxContent>
                  <w:p w:rsidR="00CF1DA7" w:rsidRPr="00E9561B" w:rsidRDefault="008B7F86">
                    <w:pPr>
                      <w:rPr>
                        <w:color w:val="C00000"/>
                      </w:rPr>
                    </w:pPr>
                    <w:r w:rsidRPr="00E9561B">
                      <w:rPr>
                        <w:color w:val="C00000"/>
                      </w:rPr>
                      <w:t>This is a provisional file, not the final typeset article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BC5C6B" wp14:editId="5932533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CF1DA7" w:rsidRPr="00577C4C" w:rsidRDefault="008B7F86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215E10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12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BC5C6B" id="Text Box 1" o:spid="_x0000_s1027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" filled="f" stroked="f" strokeweight=".5pt">
              <v:textbox style="mso-fit-shape-to-text:t">
                <w:txbxContent>
                  <w:p w:rsidR="00CF1DA7" w:rsidRPr="00577C4C" w:rsidRDefault="008B7F86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215E10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12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DA7" w:rsidRPr="00577C4C" w:rsidRDefault="008B7F86">
    <w:pPr>
      <w:pStyle w:val="Footer"/>
      <w:rPr>
        <w:b/>
        <w:sz w:val="2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AEE607" wp14:editId="22BB893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CF1DA7" w:rsidRPr="00577C4C" w:rsidRDefault="008B7F86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8B7F86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8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AEE607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8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" filled="f" stroked="f" strokeweight=".5pt">
              <v:textbox style="mso-fit-shape-to-text:t">
                <w:txbxContent>
                  <w:p w:rsidR="00CF1DA7" w:rsidRPr="00577C4C" w:rsidRDefault="008B7F86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8B7F86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8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DA7" w:rsidRPr="00D977F8" w:rsidRDefault="008B7F86" w:rsidP="00D977F8">
    <w:pPr>
      <w:pStyle w:val="Title"/>
      <w:spacing w:line="360" w:lineRule="auto"/>
      <w:jc w:val="right"/>
      <w:rPr>
        <w:rFonts w:ascii="Helvetica" w:hAnsi="Helvetica" w:cs="Helvetica"/>
        <w:b w:val="0"/>
        <w:bCs/>
        <w:sz w:val="21"/>
        <w:szCs w:val="21"/>
      </w:rPr>
    </w:pPr>
    <w:r w:rsidRPr="00D977F8">
      <w:rPr>
        <w:rFonts w:ascii="Helvetica" w:hAnsi="Helvetica" w:cs="Helvetica"/>
        <w:b w:val="0"/>
        <w:bCs/>
        <w:sz w:val="21"/>
        <w:szCs w:val="21"/>
      </w:rPr>
      <w:t>Small Molecule-Mediated Rapid Maturation of Human iPSC-Cardiomyocytes</w:t>
    </w:r>
  </w:p>
  <w:p w:rsidR="00CF1DA7" w:rsidRPr="00D977F8" w:rsidRDefault="008B7F86" w:rsidP="00D977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DA7" w:rsidRPr="002C313A" w:rsidRDefault="008B7F86" w:rsidP="00853769">
    <w:pPr>
      <w:pStyle w:val="Title"/>
      <w:spacing w:line="360" w:lineRule="auto"/>
      <w:jc w:val="right"/>
      <w:rPr>
        <w:rFonts w:ascii="Helvetica" w:hAnsi="Helvetica" w:cs="Helvetica"/>
        <w:b w:val="0"/>
        <w:sz w:val="18"/>
        <w:szCs w:val="24"/>
      </w:rPr>
    </w:pPr>
    <w:r w:rsidRPr="002C313A">
      <w:rPr>
        <w:rFonts w:ascii="Helvetica" w:hAnsi="Helvetica" w:cs="Helvetica"/>
        <w:b w:val="0"/>
        <w:sz w:val="18"/>
        <w:szCs w:val="24"/>
      </w:rPr>
      <w:t xml:space="preserve">Small </w:t>
    </w:r>
    <w:r w:rsidRPr="002C313A">
      <w:rPr>
        <w:rFonts w:ascii="Helvetica" w:hAnsi="Helvetica" w:cs="Helvetica"/>
        <w:b w:val="0"/>
        <w:sz w:val="18"/>
        <w:szCs w:val="24"/>
      </w:rPr>
      <w:t>Molecule-Mediated Rapid Maturation of Human iPSC-Cardiomyocytes</w:t>
    </w:r>
  </w:p>
  <w:p w:rsidR="00CF1DA7" w:rsidRPr="00853769" w:rsidRDefault="008B7F86" w:rsidP="008537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0601A"/>
    <w:multiLevelType w:val="multilevel"/>
    <w:tmpl w:val="7D327684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993"/>
        </w:tabs>
        <w:ind w:left="993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993"/>
          </w:tabs>
          <w:ind w:left="993" w:hanging="567"/>
        </w:pPr>
        <w:rPr>
          <w:rFonts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F86"/>
    <w:rsid w:val="000147DC"/>
    <w:rsid w:val="00017486"/>
    <w:rsid w:val="000C1B6E"/>
    <w:rsid w:val="000E0A81"/>
    <w:rsid w:val="00113F5C"/>
    <w:rsid w:val="00191E4D"/>
    <w:rsid w:val="001A24E8"/>
    <w:rsid w:val="001B6746"/>
    <w:rsid w:val="001C7336"/>
    <w:rsid w:val="00213C4A"/>
    <w:rsid w:val="002160E0"/>
    <w:rsid w:val="002529F2"/>
    <w:rsid w:val="00291662"/>
    <w:rsid w:val="002A5B3E"/>
    <w:rsid w:val="002B1AC5"/>
    <w:rsid w:val="0030254A"/>
    <w:rsid w:val="00333CB7"/>
    <w:rsid w:val="0035217F"/>
    <w:rsid w:val="003628B8"/>
    <w:rsid w:val="003648F9"/>
    <w:rsid w:val="00376B15"/>
    <w:rsid w:val="003908A0"/>
    <w:rsid w:val="00394455"/>
    <w:rsid w:val="003959F0"/>
    <w:rsid w:val="003A06C1"/>
    <w:rsid w:val="003B7162"/>
    <w:rsid w:val="003E43F6"/>
    <w:rsid w:val="003E68ED"/>
    <w:rsid w:val="0040123E"/>
    <w:rsid w:val="00402DB9"/>
    <w:rsid w:val="00414D27"/>
    <w:rsid w:val="004235C8"/>
    <w:rsid w:val="00454918"/>
    <w:rsid w:val="004560F3"/>
    <w:rsid w:val="00467007"/>
    <w:rsid w:val="004A1EC1"/>
    <w:rsid w:val="004A4103"/>
    <w:rsid w:val="004B75FE"/>
    <w:rsid w:val="004C1E39"/>
    <w:rsid w:val="004D12C5"/>
    <w:rsid w:val="005333D6"/>
    <w:rsid w:val="005518CB"/>
    <w:rsid w:val="00570979"/>
    <w:rsid w:val="005A1A8D"/>
    <w:rsid w:val="005B3CEC"/>
    <w:rsid w:val="005C71FB"/>
    <w:rsid w:val="005D46A3"/>
    <w:rsid w:val="005F181D"/>
    <w:rsid w:val="005F5CB7"/>
    <w:rsid w:val="005F78C9"/>
    <w:rsid w:val="005F7A86"/>
    <w:rsid w:val="006005AB"/>
    <w:rsid w:val="006109E4"/>
    <w:rsid w:val="006210F1"/>
    <w:rsid w:val="006408DD"/>
    <w:rsid w:val="006639DD"/>
    <w:rsid w:val="00664FDE"/>
    <w:rsid w:val="00676578"/>
    <w:rsid w:val="00684CFD"/>
    <w:rsid w:val="006868E4"/>
    <w:rsid w:val="00694708"/>
    <w:rsid w:val="006A2C20"/>
    <w:rsid w:val="006B7E43"/>
    <w:rsid w:val="006F2C4A"/>
    <w:rsid w:val="0070270D"/>
    <w:rsid w:val="00702D8A"/>
    <w:rsid w:val="00742809"/>
    <w:rsid w:val="00754300"/>
    <w:rsid w:val="0076337D"/>
    <w:rsid w:val="00780529"/>
    <w:rsid w:val="00785E83"/>
    <w:rsid w:val="007A74E3"/>
    <w:rsid w:val="007D58E6"/>
    <w:rsid w:val="007E687B"/>
    <w:rsid w:val="007E7167"/>
    <w:rsid w:val="00811753"/>
    <w:rsid w:val="00812A4F"/>
    <w:rsid w:val="008134AF"/>
    <w:rsid w:val="00813F67"/>
    <w:rsid w:val="008143E7"/>
    <w:rsid w:val="00822616"/>
    <w:rsid w:val="008316DA"/>
    <w:rsid w:val="008821DE"/>
    <w:rsid w:val="00884F66"/>
    <w:rsid w:val="008B7213"/>
    <w:rsid w:val="008B7F86"/>
    <w:rsid w:val="008C11FF"/>
    <w:rsid w:val="008D3E97"/>
    <w:rsid w:val="008E2F47"/>
    <w:rsid w:val="008E3293"/>
    <w:rsid w:val="008F55B3"/>
    <w:rsid w:val="00902E58"/>
    <w:rsid w:val="009413F9"/>
    <w:rsid w:val="009C1B84"/>
    <w:rsid w:val="009C4F24"/>
    <w:rsid w:val="009E2555"/>
    <w:rsid w:val="009E4B54"/>
    <w:rsid w:val="009F616C"/>
    <w:rsid w:val="00A07400"/>
    <w:rsid w:val="00A10CCA"/>
    <w:rsid w:val="00A3236C"/>
    <w:rsid w:val="00A3349D"/>
    <w:rsid w:val="00A3387E"/>
    <w:rsid w:val="00A40CAF"/>
    <w:rsid w:val="00A84038"/>
    <w:rsid w:val="00A95EA1"/>
    <w:rsid w:val="00AA3E56"/>
    <w:rsid w:val="00AB0566"/>
    <w:rsid w:val="00AC73D4"/>
    <w:rsid w:val="00AF04FE"/>
    <w:rsid w:val="00AF7B11"/>
    <w:rsid w:val="00B15976"/>
    <w:rsid w:val="00B31698"/>
    <w:rsid w:val="00B6697B"/>
    <w:rsid w:val="00B74950"/>
    <w:rsid w:val="00B84720"/>
    <w:rsid w:val="00B85CAC"/>
    <w:rsid w:val="00BE212E"/>
    <w:rsid w:val="00BF329C"/>
    <w:rsid w:val="00BF6FFF"/>
    <w:rsid w:val="00BF7227"/>
    <w:rsid w:val="00C164DD"/>
    <w:rsid w:val="00C31B25"/>
    <w:rsid w:val="00C4530B"/>
    <w:rsid w:val="00C8382D"/>
    <w:rsid w:val="00CA6CF4"/>
    <w:rsid w:val="00CB2D37"/>
    <w:rsid w:val="00CE4A79"/>
    <w:rsid w:val="00CF28E8"/>
    <w:rsid w:val="00D150B2"/>
    <w:rsid w:val="00D36E7D"/>
    <w:rsid w:val="00D41E4F"/>
    <w:rsid w:val="00D50C20"/>
    <w:rsid w:val="00D6504A"/>
    <w:rsid w:val="00D75D27"/>
    <w:rsid w:val="00D770CF"/>
    <w:rsid w:val="00DC54C9"/>
    <w:rsid w:val="00DD0069"/>
    <w:rsid w:val="00DD637A"/>
    <w:rsid w:val="00DE50A4"/>
    <w:rsid w:val="00E1795B"/>
    <w:rsid w:val="00E305C8"/>
    <w:rsid w:val="00E319C7"/>
    <w:rsid w:val="00E419A2"/>
    <w:rsid w:val="00E602A4"/>
    <w:rsid w:val="00E70358"/>
    <w:rsid w:val="00E705DF"/>
    <w:rsid w:val="00E825D5"/>
    <w:rsid w:val="00E85AEC"/>
    <w:rsid w:val="00ED7859"/>
    <w:rsid w:val="00EE28AC"/>
    <w:rsid w:val="00EF39D0"/>
    <w:rsid w:val="00F11D85"/>
    <w:rsid w:val="00F503EC"/>
    <w:rsid w:val="00F508B2"/>
    <w:rsid w:val="00F611D9"/>
    <w:rsid w:val="00F65B0B"/>
    <w:rsid w:val="00F759AF"/>
    <w:rsid w:val="00F86238"/>
    <w:rsid w:val="00F96528"/>
    <w:rsid w:val="00FA4751"/>
    <w:rsid w:val="00FC040C"/>
    <w:rsid w:val="00FC0D55"/>
    <w:rsid w:val="00FC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129C0E-41D3-4725-923C-97232672E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2"/>
    <w:qFormat/>
    <w:rsid w:val="008B7F86"/>
    <w:pPr>
      <w:numPr>
        <w:numId w:val="1"/>
      </w:numPr>
      <w:spacing w:before="240" w:after="240" w:line="240" w:lineRule="auto"/>
      <w:contextualSpacing w:val="0"/>
      <w:outlineLvl w:val="0"/>
    </w:pPr>
    <w:rPr>
      <w:rFonts w:ascii="Times New Roman" w:eastAsia="Cambria" w:hAnsi="Times New Roman" w:cs="Times New Roman"/>
      <w:b/>
      <w:sz w:val="24"/>
      <w:szCs w:val="24"/>
      <w:lang w:val="aa-ET" w:eastAsia="en-GB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8B7F86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8B7F86"/>
    <w:pPr>
      <w:keepNext/>
      <w:keepLines/>
      <w:numPr>
        <w:ilvl w:val="2"/>
        <w:numId w:val="1"/>
      </w:numPr>
      <w:tabs>
        <w:tab w:val="clear" w:pos="993"/>
        <w:tab w:val="num" w:pos="567"/>
      </w:tabs>
      <w:spacing w:before="40" w:after="120" w:line="240" w:lineRule="auto"/>
      <w:ind w:left="567"/>
      <w:outlineLvl w:val="2"/>
    </w:pPr>
    <w:rPr>
      <w:rFonts w:ascii="Times New Roman" w:eastAsiaTheme="majorEastAsia" w:hAnsi="Times New Roman" w:cstheme="majorBidi"/>
      <w:b/>
      <w:sz w:val="24"/>
      <w:szCs w:val="24"/>
      <w:lang w:val="aa-ET" w:eastAsia="en-GB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8B7F86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8B7F86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8B7F86"/>
    <w:rPr>
      <w:rFonts w:ascii="Times New Roman" w:eastAsia="Cambria" w:hAnsi="Times New Roman" w:cs="Times New Roman"/>
      <w:b/>
      <w:sz w:val="24"/>
      <w:szCs w:val="24"/>
      <w:lang w:val="aa-ET" w:eastAsia="en-GB"/>
    </w:rPr>
  </w:style>
  <w:style w:type="character" w:customStyle="1" w:styleId="Heading2Char">
    <w:name w:val="Heading 2 Char"/>
    <w:basedOn w:val="DefaultParagraphFont"/>
    <w:link w:val="Heading2"/>
    <w:uiPriority w:val="2"/>
    <w:rsid w:val="008B7F86"/>
    <w:rPr>
      <w:rFonts w:ascii="Times New Roman" w:eastAsia="Cambria" w:hAnsi="Times New Roman" w:cs="Times New Roman"/>
      <w:b/>
      <w:sz w:val="24"/>
      <w:szCs w:val="24"/>
      <w:lang w:val="aa-ET" w:eastAsia="en-GB"/>
    </w:rPr>
  </w:style>
  <w:style w:type="character" w:customStyle="1" w:styleId="Heading3Char">
    <w:name w:val="Heading 3 Char"/>
    <w:basedOn w:val="DefaultParagraphFont"/>
    <w:link w:val="Heading3"/>
    <w:uiPriority w:val="2"/>
    <w:rsid w:val="008B7F86"/>
    <w:rPr>
      <w:rFonts w:ascii="Times New Roman" w:eastAsiaTheme="majorEastAsia" w:hAnsi="Times New Roman" w:cstheme="majorBidi"/>
      <w:b/>
      <w:sz w:val="24"/>
      <w:szCs w:val="24"/>
      <w:lang w:val="aa-ET" w:eastAsia="en-GB"/>
    </w:rPr>
  </w:style>
  <w:style w:type="character" w:customStyle="1" w:styleId="Heading4Char">
    <w:name w:val="Heading 4 Char"/>
    <w:basedOn w:val="DefaultParagraphFont"/>
    <w:link w:val="Heading4"/>
    <w:uiPriority w:val="2"/>
    <w:rsid w:val="008B7F86"/>
    <w:rPr>
      <w:rFonts w:ascii="Times New Roman" w:eastAsiaTheme="majorEastAsia" w:hAnsi="Times New Roman" w:cstheme="majorBidi"/>
      <w:b/>
      <w:iCs/>
      <w:sz w:val="24"/>
      <w:szCs w:val="24"/>
      <w:lang w:val="aa-ET" w:eastAsia="en-GB"/>
    </w:rPr>
  </w:style>
  <w:style w:type="character" w:customStyle="1" w:styleId="Heading5Char">
    <w:name w:val="Heading 5 Char"/>
    <w:basedOn w:val="DefaultParagraphFont"/>
    <w:link w:val="Heading5"/>
    <w:uiPriority w:val="2"/>
    <w:rsid w:val="008B7F86"/>
    <w:rPr>
      <w:rFonts w:ascii="Times New Roman" w:eastAsiaTheme="majorEastAsia" w:hAnsi="Times New Roman" w:cstheme="majorBidi"/>
      <w:b/>
      <w:iCs/>
      <w:sz w:val="24"/>
      <w:szCs w:val="24"/>
      <w:lang w:val="aa-ET" w:eastAsia="en-GB"/>
    </w:rPr>
  </w:style>
  <w:style w:type="paragraph" w:styleId="Header">
    <w:name w:val="header"/>
    <w:basedOn w:val="Normal"/>
    <w:link w:val="HeaderChar"/>
    <w:uiPriority w:val="99"/>
    <w:unhideWhenUsed/>
    <w:rsid w:val="008B7F86"/>
    <w:pPr>
      <w:tabs>
        <w:tab w:val="center" w:pos="4844"/>
        <w:tab w:val="right" w:pos="9689"/>
      </w:tabs>
      <w:spacing w:before="120" w:after="240" w:line="240" w:lineRule="auto"/>
    </w:pPr>
    <w:rPr>
      <w:rFonts w:ascii="Times New Roman" w:hAnsi="Times New Roman"/>
      <w:b/>
      <w:sz w:val="24"/>
      <w:lang w:val="aa-ET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B7F86"/>
    <w:rPr>
      <w:rFonts w:ascii="Times New Roman" w:hAnsi="Times New Roman"/>
      <w:b/>
      <w:sz w:val="24"/>
      <w:lang w:val="aa-ET" w:eastAsia="en-GB"/>
    </w:rPr>
  </w:style>
  <w:style w:type="paragraph" w:styleId="Footer">
    <w:name w:val="footer"/>
    <w:basedOn w:val="Normal"/>
    <w:link w:val="FooterChar"/>
    <w:uiPriority w:val="99"/>
    <w:unhideWhenUsed/>
    <w:rsid w:val="008B7F86"/>
    <w:pPr>
      <w:tabs>
        <w:tab w:val="center" w:pos="4844"/>
        <w:tab w:val="right" w:pos="9689"/>
      </w:tabs>
      <w:spacing w:before="120" w:after="0" w:line="240" w:lineRule="auto"/>
    </w:pPr>
    <w:rPr>
      <w:rFonts w:ascii="Times New Roman" w:hAnsi="Times New Roman"/>
      <w:sz w:val="24"/>
      <w:lang w:val="aa-ET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B7F86"/>
    <w:rPr>
      <w:rFonts w:ascii="Times New Roman" w:hAnsi="Times New Roman"/>
      <w:sz w:val="24"/>
      <w:lang w:val="aa-ET" w:eastAsia="en-GB"/>
    </w:rPr>
  </w:style>
  <w:style w:type="table" w:styleId="TableGrid">
    <w:name w:val="Table Grid"/>
    <w:basedOn w:val="TableNormal"/>
    <w:uiPriority w:val="39"/>
    <w:rsid w:val="008B7F86"/>
    <w:pPr>
      <w:spacing w:after="0" w:line="240" w:lineRule="auto"/>
    </w:pPr>
    <w:rPr>
      <w:rFonts w:asciiTheme="majorHAnsi" w:hAnsiTheme="maj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Spacing"/>
    <w:uiPriority w:val="35"/>
    <w:unhideWhenUsed/>
    <w:qFormat/>
    <w:rsid w:val="008B7F86"/>
    <w:pPr>
      <w:keepNext/>
      <w:spacing w:before="120" w:after="240" w:line="240" w:lineRule="auto"/>
    </w:pPr>
    <w:rPr>
      <w:rFonts w:ascii="Times New Roman" w:hAnsi="Times New Roman" w:cs="Times New Roman"/>
      <w:b/>
      <w:bCs/>
      <w:sz w:val="24"/>
      <w:szCs w:val="24"/>
      <w:lang w:val="aa-ET" w:eastAsia="en-GB"/>
    </w:rPr>
  </w:style>
  <w:style w:type="paragraph" w:styleId="Title">
    <w:name w:val="Title"/>
    <w:basedOn w:val="Normal"/>
    <w:next w:val="Normal"/>
    <w:link w:val="TitleChar"/>
    <w:qFormat/>
    <w:rsid w:val="008B7F86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  <w:lang w:val="aa-ET" w:eastAsia="en-GB"/>
    </w:rPr>
  </w:style>
  <w:style w:type="character" w:customStyle="1" w:styleId="TitleChar">
    <w:name w:val="Title Char"/>
    <w:basedOn w:val="DefaultParagraphFont"/>
    <w:link w:val="Title"/>
    <w:rsid w:val="008B7F86"/>
    <w:rPr>
      <w:rFonts w:ascii="Times New Roman" w:hAnsi="Times New Roman" w:cs="Times New Roman"/>
      <w:b/>
      <w:sz w:val="32"/>
      <w:szCs w:val="32"/>
      <w:lang w:val="aa-ET" w:eastAsia="en-GB"/>
    </w:rPr>
  </w:style>
  <w:style w:type="numbering" w:customStyle="1" w:styleId="Headings">
    <w:name w:val="Headings"/>
    <w:uiPriority w:val="99"/>
    <w:rsid w:val="008B7F86"/>
    <w:pPr>
      <w:numPr>
        <w:numId w:val="1"/>
      </w:numPr>
    </w:pPr>
  </w:style>
  <w:style w:type="paragraph" w:customStyle="1" w:styleId="TableBody">
    <w:name w:val="TableBody"/>
    <w:basedOn w:val="Normal"/>
    <w:rsid w:val="008B7F86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 w:line="190" w:lineRule="exact"/>
      <w:jc w:val="both"/>
    </w:pPr>
    <w:rPr>
      <w:rFonts w:ascii="Arial" w:eastAsia="MS Mincho" w:hAnsi="Arial" w:cs="Times New Roman"/>
      <w:sz w:val="16"/>
      <w:szCs w:val="14"/>
      <w:lang w:val="en-GB" w:eastAsia="ja-JP"/>
    </w:rPr>
  </w:style>
  <w:style w:type="table" w:customStyle="1" w:styleId="Tabelraster1">
    <w:name w:val="Tabelraster1"/>
    <w:basedOn w:val="TableNormal"/>
    <w:next w:val="TableGrid"/>
    <w:uiPriority w:val="39"/>
    <w:rsid w:val="008B7F86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7F86"/>
    <w:pPr>
      <w:ind w:left="720"/>
      <w:contextualSpacing/>
    </w:pPr>
  </w:style>
  <w:style w:type="paragraph" w:styleId="NoSpacing">
    <w:name w:val="No Spacing"/>
    <w:uiPriority w:val="1"/>
    <w:qFormat/>
    <w:rsid w:val="008B7F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header" Target="header1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1040</Words>
  <Characters>5933</Characters>
  <Application>Microsoft Office Word</Application>
  <DocSecurity>0</DocSecurity>
  <Lines>49</Lines>
  <Paragraphs>13</Paragraphs>
  <ScaleCrop>false</ScaleCrop>
  <Company>HP Inc.</Company>
  <LinksUpToDate>false</LinksUpToDate>
  <CharactersWithSpaces>6960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THARANI S</dc:creator>
  <cp:keywords/>
  <dc:description/>
  <cp:lastModifiedBy>THARANI S</cp:lastModifiedBy>
  <cp:revision>1</cp:revision>
  <dcterms:created xsi:type="dcterms:W3CDTF">2022-12-02T08:29:00Z</dcterms:created>
  <dcterms:modified xsi:type="dcterms:W3CDTF">2022-12-02T08:29:00Z</dcterms:modified>
</cp:coreProperties>
</file>