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118" w:rsidRPr="00A852FD" w:rsidRDefault="00BB0118" w:rsidP="00BB0118">
      <w:pPr>
        <w:spacing w:before="240" w:after="240" w:line="240" w:lineRule="auto"/>
        <w:jc w:val="both"/>
        <w:rPr>
          <w:rFonts w:ascii="Times New Roman" w:eastAsia="Times New Roman" w:hAnsi="Times New Roman" w:cs="Times New Roman"/>
          <w:b/>
          <w:bCs/>
          <w:sz w:val="24"/>
          <w:szCs w:val="24"/>
          <w:lang w:val="en-US" w:eastAsia="ru-RU"/>
        </w:rPr>
      </w:pPr>
      <w:r w:rsidRPr="00A852FD">
        <w:rPr>
          <w:rFonts w:ascii="Times New Roman" w:eastAsia="Times New Roman" w:hAnsi="Times New Roman" w:cs="Times New Roman"/>
          <w:b/>
          <w:bCs/>
          <w:sz w:val="24"/>
          <w:szCs w:val="24"/>
          <w:lang w:val="en-US" w:eastAsia="ru-RU"/>
        </w:rPr>
        <w:t>Supplementary materials</w:t>
      </w:r>
    </w:p>
    <w:p w:rsidR="00FB738B" w:rsidRPr="00A852FD" w:rsidRDefault="004F2617" w:rsidP="00FB738B">
      <w:pPr>
        <w:spacing w:after="0" w:line="480" w:lineRule="auto"/>
        <w:ind w:left="-284" w:right="566"/>
        <w:jc w:val="both"/>
        <w:rPr>
          <w:rFonts w:ascii="Times New Roman" w:eastAsia="Times New Roman" w:hAnsi="Times New Roman" w:cs="Times New Roman"/>
          <w:b/>
          <w:bCs/>
          <w:sz w:val="24"/>
          <w:szCs w:val="24"/>
          <w:lang w:val="en-US" w:eastAsia="ru-RU"/>
        </w:rPr>
      </w:pPr>
      <w:r w:rsidRPr="004F2617">
        <w:rPr>
          <w:rFonts w:ascii="Times New Roman" w:eastAsia="Times New Roman" w:hAnsi="Times New Roman" w:cs="Times New Roman"/>
          <w:b/>
          <w:bCs/>
          <w:sz w:val="24"/>
          <w:szCs w:val="24"/>
          <w:lang w:val="en-US" w:eastAsia="ru-RU"/>
        </w:rPr>
        <w:t>FLIM imaging revealed spontaneous osteogenic differentiation of stem cells on gradient pore size tissue engineered constructs</w:t>
      </w:r>
    </w:p>
    <w:p w:rsidR="00FB738B" w:rsidRPr="00A852FD" w:rsidRDefault="00FB738B" w:rsidP="00FB738B">
      <w:pPr>
        <w:spacing w:after="0" w:line="480" w:lineRule="auto"/>
        <w:ind w:left="-284" w:right="566"/>
        <w:jc w:val="both"/>
        <w:rPr>
          <w:rFonts w:ascii="Times New Roman" w:eastAsia="Times New Roman" w:hAnsi="Times New Roman" w:cs="Times New Roman"/>
          <w:i/>
          <w:sz w:val="24"/>
          <w:szCs w:val="24"/>
          <w:vertAlign w:val="superscript"/>
          <w:lang w:val="en-US" w:eastAsia="ru-RU"/>
        </w:rPr>
      </w:pPr>
      <w:r w:rsidRPr="00A852FD">
        <w:rPr>
          <w:rFonts w:ascii="Times New Roman" w:eastAsia="Times New Roman" w:hAnsi="Times New Roman" w:cs="Times New Roman"/>
          <w:i/>
          <w:sz w:val="24"/>
          <w:szCs w:val="24"/>
          <w:lang w:val="en-US" w:eastAsia="ru-RU"/>
        </w:rPr>
        <w:t>Svetlana Rodimova</w:t>
      </w:r>
      <w:r w:rsidRPr="00A852FD">
        <w:rPr>
          <w:rFonts w:ascii="Times New Roman" w:eastAsia="Times New Roman" w:hAnsi="Times New Roman" w:cs="Times New Roman"/>
          <w:i/>
          <w:sz w:val="24"/>
          <w:szCs w:val="24"/>
          <w:vertAlign w:val="superscript"/>
          <w:lang w:val="en-US" w:eastAsia="ru-RU"/>
        </w:rPr>
        <w:t>1,2</w:t>
      </w:r>
      <w:r w:rsidRPr="00A852FD">
        <w:rPr>
          <w:rFonts w:ascii="Times New Roman" w:eastAsia="Times New Roman" w:hAnsi="Times New Roman" w:cs="Times New Roman"/>
          <w:i/>
          <w:sz w:val="24"/>
          <w:szCs w:val="24"/>
          <w:lang w:val="en-US" w:eastAsia="ru-RU"/>
        </w:rPr>
        <w:t>, Artem Mozherov</w:t>
      </w:r>
      <w:r w:rsidRPr="00A852FD">
        <w:rPr>
          <w:rFonts w:ascii="Times New Roman" w:eastAsia="Times New Roman" w:hAnsi="Times New Roman" w:cs="Times New Roman"/>
          <w:i/>
          <w:sz w:val="24"/>
          <w:szCs w:val="24"/>
          <w:vertAlign w:val="superscript"/>
          <w:lang w:val="en-US" w:eastAsia="ru-RU"/>
        </w:rPr>
        <w:t>2</w:t>
      </w:r>
      <w:r w:rsidRPr="00A852FD">
        <w:rPr>
          <w:rFonts w:ascii="Times New Roman" w:eastAsia="Times New Roman" w:hAnsi="Times New Roman" w:cs="Times New Roman"/>
          <w:i/>
          <w:sz w:val="24"/>
          <w:szCs w:val="24"/>
          <w:lang w:val="en-US" w:eastAsia="ru-RU"/>
        </w:rPr>
        <w:t>, Vadim Elagin</w:t>
      </w:r>
      <w:r w:rsidRPr="00A852FD">
        <w:rPr>
          <w:rFonts w:ascii="Times New Roman" w:eastAsia="Times New Roman" w:hAnsi="Times New Roman" w:cs="Times New Roman"/>
          <w:i/>
          <w:sz w:val="24"/>
          <w:szCs w:val="24"/>
          <w:vertAlign w:val="superscript"/>
          <w:lang w:val="en-US" w:eastAsia="ru-RU"/>
        </w:rPr>
        <w:t>2</w:t>
      </w:r>
      <w:r w:rsidRPr="00A852FD">
        <w:rPr>
          <w:rFonts w:ascii="Times New Roman" w:eastAsia="Times New Roman" w:hAnsi="Times New Roman" w:cs="Times New Roman"/>
          <w:i/>
          <w:sz w:val="24"/>
          <w:szCs w:val="24"/>
          <w:lang w:val="en-US" w:eastAsia="ru-RU"/>
        </w:rPr>
        <w:t>, Maria Karabut</w:t>
      </w:r>
      <w:r w:rsidRPr="00A852FD">
        <w:rPr>
          <w:rFonts w:ascii="Times New Roman" w:eastAsia="Times New Roman" w:hAnsi="Times New Roman" w:cs="Times New Roman"/>
          <w:i/>
          <w:sz w:val="24"/>
          <w:szCs w:val="24"/>
          <w:vertAlign w:val="superscript"/>
          <w:lang w:val="en-US" w:eastAsia="ru-RU"/>
        </w:rPr>
        <w:t>2</w:t>
      </w:r>
      <w:r w:rsidRPr="00A852FD">
        <w:rPr>
          <w:rFonts w:ascii="Times New Roman" w:eastAsia="Times New Roman" w:hAnsi="Times New Roman" w:cs="Times New Roman"/>
          <w:i/>
          <w:sz w:val="24"/>
          <w:szCs w:val="24"/>
          <w:lang w:val="en-US" w:eastAsia="ru-RU"/>
        </w:rPr>
        <w:t>, Ilya Shchechkin</w:t>
      </w:r>
      <w:r w:rsidRPr="00A852FD">
        <w:rPr>
          <w:rFonts w:ascii="Times New Roman" w:eastAsia="Times New Roman" w:hAnsi="Times New Roman" w:cs="Times New Roman"/>
          <w:i/>
          <w:sz w:val="24"/>
          <w:szCs w:val="24"/>
          <w:vertAlign w:val="superscript"/>
          <w:lang w:val="en-US" w:eastAsia="ru-RU"/>
        </w:rPr>
        <w:t>1,2</w:t>
      </w:r>
      <w:r w:rsidRPr="00A852FD">
        <w:rPr>
          <w:rFonts w:ascii="Times New Roman" w:eastAsia="Times New Roman" w:hAnsi="Times New Roman" w:cs="Times New Roman"/>
          <w:i/>
          <w:sz w:val="24"/>
          <w:szCs w:val="24"/>
          <w:lang w:val="en-US" w:eastAsia="ru-RU"/>
        </w:rPr>
        <w:t>, Dmitry Kozlov</w:t>
      </w:r>
      <w:r w:rsidRPr="00A852FD">
        <w:rPr>
          <w:rFonts w:ascii="Times New Roman" w:eastAsia="Times New Roman" w:hAnsi="Times New Roman" w:cs="Times New Roman"/>
          <w:i/>
          <w:sz w:val="24"/>
          <w:szCs w:val="24"/>
          <w:vertAlign w:val="superscript"/>
          <w:lang w:val="en-US" w:eastAsia="ru-RU"/>
        </w:rPr>
        <w:t>1,2</w:t>
      </w:r>
      <w:r w:rsidRPr="00A852FD">
        <w:rPr>
          <w:rFonts w:ascii="Times New Roman" w:eastAsia="Times New Roman" w:hAnsi="Times New Roman" w:cs="Times New Roman"/>
          <w:i/>
          <w:sz w:val="24"/>
          <w:szCs w:val="24"/>
          <w:lang w:val="en-US" w:eastAsia="ru-RU"/>
        </w:rPr>
        <w:t>, Dmitry Krylov</w:t>
      </w:r>
      <w:r w:rsidRPr="00A852FD">
        <w:rPr>
          <w:rFonts w:ascii="Times New Roman" w:eastAsia="Times New Roman" w:hAnsi="Times New Roman" w:cs="Times New Roman"/>
          <w:i/>
          <w:sz w:val="24"/>
          <w:szCs w:val="24"/>
          <w:vertAlign w:val="superscript"/>
          <w:lang w:val="en-US" w:eastAsia="ru-RU"/>
        </w:rPr>
        <w:t>1,2</w:t>
      </w:r>
      <w:r w:rsidRPr="00A852FD">
        <w:rPr>
          <w:rFonts w:ascii="Times New Roman" w:eastAsia="Times New Roman" w:hAnsi="Times New Roman" w:cs="Times New Roman"/>
          <w:i/>
          <w:sz w:val="24"/>
          <w:szCs w:val="24"/>
          <w:lang w:val="en-US" w:eastAsia="ru-RU"/>
        </w:rPr>
        <w:t>, Alena Gavrina</w:t>
      </w:r>
      <w:r w:rsidRPr="00A852FD">
        <w:rPr>
          <w:rFonts w:ascii="Times New Roman" w:eastAsia="Times New Roman" w:hAnsi="Times New Roman" w:cs="Times New Roman"/>
          <w:i/>
          <w:sz w:val="24"/>
          <w:szCs w:val="24"/>
          <w:vertAlign w:val="superscript"/>
          <w:lang w:val="en-US" w:eastAsia="ru-RU"/>
        </w:rPr>
        <w:t>1,2</w:t>
      </w:r>
      <w:r w:rsidRPr="00A852FD">
        <w:rPr>
          <w:rFonts w:ascii="Times New Roman" w:eastAsia="Times New Roman" w:hAnsi="Times New Roman" w:cs="Times New Roman"/>
          <w:i/>
          <w:sz w:val="24"/>
          <w:szCs w:val="24"/>
          <w:lang w:val="en-US" w:eastAsia="ru-RU"/>
        </w:rPr>
        <w:t>, Vladislav Kaplin</w:t>
      </w:r>
      <w:r w:rsidRPr="00A852FD">
        <w:rPr>
          <w:rFonts w:ascii="Times New Roman" w:eastAsia="Times New Roman" w:hAnsi="Times New Roman" w:cs="Times New Roman"/>
          <w:i/>
          <w:sz w:val="24"/>
          <w:szCs w:val="24"/>
          <w:vertAlign w:val="superscript"/>
          <w:lang w:val="en-US" w:eastAsia="ru-RU"/>
        </w:rPr>
        <w:t>3</w:t>
      </w:r>
      <w:r w:rsidRPr="00A852FD">
        <w:rPr>
          <w:rFonts w:ascii="Times New Roman" w:eastAsia="Times New Roman" w:hAnsi="Times New Roman" w:cs="Times New Roman"/>
          <w:i/>
          <w:sz w:val="24"/>
          <w:szCs w:val="24"/>
          <w:lang w:val="en-US" w:eastAsia="ru-RU"/>
        </w:rPr>
        <w:t>, Evgenii Epifanov</w:t>
      </w:r>
      <w:r w:rsidRPr="00A852FD">
        <w:rPr>
          <w:rFonts w:ascii="Times New Roman" w:eastAsia="Times New Roman" w:hAnsi="Times New Roman" w:cs="Times New Roman"/>
          <w:i/>
          <w:sz w:val="24"/>
          <w:szCs w:val="24"/>
          <w:vertAlign w:val="superscript"/>
          <w:lang w:val="en-US" w:eastAsia="ru-RU"/>
        </w:rPr>
        <w:t>4</w:t>
      </w:r>
      <w:r w:rsidRPr="00A852FD">
        <w:rPr>
          <w:rFonts w:ascii="Times New Roman" w:eastAsia="Times New Roman" w:hAnsi="Times New Roman" w:cs="Times New Roman"/>
          <w:i/>
          <w:sz w:val="24"/>
          <w:szCs w:val="24"/>
          <w:lang w:val="en-US" w:eastAsia="ru-RU"/>
        </w:rPr>
        <w:t>, Nikita Minaev</w:t>
      </w:r>
      <w:r w:rsidRPr="00A852FD">
        <w:rPr>
          <w:rFonts w:ascii="Times New Roman" w:eastAsia="Times New Roman" w:hAnsi="Times New Roman" w:cs="Times New Roman"/>
          <w:i/>
          <w:sz w:val="24"/>
          <w:szCs w:val="24"/>
          <w:vertAlign w:val="superscript"/>
          <w:lang w:val="en-US" w:eastAsia="ru-RU"/>
        </w:rPr>
        <w:t>5</w:t>
      </w:r>
      <w:r w:rsidRPr="00A852FD">
        <w:rPr>
          <w:rFonts w:ascii="Times New Roman" w:eastAsia="Times New Roman" w:hAnsi="Times New Roman" w:cs="Times New Roman"/>
          <w:i/>
          <w:sz w:val="24"/>
          <w:szCs w:val="24"/>
          <w:lang w:val="en-US" w:eastAsia="ru-RU"/>
        </w:rPr>
        <w:t>, Ksenia Bardakova</w:t>
      </w:r>
      <w:r w:rsidRPr="00A852FD">
        <w:rPr>
          <w:rFonts w:ascii="Times New Roman" w:eastAsia="Times New Roman" w:hAnsi="Times New Roman" w:cs="Times New Roman"/>
          <w:i/>
          <w:sz w:val="24"/>
          <w:szCs w:val="24"/>
          <w:vertAlign w:val="superscript"/>
          <w:lang w:val="en-US" w:eastAsia="ru-RU"/>
        </w:rPr>
        <w:t>4,5</w:t>
      </w:r>
      <w:r w:rsidRPr="00A852FD">
        <w:rPr>
          <w:rFonts w:ascii="Times New Roman" w:eastAsia="Times New Roman" w:hAnsi="Times New Roman" w:cs="Times New Roman"/>
          <w:i/>
          <w:sz w:val="24"/>
          <w:szCs w:val="24"/>
          <w:lang w:val="en-US" w:eastAsia="ru-RU"/>
        </w:rPr>
        <w:t>, Anna Solovieva</w:t>
      </w:r>
      <w:r w:rsidRPr="00A852FD">
        <w:rPr>
          <w:rFonts w:ascii="Times New Roman" w:eastAsia="Times New Roman" w:hAnsi="Times New Roman" w:cs="Times New Roman"/>
          <w:i/>
          <w:sz w:val="24"/>
          <w:szCs w:val="24"/>
          <w:vertAlign w:val="superscript"/>
          <w:lang w:val="en-US" w:eastAsia="ru-RU"/>
        </w:rPr>
        <w:t>3</w:t>
      </w:r>
      <w:r w:rsidRPr="00A852FD">
        <w:rPr>
          <w:rFonts w:ascii="Times New Roman" w:eastAsia="Times New Roman" w:hAnsi="Times New Roman" w:cs="Times New Roman"/>
          <w:i/>
          <w:sz w:val="24"/>
          <w:szCs w:val="24"/>
          <w:lang w:val="en-US" w:eastAsia="ru-RU"/>
        </w:rPr>
        <w:t>, Peter Timashev</w:t>
      </w:r>
      <w:r w:rsidRPr="00A852FD">
        <w:rPr>
          <w:rFonts w:ascii="Times New Roman" w:eastAsia="Times New Roman" w:hAnsi="Times New Roman" w:cs="Times New Roman"/>
          <w:i/>
          <w:sz w:val="24"/>
          <w:szCs w:val="24"/>
          <w:vertAlign w:val="superscript"/>
          <w:lang w:val="en-US" w:eastAsia="ru-RU"/>
        </w:rPr>
        <w:t>5,6</w:t>
      </w:r>
      <w:r w:rsidRPr="00A852FD">
        <w:rPr>
          <w:rFonts w:ascii="Times New Roman" w:eastAsia="Times New Roman" w:hAnsi="Times New Roman" w:cs="Times New Roman"/>
          <w:i/>
          <w:sz w:val="24"/>
          <w:szCs w:val="24"/>
          <w:lang w:val="en-US" w:eastAsia="ru-RU"/>
        </w:rPr>
        <w:t>, Elena Zagaynova</w:t>
      </w:r>
      <w:r w:rsidRPr="00A852FD">
        <w:rPr>
          <w:rFonts w:ascii="Times New Roman" w:eastAsia="Times New Roman" w:hAnsi="Times New Roman" w:cs="Times New Roman"/>
          <w:i/>
          <w:sz w:val="24"/>
          <w:szCs w:val="24"/>
          <w:vertAlign w:val="superscript"/>
          <w:lang w:val="en-US" w:eastAsia="ru-RU"/>
        </w:rPr>
        <w:t>1,2</w:t>
      </w:r>
      <w:r w:rsidRPr="00A852FD">
        <w:rPr>
          <w:rFonts w:ascii="Times New Roman" w:eastAsia="Times New Roman" w:hAnsi="Times New Roman" w:cs="Times New Roman"/>
          <w:i/>
          <w:sz w:val="24"/>
          <w:szCs w:val="24"/>
          <w:lang w:val="en-US" w:eastAsia="ru-RU"/>
        </w:rPr>
        <w:t>, Daria Kuznetsova</w:t>
      </w:r>
      <w:r w:rsidRPr="00A852FD">
        <w:rPr>
          <w:rFonts w:ascii="Times New Roman" w:eastAsia="Times New Roman" w:hAnsi="Times New Roman" w:cs="Times New Roman"/>
          <w:i/>
          <w:sz w:val="24"/>
          <w:szCs w:val="24"/>
          <w:vertAlign w:val="superscript"/>
          <w:lang w:val="en-US" w:eastAsia="ru-RU"/>
        </w:rPr>
        <w:t>1,2</w:t>
      </w:r>
      <w:r w:rsidRPr="00A852FD">
        <w:rPr>
          <w:rFonts w:ascii="Times New Roman" w:eastAsia="Times New Roman" w:hAnsi="Times New Roman" w:cs="Times New Roman"/>
          <w:i/>
          <w:sz w:val="24"/>
          <w:szCs w:val="24"/>
          <w:lang w:val="en-US" w:eastAsia="ru-RU"/>
        </w:rPr>
        <w:t>.</w:t>
      </w:r>
      <w:r w:rsidRPr="00A852FD">
        <w:rPr>
          <w:rFonts w:ascii="Times New Roman" w:eastAsia="Times New Roman" w:hAnsi="Times New Roman" w:cs="Times New Roman"/>
          <w:i/>
          <w:sz w:val="24"/>
          <w:szCs w:val="24"/>
          <w:vertAlign w:val="superscript"/>
          <w:lang w:val="en-US" w:eastAsia="ru-RU"/>
        </w:rPr>
        <w:t xml:space="preserve">   </w:t>
      </w:r>
    </w:p>
    <w:p w:rsidR="00FB738B" w:rsidRPr="00A852FD" w:rsidRDefault="00FB738B" w:rsidP="00FB738B">
      <w:pPr>
        <w:pStyle w:val="a3"/>
        <w:numPr>
          <w:ilvl w:val="0"/>
          <w:numId w:val="1"/>
        </w:numPr>
        <w:spacing w:after="0" w:line="480" w:lineRule="auto"/>
        <w:ind w:right="566"/>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N.I. Lobachevsky Nizhny Novgorod National Research State University, Nizhny Novgorod, 23 Gagarina ave., 603022, Russia</w:t>
      </w:r>
    </w:p>
    <w:p w:rsidR="00FB738B" w:rsidRPr="00A852FD" w:rsidRDefault="00FB738B" w:rsidP="00FB738B">
      <w:pPr>
        <w:pStyle w:val="a3"/>
        <w:numPr>
          <w:ilvl w:val="0"/>
          <w:numId w:val="1"/>
        </w:numPr>
        <w:spacing w:after="0" w:line="480" w:lineRule="auto"/>
        <w:ind w:right="566"/>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Institute of Experimental Oncology and Biomedical Technologies, Privolzhsky Research Medical University, 10/1 Minin and Pozharsky sq., Nizhny Novgorod, 603000, Russia</w:t>
      </w:r>
    </w:p>
    <w:p w:rsidR="00FB738B" w:rsidRPr="00A852FD" w:rsidRDefault="00FB738B" w:rsidP="00FB738B">
      <w:pPr>
        <w:pStyle w:val="a3"/>
        <w:numPr>
          <w:ilvl w:val="0"/>
          <w:numId w:val="1"/>
        </w:numPr>
        <w:spacing w:after="0" w:line="480" w:lineRule="auto"/>
        <w:ind w:right="566"/>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Semenov Federal Research Center of Chemical Physics, Russian Academy of Sciences, 4 Kosygina St, Moscow, 119991, Russia</w:t>
      </w:r>
    </w:p>
    <w:p w:rsidR="00FB738B" w:rsidRPr="00A852FD" w:rsidRDefault="00FB738B" w:rsidP="00FB738B">
      <w:pPr>
        <w:pStyle w:val="a3"/>
        <w:numPr>
          <w:ilvl w:val="0"/>
          <w:numId w:val="1"/>
        </w:numPr>
        <w:spacing w:after="0" w:line="480" w:lineRule="auto"/>
        <w:ind w:right="566"/>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Institute of Photonic Technologies, Research Center “Crystallography and Photonics”, Russian Academy of Sciences, 2 Pionerskaya St, Troitsk, Moscow, 108840, Russia</w:t>
      </w:r>
    </w:p>
    <w:p w:rsidR="00FB738B" w:rsidRPr="00A852FD" w:rsidRDefault="00FB738B" w:rsidP="00FB738B">
      <w:pPr>
        <w:pStyle w:val="a3"/>
        <w:numPr>
          <w:ilvl w:val="0"/>
          <w:numId w:val="1"/>
        </w:numPr>
        <w:spacing w:after="0" w:line="480" w:lineRule="auto"/>
        <w:ind w:right="566"/>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Institute for Regenerative Medicine, Sechenov University, 8-2 Trubetskaya str, Moscow, 119991, Russia</w:t>
      </w:r>
    </w:p>
    <w:p w:rsidR="00FB738B" w:rsidRPr="00A852FD" w:rsidRDefault="00FB738B" w:rsidP="00FB738B">
      <w:pPr>
        <w:pStyle w:val="a3"/>
        <w:numPr>
          <w:ilvl w:val="0"/>
          <w:numId w:val="1"/>
        </w:numPr>
        <w:spacing w:after="0" w:line="480" w:lineRule="auto"/>
        <w:ind w:right="566"/>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World-Class Research Center "Digital biodesign and personalized healthcare", Sechenov University, 8-2 Trubetskaya str, Moscow, 119991, Russia</w:t>
      </w:r>
    </w:p>
    <w:p w:rsidR="00415F21" w:rsidRDefault="00FB738B" w:rsidP="00FB738B">
      <w:pPr>
        <w:spacing w:after="0" w:line="480" w:lineRule="auto"/>
        <w:ind w:left="-284" w:right="566"/>
        <w:jc w:val="both"/>
        <w:rPr>
          <w:rFonts w:ascii="Times New Roman" w:eastAsia="Times New Roman" w:hAnsi="Times New Roman" w:cs="Times New Roman"/>
          <w:sz w:val="24"/>
          <w:szCs w:val="24"/>
          <w:u w:val="single"/>
          <w:lang w:val="en-US" w:eastAsia="ru-RU"/>
        </w:rPr>
      </w:pPr>
      <w:r w:rsidRPr="00A852FD">
        <w:rPr>
          <w:rFonts w:ascii="Times New Roman" w:eastAsia="Times New Roman" w:hAnsi="Times New Roman" w:cs="Times New Roman"/>
          <w:sz w:val="24"/>
          <w:szCs w:val="24"/>
          <w:lang w:val="en-US" w:eastAsia="ru-RU"/>
        </w:rPr>
        <w:t xml:space="preserve">E-mail: </w:t>
      </w:r>
      <w:hyperlink r:id="rId7" w:history="1">
        <w:r w:rsidR="00415F21" w:rsidRPr="00300746">
          <w:rPr>
            <w:rStyle w:val="a8"/>
            <w:rFonts w:ascii="Times New Roman" w:eastAsia="Times New Roman" w:hAnsi="Times New Roman" w:cs="Times New Roman"/>
            <w:sz w:val="24"/>
            <w:szCs w:val="24"/>
            <w:lang w:val="en-US" w:eastAsia="ru-RU"/>
          </w:rPr>
          <w:t>srodimova123@gmail.com</w:t>
        </w:r>
      </w:hyperlink>
    </w:p>
    <w:p w:rsidR="00415F21" w:rsidRDefault="00415F21">
      <w:pPr>
        <w:rPr>
          <w:rFonts w:ascii="Times New Roman" w:eastAsia="Times New Roman" w:hAnsi="Times New Roman" w:cs="Times New Roman"/>
          <w:sz w:val="24"/>
          <w:szCs w:val="24"/>
          <w:u w:val="single"/>
          <w:lang w:val="en-US" w:eastAsia="ru-RU"/>
        </w:rPr>
      </w:pPr>
      <w:r>
        <w:rPr>
          <w:rFonts w:ascii="Times New Roman" w:eastAsia="Times New Roman" w:hAnsi="Times New Roman" w:cs="Times New Roman"/>
          <w:sz w:val="24"/>
          <w:szCs w:val="24"/>
          <w:u w:val="single"/>
          <w:lang w:val="en-US" w:eastAsia="ru-RU"/>
        </w:rPr>
        <w:br w:type="page"/>
      </w:r>
    </w:p>
    <w:p w:rsidR="0069099D" w:rsidRPr="00A852FD" w:rsidRDefault="0069099D" w:rsidP="0069099D">
      <w:pPr>
        <w:adjustRightInd w:val="0"/>
        <w:snapToGrid w:val="0"/>
        <w:spacing w:before="240" w:after="120" w:line="228" w:lineRule="auto"/>
        <w:ind w:left="2608"/>
        <w:jc w:val="both"/>
        <w:rPr>
          <w:rFonts w:ascii="Times New Roman" w:eastAsia="Times New Roman" w:hAnsi="Times New Roman" w:cs="Times New Roman"/>
          <w:color w:val="000000"/>
          <w:sz w:val="24"/>
          <w:lang w:val="en-US" w:eastAsia="de-DE" w:bidi="en-US"/>
        </w:rPr>
      </w:pPr>
      <w:r w:rsidRPr="00A852FD">
        <w:rPr>
          <w:rFonts w:ascii="Times New Roman" w:eastAsia="Times New Roman" w:hAnsi="Times New Roman" w:cs="Times New Roman"/>
          <w:b/>
          <w:color w:val="000000"/>
          <w:sz w:val="24"/>
          <w:lang w:val="en-US" w:eastAsia="de-DE" w:bidi="en-US"/>
        </w:rPr>
        <w:lastRenderedPageBreak/>
        <w:t xml:space="preserve">Table S1. </w:t>
      </w:r>
      <w:r w:rsidRPr="00A852FD">
        <w:rPr>
          <w:rFonts w:ascii="Times New Roman" w:eastAsia="Times New Roman" w:hAnsi="Times New Roman" w:cs="Times New Roman"/>
          <w:color w:val="000000"/>
          <w:sz w:val="24"/>
          <w:lang w:val="en-US" w:eastAsia="de-DE" w:bidi="en-US"/>
        </w:rPr>
        <w:t>The primer sequences for RT-PCR.</w:t>
      </w:r>
    </w:p>
    <w:tbl>
      <w:tblPr>
        <w:tblW w:w="7999" w:type="dxa"/>
        <w:jc w:val="center"/>
        <w:tblBorders>
          <w:top w:val="single" w:sz="8" w:space="0" w:color="auto"/>
          <w:bottom w:val="single" w:sz="8" w:space="0" w:color="auto"/>
          <w:insideH w:val="single" w:sz="4" w:space="0" w:color="auto"/>
        </w:tblBorders>
        <w:tblLayout w:type="fixed"/>
        <w:tblCellMar>
          <w:left w:w="0" w:type="dxa"/>
          <w:right w:w="0" w:type="dxa"/>
        </w:tblCellMar>
        <w:tblLook w:val="0000" w:firstRow="0" w:lastRow="0" w:firstColumn="0" w:lastColumn="0" w:noHBand="0" w:noVBand="0"/>
      </w:tblPr>
      <w:tblGrid>
        <w:gridCol w:w="2527"/>
        <w:gridCol w:w="5472"/>
      </w:tblGrid>
      <w:tr w:rsidR="0069099D" w:rsidRPr="00A852FD" w:rsidTr="004D0087">
        <w:trPr>
          <w:jc w:val="center"/>
        </w:trPr>
        <w:tc>
          <w:tcPr>
            <w:tcW w:w="2527" w:type="dxa"/>
            <w:tcBorders>
              <w:top w:val="single" w:sz="8" w:space="0" w:color="auto"/>
              <w:bottom w:val="single" w:sz="4" w:space="0" w:color="auto"/>
            </w:tcBorders>
            <w:shd w:val="clear" w:color="auto" w:fill="auto"/>
            <w:vAlign w:val="center"/>
          </w:tcPr>
          <w:p w:rsidR="0069099D" w:rsidRPr="00A852FD" w:rsidRDefault="0069099D" w:rsidP="0069099D">
            <w:pPr>
              <w:autoSpaceDE w:val="0"/>
              <w:autoSpaceDN w:val="0"/>
              <w:adjustRightInd w:val="0"/>
              <w:snapToGrid w:val="0"/>
              <w:spacing w:line="240" w:lineRule="auto"/>
              <w:jc w:val="center"/>
              <w:rPr>
                <w:rFonts w:ascii="Times New Roman" w:hAnsi="Times New Roman" w:cs="Times New Roman"/>
                <w:b/>
                <w:sz w:val="24"/>
              </w:rPr>
            </w:pPr>
            <w:r w:rsidRPr="00A852FD">
              <w:rPr>
                <w:rFonts w:ascii="Times New Roman" w:hAnsi="Times New Roman" w:cs="Times New Roman"/>
                <w:b/>
                <w:sz w:val="24"/>
              </w:rPr>
              <w:t>Primer Target</w:t>
            </w:r>
          </w:p>
        </w:tc>
        <w:tc>
          <w:tcPr>
            <w:tcW w:w="5472" w:type="dxa"/>
            <w:tcBorders>
              <w:top w:val="single" w:sz="8" w:space="0" w:color="auto"/>
              <w:bottom w:val="single" w:sz="4" w:space="0" w:color="auto"/>
            </w:tcBorders>
            <w:shd w:val="clear" w:color="auto" w:fill="auto"/>
            <w:vAlign w:val="center"/>
          </w:tcPr>
          <w:p w:rsidR="0069099D" w:rsidRPr="00A852FD" w:rsidRDefault="0069099D" w:rsidP="0069099D">
            <w:pPr>
              <w:autoSpaceDE w:val="0"/>
              <w:autoSpaceDN w:val="0"/>
              <w:adjustRightInd w:val="0"/>
              <w:snapToGrid w:val="0"/>
              <w:spacing w:line="240" w:lineRule="auto"/>
              <w:jc w:val="center"/>
              <w:rPr>
                <w:rFonts w:ascii="Times New Roman" w:hAnsi="Times New Roman" w:cs="Times New Roman"/>
                <w:b/>
                <w:sz w:val="24"/>
              </w:rPr>
            </w:pPr>
            <w:r w:rsidRPr="00A852FD">
              <w:rPr>
                <w:rFonts w:ascii="Times New Roman" w:hAnsi="Times New Roman" w:cs="Times New Roman"/>
                <w:b/>
                <w:sz w:val="24"/>
              </w:rPr>
              <w:t>Primer Sequence (5′→3′)</w:t>
            </w:r>
          </w:p>
        </w:tc>
      </w:tr>
      <w:tr w:rsidR="0069099D" w:rsidRPr="00A852FD" w:rsidTr="004D0087">
        <w:trPr>
          <w:jc w:val="center"/>
        </w:trPr>
        <w:tc>
          <w:tcPr>
            <w:tcW w:w="2527" w:type="dxa"/>
            <w:vMerge w:val="restart"/>
            <w:tcBorders>
              <w:top w:val="single" w:sz="4" w:space="0" w:color="auto"/>
            </w:tcBorders>
            <w:shd w:val="clear" w:color="auto" w:fill="auto"/>
            <w:vAlign w:val="bottom"/>
          </w:tcPr>
          <w:p w:rsidR="0069099D" w:rsidRPr="00A852FD" w:rsidRDefault="0069099D" w:rsidP="0069099D">
            <w:pPr>
              <w:keepNext/>
              <w:spacing w:after="0" w:line="276" w:lineRule="auto"/>
              <w:jc w:val="center"/>
              <w:outlineLvl w:val="1"/>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OPG</w:t>
            </w:r>
          </w:p>
        </w:tc>
        <w:tc>
          <w:tcPr>
            <w:tcW w:w="5472" w:type="dxa"/>
            <w:tcBorders>
              <w:top w:val="single" w:sz="4" w:space="0" w:color="auto"/>
            </w:tcBorders>
            <w:shd w:val="clear" w:color="auto" w:fill="auto"/>
            <w:vAlign w:val="bottom"/>
          </w:tcPr>
          <w:p w:rsidR="0069099D" w:rsidRPr="00A852FD" w:rsidRDefault="0069099D" w:rsidP="0069099D">
            <w:pPr>
              <w:keepNext/>
              <w:spacing w:after="0" w:line="276" w:lineRule="auto"/>
              <w:outlineLvl w:val="2"/>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F:GGTCTCCTGCTAACTCAGAAAGG</w:t>
            </w:r>
          </w:p>
        </w:tc>
      </w:tr>
      <w:tr w:rsidR="0069099D" w:rsidRPr="00A852FD" w:rsidTr="004D0087">
        <w:trPr>
          <w:jc w:val="center"/>
        </w:trPr>
        <w:tc>
          <w:tcPr>
            <w:tcW w:w="2527" w:type="dxa"/>
            <w:vMerge/>
            <w:shd w:val="clear" w:color="auto" w:fill="auto"/>
            <w:vAlign w:val="center"/>
          </w:tcPr>
          <w:p w:rsidR="0069099D" w:rsidRPr="00A852FD" w:rsidRDefault="0069099D" w:rsidP="0069099D">
            <w:pPr>
              <w:autoSpaceDE w:val="0"/>
              <w:autoSpaceDN w:val="0"/>
              <w:adjustRightInd w:val="0"/>
              <w:snapToGrid w:val="0"/>
              <w:spacing w:line="240" w:lineRule="auto"/>
              <w:jc w:val="center"/>
            </w:pPr>
          </w:p>
        </w:tc>
        <w:tc>
          <w:tcPr>
            <w:tcW w:w="5472" w:type="dxa"/>
            <w:shd w:val="clear" w:color="auto" w:fill="auto"/>
            <w:vAlign w:val="bottom"/>
          </w:tcPr>
          <w:p w:rsidR="0069099D" w:rsidRPr="00A852FD" w:rsidRDefault="0069099D" w:rsidP="0069099D">
            <w:pPr>
              <w:autoSpaceDE w:val="0"/>
              <w:autoSpaceDN w:val="0"/>
              <w:adjustRightInd w:val="0"/>
              <w:snapToGrid w:val="0"/>
              <w:spacing w:line="240" w:lineRule="auto"/>
              <w:rPr>
                <w:lang w:val="en-US"/>
              </w:rPr>
            </w:pPr>
            <w:r w:rsidRPr="00A852FD">
              <w:rPr>
                <w:rFonts w:ascii="Times New Roman" w:eastAsia="Times New Roman" w:hAnsi="Times New Roman" w:cs="Times New Roman"/>
                <w:sz w:val="28"/>
                <w:szCs w:val="28"/>
                <w:lang w:eastAsia="ru-RU"/>
              </w:rPr>
              <w:t>R:CAGCAAACCTGAAGAATGCCTCC</w:t>
            </w:r>
          </w:p>
        </w:tc>
      </w:tr>
      <w:tr w:rsidR="0069099D" w:rsidRPr="00A852FD" w:rsidTr="004D0087">
        <w:trPr>
          <w:jc w:val="center"/>
        </w:trPr>
        <w:tc>
          <w:tcPr>
            <w:tcW w:w="2527" w:type="dxa"/>
            <w:vMerge w:val="restart"/>
            <w:shd w:val="clear" w:color="auto" w:fill="auto"/>
            <w:vAlign w:val="bottom"/>
          </w:tcPr>
          <w:p w:rsidR="0069099D" w:rsidRPr="00A852FD" w:rsidRDefault="0069099D" w:rsidP="0069099D">
            <w:pPr>
              <w:keepNext/>
              <w:spacing w:after="0" w:line="276" w:lineRule="auto"/>
              <w:jc w:val="center"/>
              <w:outlineLvl w:val="1"/>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SDF1</w:t>
            </w:r>
          </w:p>
        </w:tc>
        <w:tc>
          <w:tcPr>
            <w:tcW w:w="5472" w:type="dxa"/>
            <w:shd w:val="clear" w:color="auto" w:fill="auto"/>
            <w:vAlign w:val="bottom"/>
          </w:tcPr>
          <w:p w:rsidR="0069099D" w:rsidRPr="00A852FD" w:rsidRDefault="0069099D" w:rsidP="0069099D">
            <w:pPr>
              <w:spacing w:after="0" w:line="276" w:lineRule="auto"/>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F:CTCAACACTCCAAACTGTGCCC</w:t>
            </w:r>
          </w:p>
        </w:tc>
      </w:tr>
      <w:tr w:rsidR="0069099D" w:rsidRPr="00A852FD" w:rsidTr="004D0087">
        <w:trPr>
          <w:jc w:val="center"/>
        </w:trPr>
        <w:tc>
          <w:tcPr>
            <w:tcW w:w="2527" w:type="dxa"/>
            <w:vMerge/>
            <w:shd w:val="clear" w:color="auto" w:fill="auto"/>
            <w:vAlign w:val="center"/>
          </w:tcPr>
          <w:p w:rsidR="0069099D" w:rsidRPr="00A852FD" w:rsidRDefault="0069099D" w:rsidP="0069099D">
            <w:pPr>
              <w:autoSpaceDE w:val="0"/>
              <w:autoSpaceDN w:val="0"/>
              <w:adjustRightInd w:val="0"/>
              <w:snapToGrid w:val="0"/>
              <w:spacing w:line="240" w:lineRule="auto"/>
              <w:jc w:val="center"/>
            </w:pPr>
          </w:p>
        </w:tc>
        <w:tc>
          <w:tcPr>
            <w:tcW w:w="5472" w:type="dxa"/>
            <w:shd w:val="clear" w:color="auto" w:fill="auto"/>
            <w:vAlign w:val="bottom"/>
          </w:tcPr>
          <w:p w:rsidR="0069099D" w:rsidRPr="00A852FD" w:rsidRDefault="0069099D" w:rsidP="0069099D">
            <w:pPr>
              <w:autoSpaceDE w:val="0"/>
              <w:autoSpaceDN w:val="0"/>
              <w:adjustRightInd w:val="0"/>
              <w:snapToGrid w:val="0"/>
              <w:spacing w:line="240" w:lineRule="auto"/>
            </w:pPr>
            <w:r w:rsidRPr="00A852FD">
              <w:rPr>
                <w:rFonts w:ascii="Times New Roman" w:eastAsia="Times New Roman" w:hAnsi="Times New Roman" w:cs="Times New Roman"/>
                <w:sz w:val="28"/>
                <w:szCs w:val="28"/>
                <w:lang w:eastAsia="ru-RU"/>
              </w:rPr>
              <w:t>R:CTCCAGGTACTCCTGAATCCAC</w:t>
            </w:r>
          </w:p>
        </w:tc>
      </w:tr>
      <w:tr w:rsidR="0069099D" w:rsidRPr="00A852FD" w:rsidTr="004D0087">
        <w:trPr>
          <w:jc w:val="center"/>
        </w:trPr>
        <w:tc>
          <w:tcPr>
            <w:tcW w:w="2527" w:type="dxa"/>
            <w:vMerge w:val="restart"/>
            <w:shd w:val="clear" w:color="auto" w:fill="auto"/>
            <w:vAlign w:val="bottom"/>
          </w:tcPr>
          <w:p w:rsidR="0069099D" w:rsidRPr="00A852FD" w:rsidRDefault="0069099D" w:rsidP="0069099D">
            <w:pPr>
              <w:spacing w:after="0" w:line="276" w:lineRule="auto"/>
              <w:jc w:val="center"/>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COL1A1</w:t>
            </w:r>
          </w:p>
        </w:tc>
        <w:tc>
          <w:tcPr>
            <w:tcW w:w="5472" w:type="dxa"/>
            <w:shd w:val="clear" w:color="auto" w:fill="auto"/>
            <w:vAlign w:val="bottom"/>
          </w:tcPr>
          <w:p w:rsidR="0069099D" w:rsidRPr="00A852FD" w:rsidRDefault="0069099D" w:rsidP="0069099D">
            <w:pPr>
              <w:spacing w:after="0" w:line="276" w:lineRule="auto"/>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F:CCTGGCTTTCTCGTCACTCTCA</w:t>
            </w:r>
          </w:p>
        </w:tc>
      </w:tr>
      <w:tr w:rsidR="0069099D" w:rsidRPr="00A852FD" w:rsidTr="004D0087">
        <w:trPr>
          <w:jc w:val="center"/>
        </w:trPr>
        <w:tc>
          <w:tcPr>
            <w:tcW w:w="2527" w:type="dxa"/>
            <w:vMerge/>
            <w:shd w:val="clear" w:color="auto" w:fill="auto"/>
            <w:vAlign w:val="center"/>
          </w:tcPr>
          <w:p w:rsidR="0069099D" w:rsidRPr="00A852FD" w:rsidRDefault="0069099D" w:rsidP="0069099D">
            <w:pPr>
              <w:autoSpaceDE w:val="0"/>
              <w:autoSpaceDN w:val="0"/>
              <w:adjustRightInd w:val="0"/>
              <w:snapToGrid w:val="0"/>
              <w:spacing w:line="240" w:lineRule="auto"/>
              <w:jc w:val="center"/>
            </w:pPr>
          </w:p>
        </w:tc>
        <w:tc>
          <w:tcPr>
            <w:tcW w:w="5472" w:type="dxa"/>
            <w:shd w:val="clear" w:color="auto" w:fill="auto"/>
            <w:vAlign w:val="bottom"/>
          </w:tcPr>
          <w:p w:rsidR="0069099D" w:rsidRPr="00A852FD" w:rsidRDefault="0069099D" w:rsidP="0069099D">
            <w:pPr>
              <w:autoSpaceDE w:val="0"/>
              <w:autoSpaceDN w:val="0"/>
              <w:adjustRightInd w:val="0"/>
              <w:snapToGrid w:val="0"/>
              <w:spacing w:line="240" w:lineRule="auto"/>
              <w:rPr>
                <w:lang w:val="en-US"/>
              </w:rPr>
            </w:pPr>
            <w:r w:rsidRPr="00A852FD">
              <w:rPr>
                <w:rFonts w:ascii="Times New Roman" w:eastAsia="Times New Roman" w:hAnsi="Times New Roman" w:cs="Times New Roman"/>
                <w:sz w:val="28"/>
                <w:szCs w:val="28"/>
                <w:lang w:eastAsia="ru-RU"/>
              </w:rPr>
              <w:t>R:AGCCTCTCCATCTTTGCCAGCA</w:t>
            </w:r>
          </w:p>
        </w:tc>
      </w:tr>
      <w:tr w:rsidR="0069099D" w:rsidRPr="00A852FD" w:rsidTr="004D0087">
        <w:trPr>
          <w:jc w:val="center"/>
        </w:trPr>
        <w:tc>
          <w:tcPr>
            <w:tcW w:w="2527" w:type="dxa"/>
            <w:vMerge w:val="restart"/>
            <w:shd w:val="clear" w:color="auto" w:fill="auto"/>
            <w:vAlign w:val="bottom"/>
          </w:tcPr>
          <w:p w:rsidR="0069099D" w:rsidRPr="00A852FD" w:rsidRDefault="0069099D" w:rsidP="0069099D">
            <w:pPr>
              <w:spacing w:after="0" w:line="276" w:lineRule="auto"/>
              <w:jc w:val="center"/>
              <w:rPr>
                <w:rFonts w:ascii="Times New Roman" w:eastAsia="Times New Roman" w:hAnsi="Times New Roman" w:cs="Times New Roman"/>
                <w:sz w:val="28"/>
                <w:szCs w:val="28"/>
                <w:lang w:val="en-US" w:eastAsia="ru-RU"/>
              </w:rPr>
            </w:pPr>
            <w:r w:rsidRPr="00A852FD">
              <w:rPr>
                <w:rFonts w:ascii="Times New Roman" w:eastAsia="Times New Roman" w:hAnsi="Times New Roman" w:cs="Times New Roman"/>
                <w:sz w:val="28"/>
                <w:szCs w:val="28"/>
                <w:lang w:val="en-US" w:eastAsia="ru-RU"/>
              </w:rPr>
              <w:t>RUNX2</w:t>
            </w:r>
          </w:p>
        </w:tc>
        <w:tc>
          <w:tcPr>
            <w:tcW w:w="5472" w:type="dxa"/>
            <w:shd w:val="clear" w:color="auto" w:fill="auto"/>
            <w:vAlign w:val="bottom"/>
          </w:tcPr>
          <w:p w:rsidR="0069099D" w:rsidRPr="00A852FD" w:rsidRDefault="0069099D" w:rsidP="0069099D">
            <w:pPr>
              <w:spacing w:after="0" w:line="276" w:lineRule="auto"/>
              <w:rPr>
                <w:rFonts w:ascii="Times New Roman" w:eastAsia="Times New Roman" w:hAnsi="Times New Roman" w:cs="Times New Roman"/>
                <w:sz w:val="28"/>
                <w:szCs w:val="28"/>
                <w:lang w:val="en-US" w:eastAsia="ru-RU"/>
              </w:rPr>
            </w:pPr>
            <w:r w:rsidRPr="00A852FD">
              <w:rPr>
                <w:rFonts w:ascii="Times New Roman" w:eastAsia="Times New Roman" w:hAnsi="Times New Roman" w:cs="Times New Roman"/>
                <w:sz w:val="28"/>
                <w:szCs w:val="28"/>
                <w:lang w:val="en-US" w:eastAsia="ru-RU"/>
              </w:rPr>
              <w:t>F:</w:t>
            </w:r>
            <w:r w:rsidRPr="00A852FD">
              <w:rPr>
                <w:rFonts w:ascii="Times New Roman" w:hAnsi="Times New Roman" w:cs="Times New Roman"/>
                <w:sz w:val="28"/>
                <w:szCs w:val="28"/>
              </w:rPr>
              <w:t xml:space="preserve"> CCCAGTATGAGAGTAGGTGTCC</w:t>
            </w:r>
          </w:p>
        </w:tc>
      </w:tr>
      <w:tr w:rsidR="0069099D" w:rsidRPr="00A852FD" w:rsidTr="004D0087">
        <w:trPr>
          <w:jc w:val="center"/>
        </w:trPr>
        <w:tc>
          <w:tcPr>
            <w:tcW w:w="2527" w:type="dxa"/>
            <w:vMerge/>
            <w:shd w:val="clear" w:color="auto" w:fill="auto"/>
            <w:vAlign w:val="bottom"/>
          </w:tcPr>
          <w:p w:rsidR="0069099D" w:rsidRPr="00A852FD" w:rsidRDefault="0069099D" w:rsidP="0069099D">
            <w:pPr>
              <w:autoSpaceDE w:val="0"/>
              <w:autoSpaceDN w:val="0"/>
              <w:adjustRightInd w:val="0"/>
              <w:snapToGrid w:val="0"/>
              <w:spacing w:line="240" w:lineRule="auto"/>
              <w:jc w:val="center"/>
            </w:pPr>
          </w:p>
        </w:tc>
        <w:tc>
          <w:tcPr>
            <w:tcW w:w="5472" w:type="dxa"/>
            <w:shd w:val="clear" w:color="auto" w:fill="auto"/>
            <w:vAlign w:val="bottom"/>
          </w:tcPr>
          <w:p w:rsidR="0069099D" w:rsidRPr="00A852FD" w:rsidRDefault="0069099D" w:rsidP="0069099D">
            <w:pPr>
              <w:autoSpaceDE w:val="0"/>
              <w:autoSpaceDN w:val="0"/>
              <w:adjustRightInd w:val="0"/>
              <w:snapToGrid w:val="0"/>
              <w:spacing w:line="240" w:lineRule="auto"/>
            </w:pPr>
            <w:r w:rsidRPr="00A852FD">
              <w:rPr>
                <w:rFonts w:ascii="Times New Roman" w:eastAsia="Times New Roman" w:hAnsi="Times New Roman" w:cs="Times New Roman"/>
                <w:sz w:val="28"/>
                <w:szCs w:val="28"/>
                <w:lang w:val="en-US" w:eastAsia="ru-RU"/>
              </w:rPr>
              <w:t>R:</w:t>
            </w:r>
            <w:r w:rsidRPr="00A852FD">
              <w:rPr>
                <w:rFonts w:ascii="Times New Roman" w:hAnsi="Times New Roman" w:cs="Times New Roman"/>
                <w:sz w:val="28"/>
                <w:szCs w:val="28"/>
              </w:rPr>
              <w:t xml:space="preserve"> GGGTAAGACTGGTCATAGGACC</w:t>
            </w:r>
          </w:p>
        </w:tc>
      </w:tr>
      <w:tr w:rsidR="0069099D" w:rsidRPr="00A852FD" w:rsidTr="004D0087">
        <w:trPr>
          <w:jc w:val="center"/>
        </w:trPr>
        <w:tc>
          <w:tcPr>
            <w:tcW w:w="2527" w:type="dxa"/>
            <w:vMerge w:val="restart"/>
            <w:shd w:val="clear" w:color="auto" w:fill="auto"/>
            <w:vAlign w:val="bottom"/>
          </w:tcPr>
          <w:p w:rsidR="0069099D" w:rsidRPr="00A852FD" w:rsidRDefault="0069099D" w:rsidP="0069099D">
            <w:pPr>
              <w:spacing w:after="0" w:line="276" w:lineRule="auto"/>
              <w:jc w:val="center"/>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SPARC</w:t>
            </w:r>
          </w:p>
        </w:tc>
        <w:tc>
          <w:tcPr>
            <w:tcW w:w="5472" w:type="dxa"/>
            <w:shd w:val="clear" w:color="auto" w:fill="auto"/>
            <w:vAlign w:val="bottom"/>
          </w:tcPr>
          <w:p w:rsidR="0069099D" w:rsidRPr="00A852FD" w:rsidRDefault="0069099D" w:rsidP="0069099D">
            <w:pPr>
              <w:spacing w:after="0" w:line="276" w:lineRule="auto"/>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F:TGCCTGATGAGACAGAGGTGGT</w:t>
            </w:r>
          </w:p>
        </w:tc>
      </w:tr>
      <w:tr w:rsidR="0069099D" w:rsidRPr="00A852FD" w:rsidTr="004D0087">
        <w:trPr>
          <w:jc w:val="center"/>
        </w:trPr>
        <w:tc>
          <w:tcPr>
            <w:tcW w:w="2527" w:type="dxa"/>
            <w:vMerge/>
            <w:shd w:val="clear" w:color="auto" w:fill="auto"/>
            <w:vAlign w:val="center"/>
          </w:tcPr>
          <w:p w:rsidR="0069099D" w:rsidRPr="00A852FD" w:rsidRDefault="0069099D" w:rsidP="0069099D">
            <w:pPr>
              <w:autoSpaceDE w:val="0"/>
              <w:autoSpaceDN w:val="0"/>
              <w:adjustRightInd w:val="0"/>
              <w:snapToGrid w:val="0"/>
              <w:spacing w:line="240" w:lineRule="auto"/>
              <w:jc w:val="center"/>
            </w:pPr>
          </w:p>
        </w:tc>
        <w:tc>
          <w:tcPr>
            <w:tcW w:w="5472" w:type="dxa"/>
            <w:shd w:val="clear" w:color="auto" w:fill="auto"/>
            <w:vAlign w:val="bottom"/>
          </w:tcPr>
          <w:p w:rsidR="0069099D" w:rsidRPr="00A852FD" w:rsidRDefault="0069099D" w:rsidP="0069099D">
            <w:pPr>
              <w:autoSpaceDE w:val="0"/>
              <w:autoSpaceDN w:val="0"/>
              <w:adjustRightInd w:val="0"/>
              <w:snapToGrid w:val="0"/>
              <w:spacing w:line="240" w:lineRule="auto"/>
            </w:pPr>
            <w:r w:rsidRPr="00A852FD">
              <w:rPr>
                <w:rFonts w:ascii="Times New Roman" w:eastAsia="Times New Roman" w:hAnsi="Times New Roman" w:cs="Times New Roman"/>
                <w:sz w:val="28"/>
                <w:szCs w:val="28"/>
                <w:lang w:eastAsia="ru-RU"/>
              </w:rPr>
              <w:t>R:CTTCGGTTTCCTCTGCACCATC</w:t>
            </w:r>
          </w:p>
        </w:tc>
      </w:tr>
      <w:tr w:rsidR="0069099D" w:rsidRPr="00A852FD" w:rsidTr="004D0087">
        <w:trPr>
          <w:jc w:val="center"/>
        </w:trPr>
        <w:tc>
          <w:tcPr>
            <w:tcW w:w="2527" w:type="dxa"/>
            <w:vMerge w:val="restart"/>
            <w:shd w:val="clear" w:color="auto" w:fill="auto"/>
            <w:vAlign w:val="bottom"/>
          </w:tcPr>
          <w:p w:rsidR="0069099D" w:rsidRPr="00A852FD" w:rsidRDefault="0069099D" w:rsidP="0069099D">
            <w:pPr>
              <w:spacing w:after="0" w:line="276" w:lineRule="auto"/>
              <w:jc w:val="center"/>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HPRT1</w:t>
            </w:r>
          </w:p>
        </w:tc>
        <w:tc>
          <w:tcPr>
            <w:tcW w:w="5472" w:type="dxa"/>
            <w:shd w:val="clear" w:color="auto" w:fill="auto"/>
            <w:vAlign w:val="bottom"/>
          </w:tcPr>
          <w:p w:rsidR="0069099D" w:rsidRPr="00A852FD" w:rsidRDefault="0069099D" w:rsidP="0069099D">
            <w:pPr>
              <w:spacing w:after="0" w:line="276" w:lineRule="auto"/>
              <w:rPr>
                <w:rFonts w:ascii="Times New Roman" w:eastAsia="Times New Roman" w:hAnsi="Times New Roman" w:cs="Times New Roman"/>
                <w:sz w:val="28"/>
                <w:szCs w:val="28"/>
                <w:lang w:eastAsia="ru-RU"/>
              </w:rPr>
            </w:pPr>
            <w:r w:rsidRPr="00A852FD">
              <w:rPr>
                <w:rFonts w:ascii="Times New Roman" w:eastAsia="Times New Roman" w:hAnsi="Times New Roman" w:cs="Times New Roman"/>
                <w:sz w:val="28"/>
                <w:szCs w:val="28"/>
                <w:lang w:eastAsia="ru-RU"/>
              </w:rPr>
              <w:t>F:TCAAGGGCATATCCTACAACAA</w:t>
            </w:r>
          </w:p>
        </w:tc>
      </w:tr>
      <w:tr w:rsidR="0069099D" w:rsidRPr="00A852FD" w:rsidTr="004D0087">
        <w:trPr>
          <w:jc w:val="center"/>
        </w:trPr>
        <w:tc>
          <w:tcPr>
            <w:tcW w:w="2527" w:type="dxa"/>
            <w:vMerge/>
            <w:shd w:val="clear" w:color="auto" w:fill="auto"/>
            <w:vAlign w:val="center"/>
          </w:tcPr>
          <w:p w:rsidR="0069099D" w:rsidRPr="00A852FD" w:rsidRDefault="0069099D" w:rsidP="0069099D">
            <w:pPr>
              <w:autoSpaceDE w:val="0"/>
              <w:autoSpaceDN w:val="0"/>
              <w:adjustRightInd w:val="0"/>
              <w:snapToGrid w:val="0"/>
              <w:spacing w:line="240" w:lineRule="auto"/>
              <w:jc w:val="center"/>
            </w:pPr>
          </w:p>
        </w:tc>
        <w:tc>
          <w:tcPr>
            <w:tcW w:w="5472" w:type="dxa"/>
            <w:shd w:val="clear" w:color="auto" w:fill="auto"/>
            <w:vAlign w:val="bottom"/>
          </w:tcPr>
          <w:p w:rsidR="0069099D" w:rsidRPr="00A852FD" w:rsidRDefault="0069099D" w:rsidP="0069099D">
            <w:pPr>
              <w:autoSpaceDE w:val="0"/>
              <w:autoSpaceDN w:val="0"/>
              <w:adjustRightInd w:val="0"/>
              <w:snapToGrid w:val="0"/>
              <w:spacing w:line="240" w:lineRule="auto"/>
            </w:pPr>
            <w:r w:rsidRPr="00A852FD">
              <w:rPr>
                <w:rFonts w:ascii="Times New Roman" w:eastAsia="Times New Roman" w:hAnsi="Times New Roman" w:cs="Times New Roman"/>
                <w:sz w:val="28"/>
                <w:szCs w:val="28"/>
                <w:lang w:eastAsia="ru-RU"/>
              </w:rPr>
              <w:t>R:AGACTTTGCTTTCCTTGGTCAG</w:t>
            </w:r>
          </w:p>
        </w:tc>
      </w:tr>
    </w:tbl>
    <w:p w:rsidR="0069099D" w:rsidRPr="00A852FD" w:rsidRDefault="0069099D" w:rsidP="00C05432">
      <w:pPr>
        <w:spacing w:after="0"/>
        <w:jc w:val="both"/>
        <w:rPr>
          <w:rFonts w:ascii="Times New Roman" w:hAnsi="Times New Roman" w:cs="Times New Roman"/>
          <w:noProof/>
          <w:sz w:val="24"/>
          <w:szCs w:val="24"/>
          <w:lang w:eastAsia="ru-RU"/>
        </w:rPr>
      </w:pPr>
    </w:p>
    <w:p w:rsidR="0069099D" w:rsidRPr="00A852FD" w:rsidRDefault="0069099D" w:rsidP="00C05432">
      <w:pPr>
        <w:spacing w:after="0"/>
        <w:jc w:val="both"/>
        <w:rPr>
          <w:rFonts w:ascii="Times New Roman" w:hAnsi="Times New Roman" w:cs="Times New Roman"/>
          <w:noProof/>
          <w:sz w:val="24"/>
          <w:szCs w:val="24"/>
          <w:lang w:eastAsia="ru-RU"/>
        </w:rPr>
      </w:pPr>
    </w:p>
    <w:p w:rsidR="0069099D" w:rsidRPr="00A852FD" w:rsidRDefault="0069099D" w:rsidP="00C05432">
      <w:pPr>
        <w:spacing w:after="0"/>
        <w:jc w:val="both"/>
        <w:rPr>
          <w:rFonts w:ascii="Times New Roman" w:hAnsi="Times New Roman" w:cs="Times New Roman"/>
          <w:noProof/>
          <w:sz w:val="24"/>
          <w:szCs w:val="24"/>
          <w:lang w:eastAsia="ru-RU"/>
        </w:rPr>
      </w:pPr>
    </w:p>
    <w:p w:rsidR="00C05432" w:rsidRPr="00A852FD" w:rsidRDefault="00C05432" w:rsidP="00C05432">
      <w:pPr>
        <w:spacing w:after="0"/>
        <w:jc w:val="both"/>
        <w:rPr>
          <w:rFonts w:ascii="Times New Roman" w:hAnsi="Times New Roman" w:cs="Times New Roman"/>
          <w:sz w:val="24"/>
          <w:szCs w:val="24"/>
          <w:lang w:val="en-US"/>
        </w:rPr>
      </w:pPr>
      <w:r w:rsidRPr="00A852FD">
        <w:rPr>
          <w:rFonts w:ascii="Times New Roman" w:hAnsi="Times New Roman" w:cs="Times New Roman"/>
          <w:noProof/>
          <w:sz w:val="24"/>
          <w:szCs w:val="24"/>
          <w:lang w:eastAsia="ru-RU"/>
        </w:rPr>
        <w:lastRenderedPageBreak/>
        <w:drawing>
          <wp:anchor distT="0" distB="0" distL="114300" distR="114300" simplePos="0" relativeHeight="251658240" behindDoc="0" locked="0" layoutInCell="1" allowOverlap="1">
            <wp:simplePos x="1078302" y="2898475"/>
            <wp:positionH relativeFrom="column">
              <wp:align>left</wp:align>
            </wp:positionH>
            <wp:positionV relativeFrom="paragraph">
              <wp:align>top</wp:align>
            </wp:positionV>
            <wp:extent cx="5676900" cy="4930506"/>
            <wp:effectExtent l="0" t="0" r="0" b="381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900" cy="4930506"/>
                    </a:xfrm>
                    <a:prstGeom prst="rect">
                      <a:avLst/>
                    </a:prstGeom>
                    <a:noFill/>
                  </pic:spPr>
                </pic:pic>
              </a:graphicData>
            </a:graphic>
          </wp:anchor>
        </w:drawing>
      </w:r>
      <w:r w:rsidR="0069099D" w:rsidRPr="00A852FD">
        <w:rPr>
          <w:rFonts w:ascii="Times New Roman" w:hAnsi="Times New Roman" w:cs="Times New Roman"/>
          <w:sz w:val="24"/>
          <w:szCs w:val="24"/>
          <w:lang w:val="en-US"/>
        </w:rPr>
        <w:br w:type="textWrapping" w:clear="all"/>
      </w:r>
    </w:p>
    <w:p w:rsidR="00C05432" w:rsidRPr="00A852FD" w:rsidRDefault="00C05432" w:rsidP="00C05432">
      <w:pPr>
        <w:jc w:val="both"/>
        <w:rPr>
          <w:rFonts w:ascii="Times New Roman" w:hAnsi="Times New Roman" w:cs="Times New Roman"/>
          <w:sz w:val="24"/>
          <w:szCs w:val="24"/>
          <w:lang w:val="en-US"/>
        </w:rPr>
      </w:pPr>
    </w:p>
    <w:p w:rsidR="00C05432" w:rsidRPr="00A852FD" w:rsidRDefault="00C05432" w:rsidP="00C05432">
      <w:pPr>
        <w:rPr>
          <w:rFonts w:ascii="Times New Roman" w:hAnsi="Times New Roman" w:cs="Times New Roman"/>
          <w:sz w:val="24"/>
          <w:lang w:val="en-US"/>
        </w:rPr>
      </w:pPr>
      <w:r w:rsidRPr="00A852FD">
        <w:rPr>
          <w:rFonts w:ascii="Times New Roman" w:hAnsi="Times New Roman" w:cs="Times New Roman"/>
          <w:b/>
          <w:sz w:val="24"/>
          <w:lang w:val="en-US"/>
        </w:rPr>
        <w:t>Figure S1.</w:t>
      </w:r>
      <w:r w:rsidRPr="00A852FD">
        <w:rPr>
          <w:rFonts w:ascii="Times New Roman" w:hAnsi="Times New Roman" w:cs="Times New Roman"/>
          <w:sz w:val="24"/>
          <w:lang w:val="en-US"/>
        </w:rPr>
        <w:t xml:space="preserve"> 3D model of the formed scaffold with a heterogeneous structure.</w:t>
      </w:r>
    </w:p>
    <w:p w:rsidR="00C05432" w:rsidRPr="00A852FD" w:rsidRDefault="00C05432" w:rsidP="00BB0118">
      <w:pPr>
        <w:spacing w:after="0" w:line="240" w:lineRule="auto"/>
        <w:jc w:val="both"/>
        <w:rPr>
          <w:rFonts w:ascii="Times New Roman" w:eastAsia="Times New Roman" w:hAnsi="Times New Roman" w:cs="Times New Roman"/>
          <w:b/>
          <w:bCs/>
          <w:sz w:val="24"/>
          <w:szCs w:val="24"/>
          <w:lang w:val="en-US" w:eastAsia="ru-RU"/>
        </w:rPr>
      </w:pPr>
    </w:p>
    <w:p w:rsidR="00BB0118" w:rsidRPr="00A852FD" w:rsidRDefault="00F951B7" w:rsidP="00BB0118">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b/>
          <w:bCs/>
          <w:sz w:val="24"/>
          <w:szCs w:val="24"/>
          <w:lang w:val="en-US" w:eastAsia="ru-RU"/>
        </w:rPr>
        <w:t>Table S</w:t>
      </w:r>
      <w:r w:rsidR="0069099D" w:rsidRPr="00A852FD">
        <w:rPr>
          <w:rFonts w:ascii="Times New Roman" w:eastAsia="Times New Roman" w:hAnsi="Times New Roman" w:cs="Times New Roman"/>
          <w:b/>
          <w:bCs/>
          <w:sz w:val="24"/>
          <w:szCs w:val="24"/>
          <w:lang w:val="en-US" w:eastAsia="ru-RU"/>
        </w:rPr>
        <w:t>2</w:t>
      </w:r>
      <w:r w:rsidR="00BB0118" w:rsidRPr="00A852FD">
        <w:rPr>
          <w:rFonts w:ascii="Times New Roman" w:eastAsia="Times New Roman" w:hAnsi="Times New Roman" w:cs="Times New Roman"/>
          <w:b/>
          <w:bCs/>
          <w:sz w:val="24"/>
          <w:szCs w:val="24"/>
          <w:lang w:val="en-US" w:eastAsia="ru-RU"/>
        </w:rPr>
        <w:t xml:space="preserve">. </w:t>
      </w:r>
      <w:r w:rsidR="00BB0118" w:rsidRPr="00A852FD">
        <w:rPr>
          <w:rFonts w:ascii="Times New Roman" w:eastAsia="Times New Roman" w:hAnsi="Times New Roman" w:cs="Times New Roman"/>
          <w:sz w:val="24"/>
          <w:szCs w:val="24"/>
          <w:lang w:val="en-US" w:eastAsia="ru-RU"/>
        </w:rPr>
        <w:t>Evaluation of the viability of MSCs on scaffolds using calcein and propidium iodide staining</w:t>
      </w:r>
    </w:p>
    <w:p w:rsidR="00BB0118" w:rsidRPr="00A852FD" w:rsidRDefault="00BB0118" w:rsidP="00BB0118">
      <w:pPr>
        <w:spacing w:after="0" w:line="240" w:lineRule="auto"/>
        <w:jc w:val="both"/>
        <w:rPr>
          <w:rFonts w:ascii="Times New Roman" w:eastAsia="Times New Roman" w:hAnsi="Times New Roman" w:cs="Times New Roman"/>
          <w:sz w:val="24"/>
          <w:szCs w:val="24"/>
          <w:lang w:val="en-US" w:eastAsia="ru-RU"/>
        </w:rPr>
      </w:pPr>
    </w:p>
    <w:p w:rsidR="00BB0118" w:rsidRPr="00A852FD" w:rsidRDefault="00BB0118" w:rsidP="00BB0118">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noProof/>
          <w:sz w:val="24"/>
          <w:szCs w:val="24"/>
          <w:lang w:eastAsia="ru-RU"/>
        </w:rPr>
        <w:drawing>
          <wp:inline distT="0" distB="0" distL="0" distR="0" wp14:anchorId="16D8C1B2" wp14:editId="148B97BE">
            <wp:extent cx="5862320" cy="1019185"/>
            <wp:effectExtent l="0" t="0" r="508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1229" cy="1027688"/>
                    </a:xfrm>
                    <a:prstGeom prst="rect">
                      <a:avLst/>
                    </a:prstGeom>
                    <a:noFill/>
                  </pic:spPr>
                </pic:pic>
              </a:graphicData>
            </a:graphic>
          </wp:inline>
        </w:drawing>
      </w:r>
    </w:p>
    <w:p w:rsidR="00415F21" w:rsidRDefault="00BB0118" w:rsidP="00BB0118">
      <w:pPr>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Values are presented as the percentage of dead cells relative to the total number of cells on the scaffold in a x40 field of view.</w:t>
      </w:r>
    </w:p>
    <w:p w:rsidR="00415F21" w:rsidRDefault="00415F21">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br w:type="page"/>
      </w:r>
    </w:p>
    <w:p w:rsidR="00BB0118" w:rsidRPr="00A852FD" w:rsidRDefault="00BB0118" w:rsidP="00BB0118">
      <w:pPr>
        <w:spacing w:before="240" w:after="24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b/>
          <w:bCs/>
          <w:sz w:val="24"/>
          <w:szCs w:val="24"/>
          <w:lang w:val="en-US" w:eastAsia="ru-RU"/>
        </w:rPr>
        <w:lastRenderedPageBreak/>
        <w:t xml:space="preserve">Table </w:t>
      </w:r>
      <w:r w:rsidR="00F951B7" w:rsidRPr="00A852FD">
        <w:rPr>
          <w:rFonts w:ascii="Times New Roman" w:eastAsia="Times New Roman" w:hAnsi="Times New Roman" w:cs="Times New Roman"/>
          <w:b/>
          <w:bCs/>
          <w:sz w:val="24"/>
          <w:szCs w:val="24"/>
          <w:lang w:val="en-US" w:eastAsia="ru-RU"/>
        </w:rPr>
        <w:t>S</w:t>
      </w:r>
      <w:r w:rsidR="0069099D" w:rsidRPr="00A852FD">
        <w:rPr>
          <w:rFonts w:ascii="Times New Roman" w:eastAsia="Times New Roman" w:hAnsi="Times New Roman" w:cs="Times New Roman"/>
          <w:b/>
          <w:bCs/>
          <w:sz w:val="24"/>
          <w:szCs w:val="24"/>
          <w:lang w:val="en-US" w:eastAsia="ru-RU"/>
        </w:rPr>
        <w:t>3</w:t>
      </w:r>
      <w:r w:rsidRPr="00A852FD">
        <w:rPr>
          <w:rFonts w:ascii="Times New Roman" w:eastAsia="Times New Roman" w:hAnsi="Times New Roman" w:cs="Times New Roman"/>
          <w:b/>
          <w:bCs/>
          <w:sz w:val="24"/>
          <w:szCs w:val="24"/>
          <w:lang w:val="en-US" w:eastAsia="ru-RU"/>
        </w:rPr>
        <w:t xml:space="preserve">. </w:t>
      </w:r>
      <w:r w:rsidRPr="00A852FD">
        <w:rPr>
          <w:rFonts w:ascii="Times New Roman" w:eastAsia="Times New Roman" w:hAnsi="Times New Roman" w:cs="Times New Roman"/>
          <w:sz w:val="24"/>
          <w:szCs w:val="24"/>
          <w:lang w:val="en-US" w:eastAsia="ru-RU"/>
        </w:rPr>
        <w:t xml:space="preserve">Values of the NAD(P)H and FAD autofluorescence intensity, as well as the redox ratio FAD/NAD(P)H in MSCs on homogeneous and heterogeneous scaffolds during their cultivation in DMEM and in a medium for osteogenic differentiation. </w:t>
      </w:r>
    </w:p>
    <w:p w:rsidR="00BB0118" w:rsidRPr="00A852FD" w:rsidRDefault="00BB0118" w:rsidP="00BB0118">
      <w:pPr>
        <w:spacing w:before="240" w:after="24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noProof/>
          <w:sz w:val="24"/>
          <w:szCs w:val="24"/>
          <w:lang w:eastAsia="ru-RU"/>
        </w:rPr>
        <w:drawing>
          <wp:inline distT="0" distB="0" distL="0" distR="0" wp14:anchorId="4A4911D7" wp14:editId="703E3952">
            <wp:extent cx="5847068" cy="3268980"/>
            <wp:effectExtent l="0" t="0" r="1905"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58258" cy="3275236"/>
                    </a:xfrm>
                    <a:prstGeom prst="rect">
                      <a:avLst/>
                    </a:prstGeom>
                    <a:noFill/>
                  </pic:spPr>
                </pic:pic>
              </a:graphicData>
            </a:graphic>
          </wp:inline>
        </w:drawing>
      </w:r>
    </w:p>
    <w:p w:rsidR="00BB0118" w:rsidRPr="00A852FD" w:rsidRDefault="00BB0118" w:rsidP="00BB0118">
      <w:pPr>
        <w:spacing w:before="240" w:after="24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 — statistically significant differences in comparison with MSCs on the 7th day of cultivation in DMEM; Mean ± SD, p &lt;0.05.</w:t>
      </w:r>
      <w:r w:rsidRPr="00A852FD">
        <w:rPr>
          <w:rFonts w:ascii="Times New Roman" w:eastAsia="Times New Roman" w:hAnsi="Times New Roman" w:cs="Times New Roman"/>
          <w:b/>
          <w:bCs/>
          <w:sz w:val="24"/>
          <w:szCs w:val="24"/>
          <w:lang w:val="en-US" w:eastAsia="ru-RU"/>
        </w:rPr>
        <w:t> </w:t>
      </w:r>
    </w:p>
    <w:p w:rsidR="00415F21" w:rsidRDefault="00415F21">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br w:type="page"/>
      </w:r>
    </w:p>
    <w:p w:rsidR="0069099D" w:rsidRPr="00A852FD" w:rsidRDefault="00F951B7" w:rsidP="00BB0118">
      <w:pPr>
        <w:spacing w:before="240" w:after="240" w:line="240" w:lineRule="auto"/>
        <w:jc w:val="both"/>
        <w:rPr>
          <w:rFonts w:ascii="Times New Roman" w:eastAsia="Times New Roman" w:hAnsi="Times New Roman" w:cs="Times New Roman"/>
          <w:sz w:val="24"/>
          <w:szCs w:val="24"/>
          <w:lang w:val="en-US" w:eastAsia="ru-RU"/>
        </w:rPr>
      </w:pPr>
      <w:bookmarkStart w:id="0" w:name="_GoBack"/>
      <w:bookmarkEnd w:id="0"/>
      <w:r w:rsidRPr="00A852FD">
        <w:rPr>
          <w:rFonts w:ascii="Times New Roman" w:eastAsia="Times New Roman" w:hAnsi="Times New Roman" w:cs="Times New Roman"/>
          <w:b/>
          <w:bCs/>
          <w:sz w:val="24"/>
          <w:szCs w:val="24"/>
          <w:lang w:val="en-US" w:eastAsia="ru-RU"/>
        </w:rPr>
        <w:lastRenderedPageBreak/>
        <w:t>Table S</w:t>
      </w:r>
      <w:r w:rsidR="0069099D" w:rsidRPr="00A852FD">
        <w:rPr>
          <w:rFonts w:ascii="Times New Roman" w:eastAsia="Times New Roman" w:hAnsi="Times New Roman" w:cs="Times New Roman"/>
          <w:b/>
          <w:bCs/>
          <w:sz w:val="24"/>
          <w:szCs w:val="24"/>
          <w:lang w:val="en-US" w:eastAsia="ru-RU"/>
        </w:rPr>
        <w:t>4</w:t>
      </w:r>
      <w:r w:rsidR="00BB0118" w:rsidRPr="00A852FD">
        <w:rPr>
          <w:rFonts w:ascii="Times New Roman" w:eastAsia="Times New Roman" w:hAnsi="Times New Roman" w:cs="Times New Roman"/>
          <w:b/>
          <w:bCs/>
          <w:sz w:val="24"/>
          <w:szCs w:val="24"/>
          <w:lang w:val="en-US" w:eastAsia="ru-RU"/>
        </w:rPr>
        <w:t xml:space="preserve">. </w:t>
      </w:r>
      <w:r w:rsidR="00BB0118" w:rsidRPr="00A852FD">
        <w:rPr>
          <w:rFonts w:ascii="Times New Roman" w:eastAsia="Times New Roman" w:hAnsi="Times New Roman" w:cs="Times New Roman"/>
          <w:sz w:val="24"/>
          <w:szCs w:val="24"/>
          <w:lang w:val="en-US" w:eastAsia="ru-RU"/>
        </w:rPr>
        <w:t>FLIM data on NAD(P)H in MSCs on homogeneous and heterogeneous scaffolds during cultivation in DMEM and in a medium for the induction of osteogenic differentiation.</w:t>
      </w:r>
    </w:p>
    <w:p w:rsidR="00BB0118" w:rsidRPr="00A852FD" w:rsidRDefault="00BB0118" w:rsidP="00BB0118">
      <w:pPr>
        <w:spacing w:before="240" w:after="24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b/>
          <w:bCs/>
          <w:sz w:val="24"/>
          <w:szCs w:val="24"/>
          <w:lang w:val="en-US" w:eastAsia="ru-RU"/>
        </w:rPr>
        <w:t> </w:t>
      </w:r>
      <w:r w:rsidRPr="00A852FD">
        <w:rPr>
          <w:rFonts w:ascii="Times New Roman" w:eastAsia="Times New Roman" w:hAnsi="Times New Roman" w:cs="Times New Roman"/>
          <w:b/>
          <w:bCs/>
          <w:noProof/>
          <w:sz w:val="24"/>
          <w:szCs w:val="24"/>
          <w:lang w:eastAsia="ru-RU"/>
        </w:rPr>
        <w:drawing>
          <wp:inline distT="0" distB="0" distL="0" distR="0" wp14:anchorId="1E2A054A" wp14:editId="4D199D28">
            <wp:extent cx="5918269" cy="3397154"/>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1788" cy="3404914"/>
                    </a:xfrm>
                    <a:prstGeom prst="rect">
                      <a:avLst/>
                    </a:prstGeom>
                    <a:noFill/>
                  </pic:spPr>
                </pic:pic>
              </a:graphicData>
            </a:graphic>
          </wp:inline>
        </w:drawing>
      </w:r>
    </w:p>
    <w:p w:rsidR="00BB0118" w:rsidRPr="00A852FD" w:rsidRDefault="00F951B7" w:rsidP="00BB0118">
      <w:pPr>
        <w:spacing w:before="240" w:after="24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b/>
          <w:bCs/>
          <w:sz w:val="24"/>
          <w:szCs w:val="24"/>
          <w:lang w:val="en-US" w:eastAsia="ru-RU"/>
        </w:rPr>
        <w:t>Table S</w:t>
      </w:r>
      <w:r w:rsidR="0069099D" w:rsidRPr="00A852FD">
        <w:rPr>
          <w:rFonts w:ascii="Times New Roman" w:eastAsia="Times New Roman" w:hAnsi="Times New Roman" w:cs="Times New Roman"/>
          <w:b/>
          <w:bCs/>
          <w:sz w:val="24"/>
          <w:szCs w:val="24"/>
          <w:lang w:val="en-US" w:eastAsia="ru-RU"/>
        </w:rPr>
        <w:t>5</w:t>
      </w:r>
      <w:r w:rsidR="00BB0118" w:rsidRPr="00A852FD">
        <w:rPr>
          <w:rFonts w:ascii="Times New Roman" w:eastAsia="Times New Roman" w:hAnsi="Times New Roman" w:cs="Times New Roman"/>
          <w:b/>
          <w:bCs/>
          <w:sz w:val="24"/>
          <w:szCs w:val="24"/>
          <w:lang w:val="en-US" w:eastAsia="ru-RU"/>
        </w:rPr>
        <w:t xml:space="preserve">. </w:t>
      </w:r>
      <w:r w:rsidR="00BB0118" w:rsidRPr="00A852FD">
        <w:rPr>
          <w:rFonts w:ascii="Times New Roman" w:eastAsia="Times New Roman" w:hAnsi="Times New Roman" w:cs="Times New Roman"/>
          <w:sz w:val="24"/>
          <w:szCs w:val="24"/>
          <w:lang w:val="en-US" w:eastAsia="ru-RU"/>
        </w:rPr>
        <w:t>FLIM data of the FAD in MSCs on homogeneous and heterogeneous scaffolds during cultivation in DMEM and in a medium for the induction of osteogenic differentiation.</w:t>
      </w:r>
    </w:p>
    <w:p w:rsidR="00BB0118" w:rsidRPr="00A852FD" w:rsidRDefault="00BB0118" w:rsidP="00BB0118">
      <w:pPr>
        <w:spacing w:before="240" w:after="24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noProof/>
          <w:sz w:val="24"/>
          <w:szCs w:val="24"/>
          <w:lang w:eastAsia="ru-RU"/>
        </w:rPr>
        <w:drawing>
          <wp:inline distT="0" distB="0" distL="0" distR="0" wp14:anchorId="6AAEE6FD" wp14:editId="52E0617C">
            <wp:extent cx="5905041" cy="3389561"/>
            <wp:effectExtent l="0" t="0" r="635"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25844" cy="3401502"/>
                    </a:xfrm>
                    <a:prstGeom prst="rect">
                      <a:avLst/>
                    </a:prstGeom>
                    <a:noFill/>
                  </pic:spPr>
                </pic:pic>
              </a:graphicData>
            </a:graphic>
          </wp:inline>
        </w:drawing>
      </w:r>
    </w:p>
    <w:p w:rsidR="00BB0118" w:rsidRPr="00A852FD" w:rsidRDefault="00BB0118" w:rsidP="00BB0118">
      <w:pPr>
        <w:spacing w:before="240" w:after="240" w:line="240" w:lineRule="auto"/>
        <w:jc w:val="center"/>
        <w:rPr>
          <w:rFonts w:ascii="Times New Roman" w:eastAsia="Times New Roman" w:hAnsi="Times New Roman" w:cs="Times New Roman"/>
          <w:sz w:val="24"/>
          <w:szCs w:val="24"/>
          <w:lang w:eastAsia="ru-RU"/>
        </w:rPr>
      </w:pPr>
      <w:r w:rsidRPr="00A852FD">
        <w:rPr>
          <w:rFonts w:ascii="Times New Roman" w:eastAsia="Times New Roman" w:hAnsi="Times New Roman" w:cs="Times New Roman"/>
          <w:b/>
          <w:bCs/>
          <w:noProof/>
          <w:sz w:val="24"/>
          <w:szCs w:val="24"/>
          <w:bdr w:val="none" w:sz="0" w:space="0" w:color="auto" w:frame="1"/>
          <w:lang w:eastAsia="ru-RU"/>
        </w:rPr>
        <w:lastRenderedPageBreak/>
        <w:drawing>
          <wp:inline distT="0" distB="0" distL="0" distR="0" wp14:anchorId="0508A944" wp14:editId="385259AA">
            <wp:extent cx="2601293" cy="2071171"/>
            <wp:effectExtent l="0" t="0" r="8890" b="5715"/>
            <wp:docPr id="4" name="Рисунок 4" descr="https://lh4.googleusercontent.com/Uh0uHR16wZj9LgFDN_pcT1ewW77FkDYN3YHIIe_Ts2bDe0aKybdhGdnOiiNCuMnR2acMrSQ9qvi6yZMoxiYhRpV9IF2zcsbI-YfTIluo10N6H3MWaW-pDeU8DEEK-1EmTyjB7yBUogey7l1t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4.googleusercontent.com/Uh0uHR16wZj9LgFDN_pcT1ewW77FkDYN3YHIIe_Ts2bDe0aKybdhGdnOiiNCuMnR2acMrSQ9qvi6yZMoxiYhRpV9IF2zcsbI-YfTIluo10N6H3MWaW-pDeU8DEEK-1EmTyjB7yBUogey7l1tS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4222" cy="2097390"/>
                    </a:xfrm>
                    <a:prstGeom prst="rect">
                      <a:avLst/>
                    </a:prstGeom>
                    <a:noFill/>
                    <a:ln>
                      <a:noFill/>
                    </a:ln>
                  </pic:spPr>
                </pic:pic>
              </a:graphicData>
            </a:graphic>
          </wp:inline>
        </w:drawing>
      </w:r>
    </w:p>
    <w:p w:rsidR="00BB0118" w:rsidRPr="00A852FD" w:rsidRDefault="00F951B7" w:rsidP="00BB0118">
      <w:pPr>
        <w:spacing w:before="240" w:after="24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b/>
          <w:bCs/>
          <w:sz w:val="24"/>
          <w:szCs w:val="24"/>
          <w:lang w:val="en-US" w:eastAsia="ru-RU"/>
        </w:rPr>
        <w:t>Figure S</w:t>
      </w:r>
      <w:r w:rsidR="00C05432" w:rsidRPr="00A852FD">
        <w:rPr>
          <w:rFonts w:ascii="Times New Roman" w:eastAsia="Times New Roman" w:hAnsi="Times New Roman" w:cs="Times New Roman"/>
          <w:b/>
          <w:bCs/>
          <w:sz w:val="24"/>
          <w:szCs w:val="24"/>
          <w:lang w:val="en-US" w:eastAsia="ru-RU"/>
        </w:rPr>
        <w:t>2</w:t>
      </w:r>
      <w:r w:rsidR="00BB0118" w:rsidRPr="00A852FD">
        <w:rPr>
          <w:rFonts w:ascii="Times New Roman" w:eastAsia="Times New Roman" w:hAnsi="Times New Roman" w:cs="Times New Roman"/>
          <w:b/>
          <w:bCs/>
          <w:sz w:val="24"/>
          <w:szCs w:val="24"/>
          <w:lang w:val="en-US" w:eastAsia="ru-RU"/>
        </w:rPr>
        <w:t xml:space="preserve">. </w:t>
      </w:r>
      <w:r w:rsidR="00BB0118" w:rsidRPr="00A852FD">
        <w:rPr>
          <w:rFonts w:ascii="Times New Roman" w:eastAsia="Times New Roman" w:hAnsi="Times New Roman" w:cs="Times New Roman"/>
          <w:sz w:val="24"/>
          <w:szCs w:val="24"/>
          <w:lang w:val="en-US" w:eastAsia="ru-RU"/>
        </w:rPr>
        <w:t xml:space="preserve">An example of the force versus indentation curve together with the Hertz’s model fit (fit of the approach part of the curve). </w:t>
      </w:r>
    </w:p>
    <w:p w:rsidR="00BB0118" w:rsidRPr="00A852FD" w:rsidRDefault="00BB0118" w:rsidP="00BB0118">
      <w:pPr>
        <w:spacing w:before="240" w:after="24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noProof/>
          <w:sz w:val="24"/>
          <w:szCs w:val="24"/>
          <w:bdr w:val="none" w:sz="0" w:space="0" w:color="auto" w:frame="1"/>
          <w:lang w:eastAsia="ru-RU"/>
        </w:rPr>
        <w:drawing>
          <wp:inline distT="0" distB="0" distL="0" distR="0" wp14:anchorId="4A469EEE" wp14:editId="124BF7F1">
            <wp:extent cx="5003800" cy="4756150"/>
            <wp:effectExtent l="0" t="0" r="6350" b="6350"/>
            <wp:docPr id="3" name="Рисунок 3" descr="https://lh3.googleusercontent.com/pV1URMkZgZz3skTNZ-FDMx87pLxKa5v9XZlG2zfMQh90yQBQUJjh0agTsf8rjex5zhxlJuj3p3X2pnAYFyFLjI-LH5IsxuTE72OtVsB9H90TwqOt4Zk-Odi59X_nfCJAc1EpH91OtJ-itmeC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V1URMkZgZz3skTNZ-FDMx87pLxKa5v9XZlG2zfMQh90yQBQUJjh0agTsf8rjex5zhxlJuj3p3X2pnAYFyFLjI-LH5IsxuTE72OtVsB9H90TwqOt4Zk-Odi59X_nfCJAc1EpH91OtJ-itmeCu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03800" cy="4756150"/>
                    </a:xfrm>
                    <a:prstGeom prst="rect">
                      <a:avLst/>
                    </a:prstGeom>
                    <a:noFill/>
                    <a:ln>
                      <a:noFill/>
                    </a:ln>
                  </pic:spPr>
                </pic:pic>
              </a:graphicData>
            </a:graphic>
          </wp:inline>
        </w:drawing>
      </w:r>
    </w:p>
    <w:p w:rsidR="00BB0118" w:rsidRPr="00A852FD" w:rsidRDefault="00F951B7" w:rsidP="00BB0118">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b/>
          <w:bCs/>
          <w:sz w:val="24"/>
          <w:szCs w:val="24"/>
          <w:lang w:val="en-US" w:eastAsia="ru-RU"/>
        </w:rPr>
        <w:t>Figure S</w:t>
      </w:r>
      <w:r w:rsidR="00C05432" w:rsidRPr="00A852FD">
        <w:rPr>
          <w:rFonts w:ascii="Times New Roman" w:eastAsia="Times New Roman" w:hAnsi="Times New Roman" w:cs="Times New Roman"/>
          <w:b/>
          <w:bCs/>
          <w:sz w:val="24"/>
          <w:szCs w:val="24"/>
          <w:lang w:val="en-US" w:eastAsia="ru-RU"/>
        </w:rPr>
        <w:t>3</w:t>
      </w:r>
      <w:r w:rsidR="00BB0118" w:rsidRPr="00A852FD">
        <w:rPr>
          <w:rFonts w:ascii="Times New Roman" w:eastAsia="Times New Roman" w:hAnsi="Times New Roman" w:cs="Times New Roman"/>
          <w:b/>
          <w:bCs/>
          <w:sz w:val="24"/>
          <w:szCs w:val="24"/>
          <w:lang w:val="en-US" w:eastAsia="ru-RU"/>
        </w:rPr>
        <w:t xml:space="preserve">. (a) </w:t>
      </w:r>
      <w:r w:rsidR="00BB0118" w:rsidRPr="00A852FD">
        <w:rPr>
          <w:rFonts w:ascii="Times New Roman" w:eastAsia="Times New Roman" w:hAnsi="Times New Roman" w:cs="Times New Roman"/>
          <w:sz w:val="24"/>
          <w:szCs w:val="24"/>
          <w:lang w:val="en-US" w:eastAsia="ru-RU"/>
        </w:rPr>
        <w:t xml:space="preserve">Autofluorescence and optical redox ratio images of NAD(P)H and FAD in MSCs on homogeneous and heterogeneous scaffolds before implantation. Field of view 213 × 213 µm (1024 × 1024 pixels); x400; </w:t>
      </w:r>
      <w:r w:rsidR="00BB0118" w:rsidRPr="00A852FD">
        <w:rPr>
          <w:rFonts w:ascii="Times New Roman" w:eastAsia="Times New Roman" w:hAnsi="Times New Roman" w:cs="Times New Roman"/>
          <w:b/>
          <w:bCs/>
          <w:sz w:val="24"/>
          <w:szCs w:val="24"/>
          <w:lang w:val="en-US" w:eastAsia="ru-RU"/>
        </w:rPr>
        <w:t>(b)</w:t>
      </w:r>
      <w:r w:rsidR="00BB0118" w:rsidRPr="00A852FD">
        <w:rPr>
          <w:rFonts w:ascii="Times New Roman" w:eastAsia="Times New Roman" w:hAnsi="Times New Roman" w:cs="Times New Roman"/>
          <w:sz w:val="24"/>
          <w:szCs w:val="24"/>
          <w:lang w:val="en-US" w:eastAsia="ru-RU"/>
        </w:rPr>
        <w:t xml:space="preserve"> analysis of the viability of MSCs on scaffolds, stained with calcein and propidium iodide, cell nuclei stained with Hoekst; x400;</w:t>
      </w:r>
      <w:r w:rsidR="00BB0118" w:rsidRPr="00A852FD">
        <w:rPr>
          <w:rFonts w:ascii="Times New Roman" w:eastAsia="Times New Roman" w:hAnsi="Times New Roman" w:cs="Times New Roman"/>
          <w:b/>
          <w:bCs/>
          <w:sz w:val="24"/>
          <w:szCs w:val="24"/>
          <w:lang w:val="en-US" w:eastAsia="ru-RU"/>
        </w:rPr>
        <w:t xml:space="preserve">( c) </w:t>
      </w:r>
      <w:r w:rsidR="00BB0118" w:rsidRPr="00A852FD">
        <w:rPr>
          <w:rFonts w:ascii="Times New Roman" w:eastAsia="Times New Roman" w:hAnsi="Times New Roman" w:cs="Times New Roman"/>
          <w:sz w:val="24"/>
          <w:szCs w:val="24"/>
          <w:lang w:val="en-US" w:eastAsia="ru-RU"/>
        </w:rPr>
        <w:t>fluorescence lifetime contribution of the bound form of NAD(P)H in MSCs on homogeneous and heterogeneous scaffolds before implantation; Mean±SD.</w:t>
      </w:r>
    </w:p>
    <w:p w:rsidR="00BB0118" w:rsidRPr="00A852FD" w:rsidRDefault="00BB0118" w:rsidP="00BB0118">
      <w:pPr>
        <w:spacing w:after="0" w:line="240" w:lineRule="auto"/>
        <w:jc w:val="both"/>
        <w:rPr>
          <w:rFonts w:ascii="Times New Roman" w:eastAsia="Times New Roman" w:hAnsi="Times New Roman" w:cs="Times New Roman"/>
          <w:sz w:val="24"/>
          <w:szCs w:val="24"/>
          <w:lang w:val="en-US" w:eastAsia="ru-RU"/>
        </w:rPr>
      </w:pPr>
    </w:p>
    <w:p w:rsidR="00BB0118" w:rsidRPr="00A852FD" w:rsidRDefault="00BB0118" w:rsidP="00BB0118">
      <w:pPr>
        <w:spacing w:after="0" w:line="240" w:lineRule="auto"/>
        <w:jc w:val="both"/>
        <w:rPr>
          <w:rFonts w:ascii="Times New Roman" w:eastAsia="Times New Roman" w:hAnsi="Times New Roman" w:cs="Times New Roman"/>
          <w:sz w:val="24"/>
          <w:szCs w:val="24"/>
          <w:lang w:val="en-US" w:eastAsia="ru-RU"/>
        </w:rPr>
      </w:pPr>
    </w:p>
    <w:p w:rsidR="00BB0118" w:rsidRPr="00A852FD" w:rsidRDefault="00BB0118" w:rsidP="00BB0118">
      <w:pPr>
        <w:spacing w:after="0" w:line="240" w:lineRule="auto"/>
        <w:jc w:val="both"/>
        <w:rPr>
          <w:rFonts w:ascii="Times New Roman" w:eastAsia="Times New Roman" w:hAnsi="Times New Roman" w:cs="Times New Roman"/>
          <w:sz w:val="24"/>
          <w:szCs w:val="24"/>
          <w:lang w:eastAsia="ru-RU"/>
        </w:rPr>
      </w:pPr>
      <w:r w:rsidRPr="00A852FD">
        <w:rPr>
          <w:rFonts w:ascii="Times New Roman" w:eastAsia="Times New Roman" w:hAnsi="Times New Roman" w:cs="Times New Roman"/>
          <w:noProof/>
          <w:sz w:val="24"/>
          <w:szCs w:val="24"/>
          <w:bdr w:val="none" w:sz="0" w:space="0" w:color="auto" w:frame="1"/>
          <w:lang w:eastAsia="ru-RU"/>
        </w:rPr>
        <w:lastRenderedPageBreak/>
        <w:drawing>
          <wp:inline distT="0" distB="0" distL="0" distR="0" wp14:anchorId="0773861C" wp14:editId="75ECA46E">
            <wp:extent cx="5187950" cy="4660900"/>
            <wp:effectExtent l="0" t="0" r="0" b="6350"/>
            <wp:docPr id="2" name="Рисунок 2" descr="https://lh6.googleusercontent.com/617J9v65vvfNOAQpfXMpJ4QkVYictUh1DJmCBXnt3MfyyxA8gzgTwYyAyJ3j4mXEOZAw46phMP31so67D2qin0ecJQAwVFGMXuWyhA4rz0_z1j-Uq6APbncokzTZkQ3eI-akqmeF6WRz5FAG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6.googleusercontent.com/617J9v65vvfNOAQpfXMpJ4QkVYictUh1DJmCBXnt3MfyyxA8gzgTwYyAyJ3j4mXEOZAw46phMP31so67D2qin0ecJQAwVFGMXuWyhA4rz0_z1j-Uq6APbncokzTZkQ3eI-akqmeF6WRz5FAGC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87950" cy="4660900"/>
                    </a:xfrm>
                    <a:prstGeom prst="rect">
                      <a:avLst/>
                    </a:prstGeom>
                    <a:noFill/>
                    <a:ln>
                      <a:noFill/>
                    </a:ln>
                  </pic:spPr>
                </pic:pic>
              </a:graphicData>
            </a:graphic>
          </wp:inline>
        </w:drawing>
      </w:r>
    </w:p>
    <w:p w:rsidR="00BB0118" w:rsidRPr="00A852FD" w:rsidRDefault="00F951B7" w:rsidP="00BB0118">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b/>
          <w:bCs/>
          <w:sz w:val="24"/>
          <w:szCs w:val="24"/>
          <w:lang w:val="en-US" w:eastAsia="ru-RU"/>
        </w:rPr>
        <w:t>Figure S</w:t>
      </w:r>
      <w:r w:rsidR="00C05432" w:rsidRPr="00A852FD">
        <w:rPr>
          <w:rFonts w:ascii="Times New Roman" w:eastAsia="Times New Roman" w:hAnsi="Times New Roman" w:cs="Times New Roman"/>
          <w:b/>
          <w:bCs/>
          <w:sz w:val="24"/>
          <w:szCs w:val="24"/>
          <w:lang w:val="en-US" w:eastAsia="ru-RU"/>
        </w:rPr>
        <w:t>4</w:t>
      </w:r>
      <w:r w:rsidR="00BB0118" w:rsidRPr="00A852FD">
        <w:rPr>
          <w:rFonts w:ascii="Times New Roman" w:eastAsia="Times New Roman" w:hAnsi="Times New Roman" w:cs="Times New Roman"/>
          <w:b/>
          <w:bCs/>
          <w:sz w:val="24"/>
          <w:szCs w:val="24"/>
          <w:lang w:val="en-US" w:eastAsia="ru-RU"/>
        </w:rPr>
        <w:t>.</w:t>
      </w:r>
      <w:r w:rsidR="00BB0118" w:rsidRPr="00A852FD">
        <w:rPr>
          <w:rFonts w:ascii="Times New Roman" w:eastAsia="Times New Roman" w:hAnsi="Times New Roman" w:cs="Times New Roman"/>
          <w:sz w:val="24"/>
          <w:szCs w:val="24"/>
          <w:lang w:val="en-US" w:eastAsia="ru-RU"/>
        </w:rPr>
        <w:t xml:space="preserve"> FLIM images of </w:t>
      </w:r>
      <w:r w:rsidR="00BB0118" w:rsidRPr="00A852FD">
        <w:rPr>
          <w:rFonts w:ascii="Times New Roman" w:eastAsia="Times New Roman" w:hAnsi="Times New Roman" w:cs="Times New Roman"/>
          <w:b/>
          <w:bCs/>
          <w:sz w:val="24"/>
          <w:szCs w:val="24"/>
          <w:lang w:val="en-US" w:eastAsia="ru-RU"/>
        </w:rPr>
        <w:t>(a)</w:t>
      </w:r>
      <w:r w:rsidR="00BB0118" w:rsidRPr="00A852FD">
        <w:rPr>
          <w:rFonts w:ascii="Times New Roman" w:eastAsia="Times New Roman" w:hAnsi="Times New Roman" w:cs="Times New Roman"/>
          <w:sz w:val="24"/>
          <w:szCs w:val="24"/>
          <w:lang w:val="en-US" w:eastAsia="ru-RU"/>
        </w:rPr>
        <w:t xml:space="preserve"> NAD(P)H and </w:t>
      </w:r>
      <w:r w:rsidR="00BB0118" w:rsidRPr="00A852FD">
        <w:rPr>
          <w:rFonts w:ascii="Times New Roman" w:eastAsia="Times New Roman" w:hAnsi="Times New Roman" w:cs="Times New Roman"/>
          <w:b/>
          <w:bCs/>
          <w:sz w:val="24"/>
          <w:szCs w:val="24"/>
          <w:lang w:val="en-US" w:eastAsia="ru-RU"/>
        </w:rPr>
        <w:t>(c)</w:t>
      </w:r>
      <w:r w:rsidR="00BB0118" w:rsidRPr="00A852FD">
        <w:rPr>
          <w:rFonts w:ascii="Times New Roman" w:eastAsia="Times New Roman" w:hAnsi="Times New Roman" w:cs="Times New Roman"/>
          <w:sz w:val="24"/>
          <w:szCs w:val="24"/>
          <w:lang w:val="en-US" w:eastAsia="ru-RU"/>
        </w:rPr>
        <w:t xml:space="preserve"> FAD in MSCs on homogeneous and heterogeneous scaffolds before implantation; field of view 213 × 213 </w:t>
      </w:r>
      <w:r w:rsidR="00BB0118" w:rsidRPr="00A852FD">
        <w:rPr>
          <w:rFonts w:ascii="Times New Roman" w:eastAsia="Times New Roman" w:hAnsi="Times New Roman" w:cs="Times New Roman"/>
          <w:sz w:val="24"/>
          <w:szCs w:val="24"/>
          <w:lang w:eastAsia="ru-RU"/>
        </w:rPr>
        <w:t>μ</w:t>
      </w:r>
      <w:r w:rsidR="00BB0118" w:rsidRPr="00A852FD">
        <w:rPr>
          <w:rFonts w:ascii="Times New Roman" w:eastAsia="Times New Roman" w:hAnsi="Times New Roman" w:cs="Times New Roman"/>
          <w:sz w:val="24"/>
          <w:szCs w:val="24"/>
          <w:lang w:val="en-US" w:eastAsia="ru-RU"/>
        </w:rPr>
        <w:t xml:space="preserve">m (512 × 512 pixels); x400; </w:t>
      </w:r>
      <w:r w:rsidR="00BB0118" w:rsidRPr="00A852FD">
        <w:rPr>
          <w:rFonts w:ascii="Times New Roman" w:eastAsia="Times New Roman" w:hAnsi="Times New Roman" w:cs="Times New Roman"/>
          <w:b/>
          <w:bCs/>
          <w:sz w:val="24"/>
          <w:szCs w:val="24"/>
          <w:lang w:val="en-US" w:eastAsia="ru-RU"/>
        </w:rPr>
        <w:t>(</w:t>
      </w:r>
      <w:r w:rsidR="00BB0118" w:rsidRPr="00A852FD">
        <w:rPr>
          <w:rFonts w:ascii="Times New Roman" w:eastAsia="Times New Roman" w:hAnsi="Times New Roman" w:cs="Times New Roman"/>
          <w:b/>
          <w:bCs/>
          <w:sz w:val="24"/>
          <w:szCs w:val="24"/>
          <w:lang w:eastAsia="ru-RU"/>
        </w:rPr>
        <w:t>с</w:t>
      </w:r>
      <w:r w:rsidR="00BB0118" w:rsidRPr="00A852FD">
        <w:rPr>
          <w:rFonts w:ascii="Times New Roman" w:eastAsia="Times New Roman" w:hAnsi="Times New Roman" w:cs="Times New Roman"/>
          <w:b/>
          <w:bCs/>
          <w:sz w:val="24"/>
          <w:szCs w:val="24"/>
          <w:lang w:val="en-US" w:eastAsia="ru-RU"/>
        </w:rPr>
        <w:t xml:space="preserve">) </w:t>
      </w:r>
      <w:r w:rsidR="00BB0118" w:rsidRPr="00A852FD">
        <w:rPr>
          <w:rFonts w:ascii="Times New Roman" w:eastAsia="Times New Roman" w:hAnsi="Times New Roman" w:cs="Times New Roman"/>
          <w:sz w:val="24"/>
          <w:szCs w:val="24"/>
          <w:lang w:val="en-US" w:eastAsia="ru-RU"/>
        </w:rPr>
        <w:t xml:space="preserve">Fluorescence lifetime contributions of the bound form of </w:t>
      </w:r>
      <w:r w:rsidR="00BB0118" w:rsidRPr="00A852FD">
        <w:rPr>
          <w:rFonts w:ascii="Times New Roman" w:eastAsia="Times New Roman" w:hAnsi="Times New Roman" w:cs="Times New Roman"/>
          <w:b/>
          <w:bCs/>
          <w:sz w:val="24"/>
          <w:szCs w:val="24"/>
          <w:lang w:val="en-US" w:eastAsia="ru-RU"/>
        </w:rPr>
        <w:t>(b)</w:t>
      </w:r>
      <w:r w:rsidR="00BB0118" w:rsidRPr="00A852FD">
        <w:rPr>
          <w:rFonts w:ascii="Times New Roman" w:eastAsia="Times New Roman" w:hAnsi="Times New Roman" w:cs="Times New Roman"/>
          <w:sz w:val="24"/>
          <w:szCs w:val="24"/>
          <w:lang w:val="en-US" w:eastAsia="ru-RU"/>
        </w:rPr>
        <w:t xml:space="preserve"> NAD(P)H and </w:t>
      </w:r>
      <w:r w:rsidR="00BB0118" w:rsidRPr="00A852FD">
        <w:rPr>
          <w:rFonts w:ascii="Times New Roman" w:eastAsia="Times New Roman" w:hAnsi="Times New Roman" w:cs="Times New Roman"/>
          <w:b/>
          <w:bCs/>
          <w:sz w:val="24"/>
          <w:szCs w:val="24"/>
          <w:lang w:val="en-US" w:eastAsia="ru-RU"/>
        </w:rPr>
        <w:t xml:space="preserve">(d) </w:t>
      </w:r>
      <w:r w:rsidR="00BB0118" w:rsidRPr="00A852FD">
        <w:rPr>
          <w:rFonts w:ascii="Times New Roman" w:eastAsia="Times New Roman" w:hAnsi="Times New Roman" w:cs="Times New Roman"/>
          <w:sz w:val="24"/>
          <w:szCs w:val="24"/>
          <w:lang w:val="en-US" w:eastAsia="ru-RU"/>
        </w:rPr>
        <w:t>FAD in MSCs on homogeneous and heterogeneous scaffolds  before implantation; Mean±SD.</w:t>
      </w:r>
    </w:p>
    <w:p w:rsidR="00BB0118" w:rsidRPr="00A852FD" w:rsidRDefault="00BB0118" w:rsidP="00BB0118">
      <w:pPr>
        <w:spacing w:after="0" w:line="240" w:lineRule="auto"/>
        <w:jc w:val="both"/>
        <w:rPr>
          <w:rFonts w:ascii="Times New Roman" w:eastAsia="Times New Roman" w:hAnsi="Times New Roman" w:cs="Times New Roman"/>
          <w:sz w:val="24"/>
          <w:szCs w:val="24"/>
          <w:lang w:val="en-US" w:eastAsia="ru-RU"/>
        </w:rPr>
      </w:pPr>
    </w:p>
    <w:p w:rsidR="00BB0118" w:rsidRPr="00A852FD" w:rsidRDefault="00BB0118" w:rsidP="00BB0118">
      <w:pPr>
        <w:spacing w:after="0" w:line="240" w:lineRule="auto"/>
        <w:jc w:val="both"/>
        <w:rPr>
          <w:rFonts w:ascii="Times New Roman" w:eastAsia="Times New Roman" w:hAnsi="Times New Roman" w:cs="Times New Roman"/>
          <w:i/>
          <w:sz w:val="24"/>
          <w:szCs w:val="24"/>
          <w:lang w:val="en-US" w:eastAsia="ru-RU"/>
        </w:rPr>
      </w:pPr>
      <w:r w:rsidRPr="00A852FD">
        <w:rPr>
          <w:rFonts w:ascii="Times New Roman" w:eastAsia="Times New Roman" w:hAnsi="Times New Roman" w:cs="Times New Roman"/>
          <w:i/>
          <w:sz w:val="24"/>
          <w:szCs w:val="24"/>
          <w:lang w:val="en-US" w:eastAsia="ru-RU"/>
        </w:rPr>
        <w:t>Real-time PCR</w:t>
      </w:r>
    </w:p>
    <w:p w:rsidR="008124AC" w:rsidRPr="00A852FD" w:rsidRDefault="008124AC" w:rsidP="00A3106F">
      <w:pPr>
        <w:spacing w:after="0" w:line="240" w:lineRule="auto"/>
        <w:jc w:val="both"/>
        <w:rPr>
          <w:rFonts w:ascii="Times New Roman" w:eastAsia="Times New Roman" w:hAnsi="Times New Roman" w:cs="Times New Roman"/>
          <w:lang w:val="en-US" w:eastAsia="ru-RU"/>
        </w:rPr>
      </w:pPr>
    </w:p>
    <w:p w:rsidR="00F03187" w:rsidRPr="00A852FD" w:rsidRDefault="00F03187" w:rsidP="00BB0118">
      <w:pPr>
        <w:spacing w:after="0" w:line="240" w:lineRule="auto"/>
        <w:jc w:val="both"/>
        <w:rPr>
          <w:rFonts w:ascii="Times New Roman" w:eastAsia="Times New Roman" w:hAnsi="Times New Roman" w:cs="Times New Roman"/>
          <w:lang w:val="en-US" w:eastAsia="ru-RU"/>
        </w:rPr>
      </w:pPr>
      <w:r w:rsidRPr="00A852FD">
        <w:rPr>
          <w:rFonts w:ascii="Times New Roman" w:eastAsia="Times New Roman" w:hAnsi="Times New Roman" w:cs="Times New Roman"/>
          <w:lang w:val="en-US" w:eastAsia="ru-RU"/>
        </w:rPr>
        <w:t>To evaluate the expression profiles of MSCs cultivated on scaffolds, we obtained data using Real-time RT-PCR. Runx2 is an important transcription factor for osteoblast differentiation, matrix formation, and mineralization during bone formation because Runx2 regulates downstream genes that determine the osteoblast phenotype and function in the early stages of osteogenesis</w:t>
      </w:r>
      <w:r w:rsidR="00A3106F" w:rsidRPr="00A852FD">
        <w:rPr>
          <w:rFonts w:ascii="Times New Roman" w:eastAsia="Times New Roman" w:hAnsi="Times New Roman" w:cs="Times New Roman"/>
          <w:lang w:val="en-US" w:eastAsia="ru-RU"/>
        </w:rPr>
        <w:t xml:space="preserve"> [1]. </w:t>
      </w:r>
      <w:r w:rsidRPr="00A852FD">
        <w:rPr>
          <w:rFonts w:ascii="Times New Roman" w:eastAsia="Times New Roman" w:hAnsi="Times New Roman" w:cs="Times New Roman"/>
          <w:lang w:val="en-US" w:eastAsia="ru-RU"/>
        </w:rPr>
        <w:t xml:space="preserve">On the 28th day of cultivation in control medium, we observed a sharp increase in the level of RUNX2 in MSCs on the heterogeneous scaffolds (by 6.1 times (p-value ≤ 0.05) compared to those on homogeneous scaffolds). Such an increase in expression may indicate spontaneous induction of osteogenic differentiation due to the osteogenic properties of the scaffold (Figure S5a). In MSCs on both types of scaffolds cultured in osteogenic medium, we did not observe any increase in the RUNX2 level although that lack of apparent change during the experimental sampling period could have been due to an early activation of expression of this gene, that we were unable to capture. (Figure S5b). </w:t>
      </w:r>
    </w:p>
    <w:p w:rsidR="00BB0118" w:rsidRPr="00A852FD" w:rsidRDefault="00BB0118" w:rsidP="00F03187">
      <w:pPr>
        <w:spacing w:after="0" w:line="240" w:lineRule="auto"/>
        <w:jc w:val="center"/>
        <w:rPr>
          <w:rFonts w:ascii="Times New Roman" w:eastAsia="Times New Roman" w:hAnsi="Times New Roman" w:cs="Times New Roman"/>
          <w:sz w:val="24"/>
          <w:szCs w:val="24"/>
          <w:lang w:eastAsia="ru-RU"/>
        </w:rPr>
      </w:pPr>
      <w:r w:rsidRPr="00A852FD">
        <w:rPr>
          <w:rFonts w:ascii="Times New Roman" w:eastAsia="Times New Roman" w:hAnsi="Times New Roman" w:cs="Times New Roman"/>
          <w:noProof/>
          <w:sz w:val="24"/>
          <w:szCs w:val="24"/>
          <w:bdr w:val="none" w:sz="0" w:space="0" w:color="auto" w:frame="1"/>
          <w:lang w:eastAsia="ru-RU"/>
        </w:rPr>
        <w:lastRenderedPageBreak/>
        <w:drawing>
          <wp:inline distT="0" distB="0" distL="0" distR="0" wp14:anchorId="126CFC03" wp14:editId="7A0CAFDD">
            <wp:extent cx="4921250" cy="4572000"/>
            <wp:effectExtent l="0" t="0" r="0" b="0"/>
            <wp:docPr id="1" name="Рисунок 1" descr="https://lh6.googleusercontent.com/EcbLxVSqvs_OinzxEUB5sOJGdjTAX5zHFe2W7G3wirtqumitJvo5IvVIHcY8_F7gv4IjXZMyO6LY6gC8Au7zkyw7YdlvH70JpYJw9iu7IueiXiCoVsXDqWa0H4S522sWlhVvTLSZvZt2blA-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6.googleusercontent.com/EcbLxVSqvs_OinzxEUB5sOJGdjTAX5zHFe2W7G3wirtqumitJvo5IvVIHcY8_F7gv4IjXZMyO6LY6gC8Au7zkyw7YdlvH70JpYJw9iu7IueiXiCoVsXDqWa0H4S522sWlhVvTLSZvZt2blA-_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21250" cy="4572000"/>
                    </a:xfrm>
                    <a:prstGeom prst="rect">
                      <a:avLst/>
                    </a:prstGeom>
                    <a:noFill/>
                    <a:ln>
                      <a:noFill/>
                    </a:ln>
                  </pic:spPr>
                </pic:pic>
              </a:graphicData>
            </a:graphic>
          </wp:inline>
        </w:drawing>
      </w:r>
    </w:p>
    <w:p w:rsidR="00F03187" w:rsidRPr="00A852FD" w:rsidRDefault="00BB0118" w:rsidP="00F03187">
      <w:pPr>
        <w:ind w:right="-1"/>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b/>
          <w:sz w:val="24"/>
          <w:szCs w:val="24"/>
          <w:lang w:val="en-US" w:eastAsia="ru-RU"/>
        </w:rPr>
        <w:t xml:space="preserve">Figure </w:t>
      </w:r>
      <w:r w:rsidR="00F951B7" w:rsidRPr="00A852FD">
        <w:rPr>
          <w:rFonts w:ascii="Times New Roman" w:eastAsia="Times New Roman" w:hAnsi="Times New Roman" w:cs="Times New Roman"/>
          <w:b/>
          <w:sz w:val="24"/>
          <w:szCs w:val="24"/>
          <w:lang w:val="en-US" w:eastAsia="ru-RU"/>
        </w:rPr>
        <w:t>S</w:t>
      </w:r>
      <w:r w:rsidR="00C05432" w:rsidRPr="00A852FD">
        <w:rPr>
          <w:rFonts w:ascii="Times New Roman" w:eastAsia="Times New Roman" w:hAnsi="Times New Roman" w:cs="Times New Roman"/>
          <w:b/>
          <w:sz w:val="24"/>
          <w:szCs w:val="24"/>
          <w:lang w:val="en-US" w:eastAsia="ru-RU"/>
        </w:rPr>
        <w:t>5</w:t>
      </w:r>
      <w:r w:rsidRPr="00A852FD">
        <w:rPr>
          <w:rFonts w:ascii="Times New Roman" w:eastAsia="Times New Roman" w:hAnsi="Times New Roman" w:cs="Times New Roman"/>
          <w:b/>
          <w:sz w:val="24"/>
          <w:szCs w:val="24"/>
          <w:lang w:val="en-US" w:eastAsia="ru-RU"/>
        </w:rPr>
        <w:t>.</w:t>
      </w:r>
      <w:r w:rsidRPr="00A852FD">
        <w:rPr>
          <w:rFonts w:ascii="Times New Roman" w:eastAsia="Times New Roman" w:hAnsi="Times New Roman" w:cs="Times New Roman"/>
          <w:sz w:val="24"/>
          <w:szCs w:val="24"/>
          <w:lang w:val="en-US" w:eastAsia="ru-RU"/>
        </w:rPr>
        <w:t xml:space="preserve"> Evaluation of multiple changes in the expression of gene-markers of osteogenesis relative to the first day of cultivation of MSCs on homogeneous scaffolds</w:t>
      </w:r>
      <w:r w:rsidR="00F03187" w:rsidRPr="00A852FD">
        <w:rPr>
          <w:rFonts w:ascii="Times New Roman" w:eastAsia="Times New Roman" w:hAnsi="Times New Roman" w:cs="Times New Roman"/>
          <w:sz w:val="24"/>
          <w:szCs w:val="24"/>
          <w:lang w:val="en-US" w:eastAsia="ru-RU"/>
        </w:rPr>
        <w:t>;  cultivation in (a) control medium and (b) osteogenic medium.</w:t>
      </w:r>
    </w:p>
    <w:p w:rsidR="00A3106F" w:rsidRPr="00A852FD" w:rsidRDefault="00F03187"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Collagen is the main component of the extracellular matrix, with type I collagen making up 90% of the organic matter of the bone matrix, it is also one of the key components of the MSC cell niche</w:t>
      </w:r>
      <w:r w:rsidR="00A3106F" w:rsidRPr="00A852FD">
        <w:rPr>
          <w:rFonts w:ascii="Times New Roman" w:eastAsia="Times New Roman" w:hAnsi="Times New Roman" w:cs="Times New Roman"/>
          <w:sz w:val="24"/>
          <w:szCs w:val="24"/>
          <w:lang w:val="en-US" w:eastAsia="ru-RU"/>
        </w:rPr>
        <w:t xml:space="preserve"> </w:t>
      </w:r>
      <w:r w:rsidR="004E016F" w:rsidRPr="00A852FD">
        <w:rPr>
          <w:rFonts w:ascii="Times New Roman" w:eastAsia="Times New Roman" w:hAnsi="Times New Roman" w:cs="Times New Roman"/>
          <w:sz w:val="24"/>
          <w:szCs w:val="24"/>
          <w:lang w:val="en-US" w:eastAsia="ru-RU"/>
        </w:rPr>
        <w:t>[2]</w:t>
      </w:r>
      <w:r w:rsidR="00A3106F" w:rsidRPr="00A852FD">
        <w:rPr>
          <w:rFonts w:ascii="Times New Roman" w:eastAsia="Times New Roman" w:hAnsi="Times New Roman" w:cs="Times New Roman"/>
          <w:sz w:val="24"/>
          <w:szCs w:val="24"/>
          <w:lang w:val="en-US" w:eastAsia="ru-RU"/>
        </w:rPr>
        <w:t xml:space="preserve">. </w:t>
      </w:r>
      <w:r w:rsidRPr="00A852FD">
        <w:rPr>
          <w:rFonts w:ascii="Times New Roman" w:eastAsia="Times New Roman" w:hAnsi="Times New Roman" w:cs="Times New Roman"/>
          <w:sz w:val="24"/>
          <w:szCs w:val="24"/>
          <w:lang w:val="en-US" w:eastAsia="ru-RU"/>
        </w:rPr>
        <w:t xml:space="preserve">During osteogenic differentiation, we could already observe a sharp up-regulation of COL1A1 by the 14th day of MSC cultivation on both types of scaffold, this trend persisting up to the 28th day (Figure S5b), which is consistent with the literature data </w:t>
      </w:r>
      <w:r w:rsidR="004E016F" w:rsidRPr="00A852FD">
        <w:rPr>
          <w:rFonts w:ascii="Times New Roman" w:eastAsia="Times New Roman" w:hAnsi="Times New Roman" w:cs="Times New Roman"/>
          <w:sz w:val="24"/>
          <w:szCs w:val="24"/>
          <w:lang w:val="en-US" w:eastAsia="ru-RU"/>
        </w:rPr>
        <w:t>[3,4]</w:t>
      </w:r>
      <w:r w:rsidR="00A3106F" w:rsidRPr="00A852FD">
        <w:rPr>
          <w:rFonts w:ascii="Times New Roman" w:eastAsia="Times New Roman" w:hAnsi="Times New Roman" w:cs="Times New Roman"/>
          <w:sz w:val="24"/>
          <w:szCs w:val="24"/>
          <w:lang w:val="en-US" w:eastAsia="ru-RU"/>
        </w:rPr>
        <w:t xml:space="preserve">. </w:t>
      </w:r>
    </w:p>
    <w:p w:rsidR="00A3106F" w:rsidRPr="00A852FD" w:rsidRDefault="00F03187"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 xml:space="preserve">Osteoprotegerin (OPG) is a soluble decoy receptor for RANKL and prevents RANKL from binding to RANK, thereby inhibiting osteoclast differentiation. Osteoblasts regulate osteoclast differentiation by secreting and expressing OPG and RANKL </w:t>
      </w:r>
      <w:r w:rsidR="00BE031D" w:rsidRPr="00A852FD">
        <w:rPr>
          <w:rFonts w:ascii="Arial" w:hAnsi="Arial" w:cs="Arial"/>
          <w:lang w:val="en-US"/>
        </w:rPr>
        <w:t>[5]</w:t>
      </w:r>
      <w:r w:rsidR="00A3106F" w:rsidRPr="00A852FD">
        <w:rPr>
          <w:rFonts w:ascii="Times New Roman" w:eastAsia="Times New Roman" w:hAnsi="Times New Roman" w:cs="Times New Roman"/>
          <w:sz w:val="24"/>
          <w:szCs w:val="24"/>
          <w:lang w:val="en-US" w:eastAsia="ru-RU"/>
        </w:rPr>
        <w:t xml:space="preserve">. </w:t>
      </w:r>
      <w:r w:rsidRPr="00A852FD">
        <w:rPr>
          <w:rFonts w:ascii="Times New Roman" w:eastAsia="Times New Roman" w:hAnsi="Times New Roman" w:cs="Times New Roman"/>
          <w:sz w:val="24"/>
          <w:szCs w:val="24"/>
          <w:lang w:val="en-US" w:eastAsia="ru-RU"/>
        </w:rPr>
        <w:t>It was shown that in MSCs on scaffolds cultivated in the control medium, a stable, increasing expression level of OPG occurred for both the homogeneous and heterogeneous scaffolds during cultivation (Figure S4a). During osteogenic differentiation, we also observed up-regulated OPG up to the 28th day, it being most pronounced for the heterogeneous scaffolds (1.7 times compared to the homogeneous scaffolds on the 28th day of cultivation, p-value ≤ 0.05) (Figure S5b). This is a favorable factor for increasing bone mass and bone regeneration</w:t>
      </w:r>
      <w:r w:rsidR="004E016F" w:rsidRPr="00A852FD">
        <w:rPr>
          <w:rFonts w:ascii="Times New Roman" w:eastAsia="Times New Roman" w:hAnsi="Times New Roman" w:cs="Times New Roman"/>
          <w:sz w:val="24"/>
          <w:szCs w:val="24"/>
          <w:lang w:val="en-US" w:eastAsia="ru-RU"/>
        </w:rPr>
        <w:t xml:space="preserve"> </w:t>
      </w:r>
      <w:r w:rsidR="00BE031D" w:rsidRPr="00A852FD">
        <w:rPr>
          <w:rFonts w:ascii="Times New Roman" w:eastAsia="Times New Roman" w:hAnsi="Times New Roman" w:cs="Times New Roman"/>
          <w:sz w:val="24"/>
          <w:szCs w:val="24"/>
          <w:lang w:val="en-US" w:eastAsia="ru-RU"/>
        </w:rPr>
        <w:t>[6]</w:t>
      </w:r>
      <w:r w:rsidR="004E016F" w:rsidRPr="00A852FD">
        <w:rPr>
          <w:rFonts w:ascii="Times New Roman" w:eastAsia="Times New Roman" w:hAnsi="Times New Roman" w:cs="Times New Roman"/>
          <w:sz w:val="24"/>
          <w:szCs w:val="24"/>
          <w:lang w:val="en-US" w:eastAsia="ru-RU"/>
        </w:rPr>
        <w:t>.</w:t>
      </w:r>
    </w:p>
    <w:p w:rsidR="00F03187" w:rsidRPr="00A852FD" w:rsidRDefault="00F03187"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In MSCs on scaffolds cultivated in the control medium, a gradual increase in the level of SDF-1 expression was shown, it being more actively expressed by undifferentiated MSCs</w:t>
      </w:r>
      <w:r w:rsidR="00A3106F" w:rsidRPr="00A852FD">
        <w:rPr>
          <w:rFonts w:ascii="Times New Roman" w:eastAsia="Times New Roman" w:hAnsi="Times New Roman" w:cs="Times New Roman"/>
          <w:sz w:val="24"/>
          <w:szCs w:val="24"/>
          <w:lang w:val="en-US" w:eastAsia="ru-RU"/>
        </w:rPr>
        <w:t xml:space="preserve"> </w:t>
      </w:r>
      <w:r w:rsidR="00BE031D" w:rsidRPr="00A852FD">
        <w:rPr>
          <w:rFonts w:ascii="Times New Roman" w:eastAsia="Times New Roman" w:hAnsi="Times New Roman" w:cs="Times New Roman"/>
          <w:sz w:val="24"/>
          <w:szCs w:val="24"/>
          <w:lang w:val="en-US" w:eastAsia="ru-RU"/>
        </w:rPr>
        <w:t>[7]</w:t>
      </w:r>
      <w:r w:rsidR="004E016F" w:rsidRPr="00A852FD">
        <w:rPr>
          <w:rFonts w:ascii="Times New Roman" w:eastAsia="Times New Roman" w:hAnsi="Times New Roman" w:cs="Times New Roman"/>
          <w:sz w:val="24"/>
          <w:szCs w:val="24"/>
          <w:lang w:val="en-US" w:eastAsia="ru-RU"/>
        </w:rPr>
        <w:t xml:space="preserve"> </w:t>
      </w:r>
      <w:r w:rsidRPr="00A852FD">
        <w:rPr>
          <w:rFonts w:ascii="Times New Roman" w:eastAsia="Times New Roman" w:hAnsi="Times New Roman" w:cs="Times New Roman"/>
          <w:sz w:val="24"/>
          <w:szCs w:val="24"/>
          <w:lang w:val="en-US" w:eastAsia="ru-RU"/>
        </w:rPr>
        <w:t xml:space="preserve">and is associated with the formation of intercellular contacts, providing for their homing and proliferation </w:t>
      </w:r>
      <w:r w:rsidR="00597B3C" w:rsidRPr="00A852FD">
        <w:rPr>
          <w:rFonts w:ascii="Times New Roman" w:eastAsia="Times New Roman" w:hAnsi="Times New Roman" w:cs="Times New Roman"/>
          <w:sz w:val="24"/>
          <w:szCs w:val="24"/>
          <w:lang w:val="en-US" w:eastAsia="ru-RU"/>
        </w:rPr>
        <w:t>[</w:t>
      </w:r>
      <w:r w:rsidR="00BE031D" w:rsidRPr="00A852FD">
        <w:rPr>
          <w:rFonts w:ascii="Times New Roman" w:eastAsia="Times New Roman" w:hAnsi="Times New Roman" w:cs="Times New Roman"/>
          <w:sz w:val="24"/>
          <w:szCs w:val="24"/>
          <w:lang w:val="en-US" w:eastAsia="ru-RU"/>
        </w:rPr>
        <w:t>8</w:t>
      </w:r>
      <w:r w:rsidR="00597B3C" w:rsidRPr="00A852FD">
        <w:rPr>
          <w:rFonts w:ascii="Times New Roman" w:eastAsia="Times New Roman" w:hAnsi="Times New Roman" w:cs="Times New Roman"/>
          <w:sz w:val="24"/>
          <w:szCs w:val="24"/>
          <w:lang w:val="en-US" w:eastAsia="ru-RU"/>
        </w:rPr>
        <w:t xml:space="preserve">] </w:t>
      </w:r>
      <w:r w:rsidR="004E016F" w:rsidRPr="00A852FD">
        <w:rPr>
          <w:rFonts w:ascii="Times New Roman" w:eastAsia="Times New Roman" w:hAnsi="Times New Roman" w:cs="Times New Roman"/>
          <w:sz w:val="24"/>
          <w:szCs w:val="24"/>
          <w:lang w:val="en-US" w:eastAsia="ru-RU"/>
        </w:rPr>
        <w:t xml:space="preserve">(Figure S5a). </w:t>
      </w:r>
      <w:r w:rsidRPr="00A852FD">
        <w:rPr>
          <w:rFonts w:ascii="Times New Roman" w:eastAsia="Times New Roman" w:hAnsi="Times New Roman" w:cs="Times New Roman"/>
          <w:sz w:val="24"/>
          <w:szCs w:val="24"/>
          <w:lang w:val="en-US" w:eastAsia="ru-RU"/>
        </w:rPr>
        <w:t>At the same time, for MSCs on both types of scaffold cultivated in osteogenic medium, we revealed a sharp decrease in the level of SDF expression by the 28th day (1.25 and 2.5-fold (p-value ≤ 0.05) for the homogeneous and heterogeneous scaffolds, respectively. compared to the 14th day of cultivation) (Figure S5b).</w:t>
      </w:r>
    </w:p>
    <w:p w:rsidR="00A3106F" w:rsidRPr="00A852FD" w:rsidRDefault="00F03187"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lastRenderedPageBreak/>
        <w:t>Osteonectin (SPARC) is a protein that regulates the activity of matrix metalloproteinases, collagen laying, and its early-stage mineralization [9,10]</w:t>
      </w:r>
      <w:r w:rsidR="004E016F" w:rsidRPr="00A852FD">
        <w:rPr>
          <w:rFonts w:ascii="Times New Roman" w:eastAsia="Times New Roman" w:hAnsi="Times New Roman" w:cs="Times New Roman"/>
          <w:sz w:val="24"/>
          <w:szCs w:val="24"/>
          <w:lang w:val="en-US" w:eastAsia="ru-RU"/>
        </w:rPr>
        <w:t xml:space="preserve">. </w:t>
      </w:r>
      <w:r w:rsidRPr="00A852FD">
        <w:rPr>
          <w:rFonts w:ascii="Times New Roman" w:eastAsia="Times New Roman" w:hAnsi="Times New Roman" w:cs="Times New Roman"/>
          <w:sz w:val="24"/>
          <w:szCs w:val="24"/>
          <w:lang w:val="en-US" w:eastAsia="ru-RU"/>
        </w:rPr>
        <w:t>It is also possibly involved in regulation of the VEGF, TGF-β1 and FGF signaling pathways</w:t>
      </w:r>
      <w:r w:rsidR="004E016F" w:rsidRPr="00A852FD">
        <w:rPr>
          <w:rFonts w:ascii="Times New Roman" w:eastAsia="Times New Roman" w:hAnsi="Times New Roman" w:cs="Times New Roman"/>
          <w:sz w:val="24"/>
          <w:szCs w:val="24"/>
          <w:lang w:val="en-US" w:eastAsia="ru-RU"/>
        </w:rPr>
        <w:t xml:space="preserve"> </w:t>
      </w:r>
      <w:r w:rsidRPr="00A852FD">
        <w:rPr>
          <w:rFonts w:ascii="Times New Roman" w:eastAsia="Times New Roman" w:hAnsi="Times New Roman" w:cs="Times New Roman"/>
          <w:sz w:val="24"/>
          <w:szCs w:val="24"/>
          <w:lang w:val="en-US" w:eastAsia="ru-RU"/>
        </w:rPr>
        <w:t>[11,12]</w:t>
      </w:r>
      <w:r w:rsidR="004E016F" w:rsidRPr="00A852FD">
        <w:rPr>
          <w:rFonts w:ascii="Times New Roman" w:eastAsia="Times New Roman" w:hAnsi="Times New Roman" w:cs="Times New Roman"/>
          <w:sz w:val="24"/>
          <w:szCs w:val="24"/>
          <w:lang w:val="en-US" w:eastAsia="ru-RU"/>
        </w:rPr>
        <w:t xml:space="preserve">. </w:t>
      </w:r>
      <w:r w:rsidRPr="00A852FD">
        <w:rPr>
          <w:rFonts w:ascii="Times New Roman" w:eastAsia="Times New Roman" w:hAnsi="Times New Roman" w:cs="Times New Roman"/>
          <w:sz w:val="24"/>
          <w:szCs w:val="24"/>
          <w:lang w:val="en-US" w:eastAsia="ru-RU"/>
        </w:rPr>
        <w:t>Heterogeneous scaffolds were characterized by an earlier increase in the expression SPARC (on the 14th day of cultivation in the control medium, its expression being 3.3 times (p-value ≤ 0.05) higher than for the MSCs on homogeneous scaffolds). We also showed a sharp increase in the expression of SPARC by the 28th day of MSC cultivation in the control medium for both types of scaffold (4 times and 2.3 times (p-value ≤ 0.05) increase for homogeneous and heterogeneous scaffolds respectively, compared to the 14th day of cultivation) (Figure S5a). In the process of osteogenic differentiation, we revealed a gradual decrease in the expression of SPARC by the 28th day of cultivation on both types of scaffold (2 times and 1.9 times (p-value ≤ 0.05) for the homogeneous and heterogeneous scaffolds, respectively, compared with the 14th day of cultivation) (Figure S5b), which is consistent with the literature data</w:t>
      </w:r>
      <w:r w:rsidR="004E016F" w:rsidRPr="00A852FD">
        <w:rPr>
          <w:rFonts w:ascii="Times New Roman" w:eastAsia="Times New Roman" w:hAnsi="Times New Roman" w:cs="Times New Roman"/>
          <w:sz w:val="24"/>
          <w:szCs w:val="24"/>
          <w:lang w:val="en-US" w:eastAsia="ru-RU"/>
        </w:rPr>
        <w:t xml:space="preserve"> </w:t>
      </w:r>
      <w:r w:rsidRPr="00A852FD">
        <w:rPr>
          <w:rFonts w:ascii="Times New Roman" w:eastAsia="Times New Roman" w:hAnsi="Times New Roman" w:cs="Times New Roman"/>
          <w:sz w:val="24"/>
          <w:szCs w:val="24"/>
          <w:lang w:val="en-US" w:eastAsia="ru-RU"/>
        </w:rPr>
        <w:t>[13]. During the late stages of cultivation, SPARC expression was slightly higher for the heterogeneous scaffolds (by 1.7 and 1.8 times on 14th and 28th days of cultivation relative to the MSCs on homogeneous scaffolds) (Figure S5b).</w:t>
      </w:r>
    </w:p>
    <w:p w:rsidR="00F03187" w:rsidRPr="00A852FD" w:rsidRDefault="00F03187" w:rsidP="00A3106F">
      <w:pPr>
        <w:spacing w:after="0" w:line="240" w:lineRule="auto"/>
        <w:jc w:val="both"/>
        <w:rPr>
          <w:rFonts w:ascii="Times New Roman" w:eastAsia="Times New Roman" w:hAnsi="Times New Roman" w:cs="Times New Roman"/>
          <w:sz w:val="24"/>
          <w:szCs w:val="24"/>
          <w:lang w:val="en-US" w:eastAsia="ru-RU"/>
        </w:rPr>
      </w:pPr>
    </w:p>
    <w:p w:rsidR="00F03187" w:rsidRPr="00A852FD" w:rsidRDefault="00F03187" w:rsidP="00A3106F">
      <w:pPr>
        <w:spacing w:after="0" w:line="240" w:lineRule="auto"/>
        <w:jc w:val="both"/>
        <w:rPr>
          <w:rFonts w:ascii="Times New Roman" w:eastAsia="Times New Roman" w:hAnsi="Times New Roman" w:cs="Times New Roman"/>
          <w:sz w:val="24"/>
          <w:szCs w:val="24"/>
          <w:lang w:val="en-US" w:eastAsia="ru-RU"/>
        </w:rPr>
      </w:pPr>
    </w:p>
    <w:p w:rsidR="00F03187" w:rsidRPr="00A852FD" w:rsidRDefault="00F03187" w:rsidP="00A3106F">
      <w:pPr>
        <w:spacing w:after="0" w:line="240" w:lineRule="auto"/>
        <w:jc w:val="both"/>
        <w:rPr>
          <w:rFonts w:ascii="Times New Roman" w:eastAsia="Times New Roman" w:hAnsi="Times New Roman" w:cs="Times New Roman"/>
          <w:b/>
          <w:sz w:val="24"/>
          <w:szCs w:val="24"/>
          <w:lang w:val="en-US" w:eastAsia="ru-RU"/>
        </w:rPr>
      </w:pPr>
      <w:r w:rsidRPr="00A852FD">
        <w:rPr>
          <w:rFonts w:ascii="Times New Roman" w:eastAsia="Times New Roman" w:hAnsi="Times New Roman" w:cs="Times New Roman"/>
          <w:b/>
          <w:sz w:val="24"/>
          <w:szCs w:val="24"/>
          <w:lang w:val="en-US" w:eastAsia="ru-RU"/>
        </w:rPr>
        <w:t>References</w:t>
      </w:r>
    </w:p>
    <w:p w:rsidR="00A3106F" w:rsidRPr="00A852FD" w:rsidRDefault="00A3106F" w:rsidP="00A3106F">
      <w:pPr>
        <w:spacing w:after="0" w:line="240" w:lineRule="auto"/>
        <w:ind w:right="-1"/>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[1] Li J, Xu Q, Teng B, Yu C, Song L, Lai YX, et al.  Investigation of angiogenesis in bioactive 3-dimensional poly (d, l-lactide-co-glycolide)/nano-hydroxyapatite scaffolds by in vivo multiphoton microscopy in murine calvarial critical bone defect. Acta Biomater. 2016; 4: 389-399.</w:t>
      </w:r>
    </w:p>
    <w:p w:rsidR="00A3106F" w:rsidRPr="00A852FD" w:rsidRDefault="00A3106F" w:rsidP="00A3106F">
      <w:pPr>
        <w:spacing w:after="0" w:line="240" w:lineRule="auto"/>
        <w:ind w:right="-1"/>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[1] Komori T. Regulation of bone development and extracellular matrix protein genes by RUNX2. Cell Tissue Res. 2010;. 339: 189-195.</w:t>
      </w:r>
    </w:p>
    <w:p w:rsidR="00A3106F" w:rsidRPr="00A852FD" w:rsidRDefault="00A3106F" w:rsidP="00A3106F">
      <w:pPr>
        <w:spacing w:after="0" w:line="240" w:lineRule="auto"/>
        <w:ind w:right="-1"/>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[2] Delmas VCSGP. PD The role of collagen in bone strength. Osteoporos Int, 2006; 17: 319-36.</w:t>
      </w:r>
    </w:p>
    <w:p w:rsidR="004E016F" w:rsidRPr="00A852FD" w:rsidRDefault="004E016F" w:rsidP="00A3106F">
      <w:pPr>
        <w:spacing w:after="0" w:line="240" w:lineRule="auto"/>
        <w:ind w:right="-1"/>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[3] Twine NA, Chen L, Pang CN, Wilkins MR, Kassem M. Identification of differentiation-stage specific markers that define the ex vivo osteoblastic phenotype. Bone. 2014; 67: 23-32.</w:t>
      </w:r>
    </w:p>
    <w:p w:rsidR="004E016F" w:rsidRPr="00A852FD" w:rsidRDefault="004E016F" w:rsidP="00A3106F">
      <w:pPr>
        <w:spacing w:after="0" w:line="240" w:lineRule="auto"/>
        <w:ind w:right="-1"/>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[4] Kulterer B, Friedl G, Jandrositz A, Sanchez-Cabo F, Prokesch A, Paar C. et al. Gene expression profiling of human mesenchymal stem cells derived from bone marrow during expansion and osteoblast differentiation. BMC genomics. 2007; 8: 1-15.</w:t>
      </w:r>
    </w:p>
    <w:p w:rsidR="004E016F" w:rsidRPr="00A852FD" w:rsidRDefault="004E016F"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[5] Han X, Gong S, Li N, Wang X, Liu P, Xu Y. et al. A novel small molecule which increases osteoprotegerin expression and protects against ovariectomy-related bone loss in rats. Front</w:t>
      </w:r>
      <w:r w:rsidR="00BE031D" w:rsidRPr="00A852FD">
        <w:rPr>
          <w:rFonts w:ascii="Times New Roman" w:eastAsia="Times New Roman" w:hAnsi="Times New Roman" w:cs="Times New Roman"/>
          <w:sz w:val="24"/>
          <w:szCs w:val="24"/>
          <w:lang w:val="en-US" w:eastAsia="ru-RU"/>
        </w:rPr>
        <w:t xml:space="preserve"> Pharmacol</w:t>
      </w:r>
      <w:r w:rsidRPr="00A852FD">
        <w:rPr>
          <w:rFonts w:ascii="Times New Roman" w:eastAsia="Times New Roman" w:hAnsi="Times New Roman" w:cs="Times New Roman"/>
          <w:sz w:val="24"/>
          <w:szCs w:val="24"/>
          <w:lang w:val="en-US" w:eastAsia="ru-RU"/>
        </w:rPr>
        <w:t>. 2019; 10: 103.</w:t>
      </w:r>
    </w:p>
    <w:p w:rsidR="00BE031D" w:rsidRPr="00A852FD" w:rsidRDefault="00BE031D"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[6] Cawley KM, Bustamante-Gomez NC, Guha AG, MacLeod RS, Xiong J, Gubrij I. 2020. Local production of osteoprotegerin by osteoblasts suppresses bone resorption. Cell Reports. 2020; 32: 108052.</w:t>
      </w:r>
    </w:p>
    <w:p w:rsidR="00BE031D" w:rsidRPr="00A852FD" w:rsidRDefault="00BE031D"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[7] Ding L, Morrison SJ. Haematopoietic stem cells and early lymphoid progenitors occupy distinct bone marrow niches. Nature. 2013; 495: 231-235.</w:t>
      </w:r>
    </w:p>
    <w:p w:rsidR="00BE031D" w:rsidRPr="00A852FD" w:rsidRDefault="00BE031D"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[8] Schajnovitz A, Itkin T, D'uva G, Kalinkovich A, Golan K, Ludin A. et al. CXCL12 secretion by bone marrow stromal cells is dependent on cell contact and mediated by connexin-43 and connexin-45 gap junctions. Nat Immunol. 20</w:t>
      </w:r>
      <w:r w:rsidR="00F03187" w:rsidRPr="00A852FD">
        <w:rPr>
          <w:rFonts w:ascii="Times New Roman" w:eastAsia="Times New Roman" w:hAnsi="Times New Roman" w:cs="Times New Roman"/>
          <w:sz w:val="24"/>
          <w:szCs w:val="24"/>
          <w:lang w:val="en-US" w:eastAsia="ru-RU"/>
        </w:rPr>
        <w:t>11;</w:t>
      </w:r>
      <w:r w:rsidRPr="00A852FD">
        <w:rPr>
          <w:rFonts w:ascii="Times New Roman" w:eastAsia="Times New Roman" w:hAnsi="Times New Roman" w:cs="Times New Roman"/>
          <w:sz w:val="24"/>
          <w:szCs w:val="24"/>
          <w:lang w:val="en-US" w:eastAsia="ru-RU"/>
        </w:rPr>
        <w:t xml:space="preserve"> </w:t>
      </w:r>
      <w:r w:rsidR="00F03187" w:rsidRPr="00A852FD">
        <w:rPr>
          <w:rFonts w:ascii="Times New Roman" w:eastAsia="Times New Roman" w:hAnsi="Times New Roman" w:cs="Times New Roman"/>
          <w:sz w:val="24"/>
          <w:szCs w:val="24"/>
          <w:lang w:val="en-US" w:eastAsia="ru-RU"/>
        </w:rPr>
        <w:t>12:</w:t>
      </w:r>
      <w:r w:rsidRPr="00A852FD">
        <w:rPr>
          <w:rFonts w:ascii="Times New Roman" w:eastAsia="Times New Roman" w:hAnsi="Times New Roman" w:cs="Times New Roman"/>
          <w:sz w:val="24"/>
          <w:szCs w:val="24"/>
          <w:lang w:val="en-US" w:eastAsia="ru-RU"/>
        </w:rPr>
        <w:t xml:space="preserve"> 391-398.</w:t>
      </w:r>
    </w:p>
    <w:p w:rsidR="00BE031D" w:rsidRPr="00A852FD" w:rsidRDefault="00BE031D"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 xml:space="preserve">[9] </w:t>
      </w:r>
      <w:r w:rsidR="00597B3C" w:rsidRPr="00A852FD">
        <w:rPr>
          <w:rFonts w:ascii="Times New Roman" w:eastAsia="Times New Roman" w:hAnsi="Times New Roman" w:cs="Times New Roman"/>
          <w:sz w:val="24"/>
          <w:szCs w:val="24"/>
          <w:lang w:val="en-US" w:eastAsia="ru-RU"/>
        </w:rPr>
        <w:t>Twine NA, Chen L, Pang CN, Wilkins MR, Kassem M. Identification of differentiation-stage specific markers that define the ex vivo osteoblastic phenotype. Bone. 2014; 67: 23-32.</w:t>
      </w:r>
    </w:p>
    <w:p w:rsidR="00597B3C" w:rsidRPr="00A852FD" w:rsidRDefault="00597B3C"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[10] Bradshaw AD. Diverse biological functions of the SPARC family of proteins. The international journal of biochemistry &amp; cell biology. 2012</w:t>
      </w:r>
      <w:r w:rsidR="00F03187" w:rsidRPr="00A852FD">
        <w:rPr>
          <w:rFonts w:ascii="Times New Roman" w:eastAsia="Times New Roman" w:hAnsi="Times New Roman" w:cs="Times New Roman"/>
          <w:sz w:val="24"/>
          <w:szCs w:val="24"/>
          <w:lang w:val="en-US" w:eastAsia="ru-RU"/>
        </w:rPr>
        <w:t>;</w:t>
      </w:r>
      <w:r w:rsidRPr="00A852FD">
        <w:rPr>
          <w:rFonts w:ascii="Times New Roman" w:eastAsia="Times New Roman" w:hAnsi="Times New Roman" w:cs="Times New Roman"/>
          <w:sz w:val="24"/>
          <w:szCs w:val="24"/>
          <w:lang w:val="en-US" w:eastAsia="ru-RU"/>
        </w:rPr>
        <w:t xml:space="preserve"> </w:t>
      </w:r>
      <w:r w:rsidR="00F03187" w:rsidRPr="00A852FD">
        <w:rPr>
          <w:rFonts w:ascii="Times New Roman" w:eastAsia="Times New Roman" w:hAnsi="Times New Roman" w:cs="Times New Roman"/>
          <w:sz w:val="24"/>
          <w:szCs w:val="24"/>
          <w:lang w:val="en-US" w:eastAsia="ru-RU"/>
        </w:rPr>
        <w:t>44:</w:t>
      </w:r>
      <w:r w:rsidRPr="00A852FD">
        <w:rPr>
          <w:rFonts w:ascii="Times New Roman" w:eastAsia="Times New Roman" w:hAnsi="Times New Roman" w:cs="Times New Roman"/>
          <w:sz w:val="24"/>
          <w:szCs w:val="24"/>
          <w:lang w:val="en-US" w:eastAsia="ru-RU"/>
        </w:rPr>
        <w:t xml:space="preserve"> 480-488.</w:t>
      </w:r>
    </w:p>
    <w:p w:rsidR="00F03187" w:rsidRPr="00A852FD" w:rsidRDefault="00F03187"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[11] Wang Q, Yang Q, Zhang A, Kang Z, Wang Y, et al. Silencing of SPARC represses heterotopic ossification via inhibition of the MAPK signaling pathway. Bioscience reports. 2019; 39.</w:t>
      </w:r>
    </w:p>
    <w:p w:rsidR="00F03187" w:rsidRPr="00A852FD" w:rsidRDefault="00F03187"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[12] Rivera LB, Bradshaw AD, Brekken RA. The regulatory function of SPARC in vascular biology. Cellular and Molecular Life Sciences. 2011; 68: 3165-3173.</w:t>
      </w:r>
    </w:p>
    <w:p w:rsidR="00F03187" w:rsidRDefault="00F03187" w:rsidP="00A3106F">
      <w:pPr>
        <w:spacing w:after="0" w:line="240" w:lineRule="auto"/>
        <w:jc w:val="both"/>
        <w:rPr>
          <w:rFonts w:ascii="Times New Roman" w:eastAsia="Times New Roman" w:hAnsi="Times New Roman" w:cs="Times New Roman"/>
          <w:sz w:val="24"/>
          <w:szCs w:val="24"/>
          <w:lang w:val="en-US" w:eastAsia="ru-RU"/>
        </w:rPr>
      </w:pPr>
      <w:r w:rsidRPr="00A852FD">
        <w:rPr>
          <w:rFonts w:ascii="Times New Roman" w:eastAsia="Times New Roman" w:hAnsi="Times New Roman" w:cs="Times New Roman"/>
          <w:sz w:val="24"/>
          <w:szCs w:val="24"/>
          <w:lang w:val="en-US" w:eastAsia="ru-RU"/>
        </w:rPr>
        <w:t>[13] Twine NA, Chen L, Pang CN, Wilkins MR, Kassem, M. Identification of differentiation-stage specific markers that define the ex vivo osteoblastic phenotype. Bone. 2014; 67: 23-32.</w:t>
      </w:r>
    </w:p>
    <w:p w:rsidR="00F03187" w:rsidRDefault="00F03187" w:rsidP="00A3106F">
      <w:pPr>
        <w:spacing w:after="0" w:line="240" w:lineRule="auto"/>
        <w:jc w:val="both"/>
        <w:rPr>
          <w:rFonts w:ascii="Times New Roman" w:eastAsia="Times New Roman" w:hAnsi="Times New Roman" w:cs="Times New Roman"/>
          <w:sz w:val="24"/>
          <w:szCs w:val="24"/>
          <w:lang w:val="en-US" w:eastAsia="ru-RU"/>
        </w:rPr>
      </w:pPr>
    </w:p>
    <w:p w:rsidR="00BE031D" w:rsidRPr="00A3106F" w:rsidRDefault="00BE031D" w:rsidP="00A3106F">
      <w:pPr>
        <w:spacing w:after="0" w:line="240" w:lineRule="auto"/>
        <w:jc w:val="both"/>
        <w:rPr>
          <w:rFonts w:ascii="Times New Roman" w:eastAsia="Times New Roman" w:hAnsi="Times New Roman" w:cs="Times New Roman"/>
          <w:sz w:val="24"/>
          <w:szCs w:val="24"/>
          <w:lang w:val="en-US" w:eastAsia="ru-RU"/>
        </w:rPr>
      </w:pPr>
    </w:p>
    <w:sectPr w:rsidR="00BE031D" w:rsidRPr="00A3106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48D" w:rsidRDefault="0031548D" w:rsidP="0069099D">
      <w:pPr>
        <w:spacing w:after="0" w:line="240" w:lineRule="auto"/>
      </w:pPr>
      <w:r>
        <w:separator/>
      </w:r>
    </w:p>
  </w:endnote>
  <w:endnote w:type="continuationSeparator" w:id="0">
    <w:p w:rsidR="0031548D" w:rsidRDefault="0031548D" w:rsidP="00690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48D" w:rsidRDefault="0031548D" w:rsidP="0069099D">
      <w:pPr>
        <w:spacing w:after="0" w:line="240" w:lineRule="auto"/>
      </w:pPr>
      <w:r>
        <w:separator/>
      </w:r>
    </w:p>
  </w:footnote>
  <w:footnote w:type="continuationSeparator" w:id="0">
    <w:p w:rsidR="0031548D" w:rsidRDefault="0031548D" w:rsidP="006909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F299C"/>
    <w:multiLevelType w:val="hybridMultilevel"/>
    <w:tmpl w:val="9B5489A2"/>
    <w:lvl w:ilvl="0" w:tplc="AC1C582A">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6E9"/>
    <w:rsid w:val="001446FD"/>
    <w:rsid w:val="0029711B"/>
    <w:rsid w:val="002B2964"/>
    <w:rsid w:val="00302291"/>
    <w:rsid w:val="0031548D"/>
    <w:rsid w:val="0036316C"/>
    <w:rsid w:val="00415F21"/>
    <w:rsid w:val="00491080"/>
    <w:rsid w:val="004929BD"/>
    <w:rsid w:val="004C2E17"/>
    <w:rsid w:val="004C546B"/>
    <w:rsid w:val="004E016F"/>
    <w:rsid w:val="004F2617"/>
    <w:rsid w:val="0050554F"/>
    <w:rsid w:val="00596E3C"/>
    <w:rsid w:val="00597B3C"/>
    <w:rsid w:val="005F3A4B"/>
    <w:rsid w:val="00671101"/>
    <w:rsid w:val="0069099D"/>
    <w:rsid w:val="008124AC"/>
    <w:rsid w:val="008D16F0"/>
    <w:rsid w:val="00954915"/>
    <w:rsid w:val="009650EB"/>
    <w:rsid w:val="00983500"/>
    <w:rsid w:val="00A3106F"/>
    <w:rsid w:val="00A852FD"/>
    <w:rsid w:val="00BB0118"/>
    <w:rsid w:val="00BE031D"/>
    <w:rsid w:val="00C05432"/>
    <w:rsid w:val="00C316E9"/>
    <w:rsid w:val="00CD548B"/>
    <w:rsid w:val="00E41587"/>
    <w:rsid w:val="00F03187"/>
    <w:rsid w:val="00F5192F"/>
    <w:rsid w:val="00F951B7"/>
    <w:rsid w:val="00FB7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DC297B-058A-4F8F-AF9C-D5D56A57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1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738B"/>
    <w:pPr>
      <w:ind w:left="720"/>
      <w:contextualSpacing/>
    </w:pPr>
  </w:style>
  <w:style w:type="paragraph" w:styleId="a4">
    <w:name w:val="header"/>
    <w:basedOn w:val="a"/>
    <w:link w:val="a5"/>
    <w:uiPriority w:val="99"/>
    <w:unhideWhenUsed/>
    <w:rsid w:val="0069099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9099D"/>
  </w:style>
  <w:style w:type="paragraph" w:styleId="a6">
    <w:name w:val="footer"/>
    <w:basedOn w:val="a"/>
    <w:link w:val="a7"/>
    <w:uiPriority w:val="99"/>
    <w:unhideWhenUsed/>
    <w:rsid w:val="0069099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9099D"/>
  </w:style>
  <w:style w:type="character" w:styleId="a8">
    <w:name w:val="Hyperlink"/>
    <w:basedOn w:val="a0"/>
    <w:uiPriority w:val="99"/>
    <w:unhideWhenUsed/>
    <w:rsid w:val="00415F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rodimova123@gmail.com"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1641</Words>
  <Characters>9356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2022-12-01T11:44:00Z</dcterms:created>
  <dcterms:modified xsi:type="dcterms:W3CDTF">2023-02-28T13:22:00Z</dcterms:modified>
</cp:coreProperties>
</file>