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50916" w14:textId="1AA2DCAB" w:rsidR="007066B3" w:rsidRDefault="007066B3" w:rsidP="003F4E4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Additional File </w:t>
      </w:r>
      <w:r w:rsidR="001879C0">
        <w:rPr>
          <w:rFonts w:ascii="Times New Roman" w:hAnsi="Times New Roman" w:cs="Times New Roman"/>
          <w:b/>
          <w:sz w:val="24"/>
          <w:szCs w:val="24"/>
        </w:rPr>
        <w:t>2</w:t>
      </w:r>
    </w:p>
    <w:p w14:paraId="7A9CAA9D" w14:textId="036FE01A" w:rsidR="0052452E" w:rsidRDefault="0052452E" w:rsidP="0052452E">
      <w:pPr>
        <w:spacing w:line="480" w:lineRule="auto"/>
        <w:jc w:val="center"/>
        <w:rPr>
          <w:rFonts w:ascii="Times New Roman" w:hAnsi="Times New Roman" w:cs="Times New Roman"/>
          <w:b/>
          <w:sz w:val="24"/>
          <w:szCs w:val="24"/>
        </w:rPr>
      </w:pPr>
      <w:r w:rsidRPr="00B068CA">
        <w:rPr>
          <w:rFonts w:ascii="Times New Roman" w:hAnsi="Times New Roman" w:cs="Times New Roman"/>
          <w:b/>
          <w:sz w:val="24"/>
          <w:szCs w:val="24"/>
        </w:rPr>
        <w:t>S</w:t>
      </w:r>
      <w:r>
        <w:rPr>
          <w:rFonts w:ascii="Times New Roman" w:hAnsi="Times New Roman" w:cs="Times New Roman"/>
          <w:b/>
          <w:sz w:val="24"/>
          <w:szCs w:val="24"/>
        </w:rPr>
        <w:t>upplementary Methods</w:t>
      </w:r>
    </w:p>
    <w:p w14:paraId="2FB73B34" w14:textId="77777777" w:rsidR="0052452E" w:rsidRPr="00B068CA" w:rsidRDefault="0052452E" w:rsidP="0052452E">
      <w:pPr>
        <w:spacing w:line="480" w:lineRule="auto"/>
        <w:jc w:val="both"/>
        <w:rPr>
          <w:rFonts w:ascii="Times New Roman" w:hAnsi="Times New Roman" w:cs="Times New Roman"/>
          <w:b/>
          <w:sz w:val="24"/>
          <w:szCs w:val="24"/>
        </w:rPr>
      </w:pPr>
      <w:r w:rsidRPr="00B068CA">
        <w:rPr>
          <w:rFonts w:ascii="Times New Roman" w:hAnsi="Times New Roman" w:cs="Times New Roman"/>
          <w:b/>
          <w:sz w:val="24"/>
          <w:szCs w:val="24"/>
        </w:rPr>
        <w:t>Von Frey Test</w:t>
      </w:r>
    </w:p>
    <w:p w14:paraId="23670426" w14:textId="77777777" w:rsidR="0052452E" w:rsidRPr="00B068CA" w:rsidRDefault="0052452E" w:rsidP="0052452E">
      <w:pPr>
        <w:spacing w:line="480" w:lineRule="auto"/>
        <w:jc w:val="both"/>
        <w:rPr>
          <w:rFonts w:ascii="Times New Roman" w:hAnsi="Times New Roman" w:cs="Times New Roman"/>
          <w:sz w:val="24"/>
          <w:szCs w:val="24"/>
        </w:rPr>
      </w:pPr>
      <w:r w:rsidRPr="00B068CA">
        <w:rPr>
          <w:rFonts w:ascii="Times New Roman" w:hAnsi="Times New Roman" w:cs="Times New Roman"/>
          <w:sz w:val="24"/>
          <w:szCs w:val="24"/>
        </w:rPr>
        <w:t xml:space="preserve">Rats were acclimatized for 1 hour to the experimental room and then placed into observational boxes with wire-mesh floors for 20 minutes. Paw withdrawal threshold was recorded using a series of von Frey hairs with a force of 0.6 g, 2.0 g, 4.0 g, 8.0 g, 15.0 g, 26.0 g, 60.0 g applied perpendicularly to the midplantar surface </w:t>
      </w:r>
      <w:r w:rsidRPr="00B068CA">
        <w:rPr>
          <w:rFonts w:ascii="Times New Roman" w:hAnsi="Times New Roman" w:cs="Times New Roman"/>
          <w:sz w:val="24"/>
          <w:szCs w:val="24"/>
          <w:vertAlign w:val="superscript"/>
        </w:rPr>
        <w:t>3</w:t>
      </w:r>
      <w:r w:rsidRPr="00B068CA">
        <w:rPr>
          <w:rFonts w:ascii="Times New Roman" w:hAnsi="Times New Roman" w:cs="Times New Roman"/>
          <w:sz w:val="24"/>
          <w:szCs w:val="24"/>
        </w:rPr>
        <w:t>. Brisk paw withdrawal or licking immediate after pressure application was defined as a positive response, and lack of paw withdrawal within 6 seconds was defined as a negative response. Ambulation was considered an ambiguous response, and in such cases the stimulus was repeated. Rats from all the treatment groups were evaluated for paw withdrawal threshold performed at weeks 4, 8, and 16 after cell transplantation.</w:t>
      </w:r>
    </w:p>
    <w:p w14:paraId="10280718" w14:textId="77777777" w:rsidR="00122236" w:rsidRDefault="00122236" w:rsidP="003F4E4A">
      <w:pPr>
        <w:spacing w:line="480" w:lineRule="auto"/>
        <w:jc w:val="center"/>
        <w:rPr>
          <w:rFonts w:ascii="Times New Roman" w:hAnsi="Times New Roman" w:cs="Times New Roman"/>
          <w:b/>
          <w:sz w:val="24"/>
          <w:szCs w:val="24"/>
        </w:rPr>
      </w:pPr>
    </w:p>
    <w:p w14:paraId="3DCA5CE5" w14:textId="7A6F0537" w:rsidR="003F4E4A" w:rsidRDefault="003F4E4A" w:rsidP="003F4E4A">
      <w:pPr>
        <w:spacing w:line="480" w:lineRule="auto"/>
        <w:jc w:val="center"/>
        <w:rPr>
          <w:rFonts w:ascii="Times New Roman" w:hAnsi="Times New Roman" w:cs="Times New Roman"/>
          <w:b/>
          <w:sz w:val="24"/>
          <w:szCs w:val="24"/>
        </w:rPr>
      </w:pPr>
      <w:r w:rsidRPr="00B068CA">
        <w:rPr>
          <w:rFonts w:ascii="Times New Roman" w:hAnsi="Times New Roman" w:cs="Times New Roman"/>
          <w:b/>
          <w:sz w:val="24"/>
          <w:szCs w:val="24"/>
        </w:rPr>
        <w:t>S</w:t>
      </w:r>
      <w:r>
        <w:rPr>
          <w:rFonts w:ascii="Times New Roman" w:hAnsi="Times New Roman" w:cs="Times New Roman"/>
          <w:b/>
          <w:sz w:val="24"/>
          <w:szCs w:val="24"/>
        </w:rPr>
        <w:t>upplementary Results</w:t>
      </w:r>
    </w:p>
    <w:p w14:paraId="175A971C" w14:textId="77777777" w:rsidR="003F4E4A" w:rsidRPr="00B068CA" w:rsidRDefault="003F4E4A" w:rsidP="003F4E4A">
      <w:pPr>
        <w:spacing w:line="480" w:lineRule="auto"/>
        <w:jc w:val="both"/>
        <w:rPr>
          <w:rFonts w:ascii="Times New Roman" w:hAnsi="Times New Roman" w:cs="Times New Roman"/>
          <w:b/>
          <w:sz w:val="24"/>
          <w:szCs w:val="24"/>
        </w:rPr>
      </w:pPr>
      <w:r w:rsidRPr="00B068CA">
        <w:rPr>
          <w:rFonts w:ascii="Times New Roman" w:hAnsi="Times New Roman" w:cs="Times New Roman"/>
          <w:b/>
          <w:sz w:val="24"/>
          <w:szCs w:val="24"/>
        </w:rPr>
        <w:t xml:space="preserve">Treatment with Rose Bengal (RB) Ablates the Glial Scar in Chronically Injured Rat Spinal Cords at 8 and 16 </w:t>
      </w:r>
      <w:r>
        <w:rPr>
          <w:rFonts w:ascii="Times New Roman" w:hAnsi="Times New Roman" w:cs="Times New Roman"/>
          <w:b/>
          <w:sz w:val="24"/>
          <w:szCs w:val="24"/>
        </w:rPr>
        <w:t>w</w:t>
      </w:r>
      <w:r w:rsidRPr="00B068CA">
        <w:rPr>
          <w:rFonts w:ascii="Times New Roman" w:hAnsi="Times New Roman" w:cs="Times New Roman"/>
          <w:b/>
          <w:sz w:val="24"/>
          <w:szCs w:val="24"/>
        </w:rPr>
        <w:t>eeks (w) after Transplantation</w:t>
      </w:r>
    </w:p>
    <w:p w14:paraId="0963BF74" w14:textId="543DF5DF" w:rsidR="003F4E4A" w:rsidRPr="00B068CA" w:rsidRDefault="003F4E4A" w:rsidP="003F4E4A">
      <w:pPr>
        <w:spacing w:line="480" w:lineRule="auto"/>
        <w:jc w:val="both"/>
        <w:rPr>
          <w:rFonts w:ascii="Times New Roman" w:hAnsi="Times New Roman" w:cs="Times New Roman"/>
          <w:sz w:val="24"/>
          <w:szCs w:val="24"/>
        </w:rPr>
      </w:pPr>
      <w:proofErr w:type="spellStart"/>
      <w:r w:rsidRPr="00B068CA">
        <w:rPr>
          <w:rFonts w:ascii="Times New Roman" w:hAnsi="Times New Roman" w:cs="Times New Roman"/>
          <w:sz w:val="24"/>
          <w:szCs w:val="24"/>
        </w:rPr>
        <w:t>I</w:t>
      </w:r>
      <w:r>
        <w:rPr>
          <w:rFonts w:ascii="Times New Roman" w:hAnsi="Times New Roman" w:cs="Times New Roman"/>
          <w:sz w:val="24"/>
          <w:szCs w:val="24"/>
        </w:rPr>
        <w:t>mmunohistrochemistry</w:t>
      </w:r>
      <w:proofErr w:type="spellEnd"/>
      <w:r>
        <w:rPr>
          <w:rFonts w:ascii="Times New Roman" w:hAnsi="Times New Roman" w:cs="Times New Roman"/>
          <w:sz w:val="24"/>
          <w:szCs w:val="24"/>
        </w:rPr>
        <w:t xml:space="preserve"> </w:t>
      </w:r>
      <w:r w:rsidRPr="00B068CA">
        <w:rPr>
          <w:rFonts w:ascii="Times New Roman" w:hAnsi="Times New Roman" w:cs="Times New Roman"/>
          <w:sz w:val="24"/>
          <w:szCs w:val="24"/>
        </w:rPr>
        <w:t xml:space="preserve">was performed to determine the effects of </w:t>
      </w:r>
      <w:r>
        <w:rPr>
          <w:rFonts w:ascii="Times New Roman" w:hAnsi="Times New Roman" w:cs="Times New Roman"/>
          <w:sz w:val="24"/>
          <w:szCs w:val="24"/>
        </w:rPr>
        <w:t xml:space="preserve">rose Bengal (RB) on scar </w:t>
      </w:r>
      <w:r w:rsidRPr="00B068CA">
        <w:rPr>
          <w:rFonts w:ascii="Times New Roman" w:hAnsi="Times New Roman" w:cs="Times New Roman"/>
          <w:sz w:val="24"/>
          <w:szCs w:val="24"/>
        </w:rPr>
        <w:t>ablation</w:t>
      </w:r>
      <w:r w:rsidR="00B72BB7">
        <w:rPr>
          <w:rFonts w:ascii="Times New Roman" w:hAnsi="Times New Roman" w:cs="Times New Roman"/>
          <w:sz w:val="24"/>
          <w:szCs w:val="24"/>
        </w:rPr>
        <w:t xml:space="preserve"> i</w:t>
      </w:r>
      <w:r w:rsidRPr="00B068CA">
        <w:rPr>
          <w:rFonts w:ascii="Times New Roman" w:hAnsi="Times New Roman" w:cs="Times New Roman"/>
          <w:sz w:val="24"/>
          <w:szCs w:val="24"/>
        </w:rPr>
        <w:t>n chronically injured rat spinal cords post-treatment with RB. In this study we confirmed our previous findings that the glial scar was ablated with RB administration (</w:t>
      </w:r>
      <w:r w:rsidRPr="00CD21D9">
        <w:rPr>
          <w:rFonts w:ascii="Times New Roman" w:hAnsi="Times New Roman" w:cs="Times New Roman"/>
          <w:sz w:val="24"/>
          <w:szCs w:val="24"/>
        </w:rPr>
        <w:t xml:space="preserve">Additional file 1: </w:t>
      </w:r>
      <w:r>
        <w:rPr>
          <w:rFonts w:ascii="Times New Roman" w:hAnsi="Times New Roman" w:cs="Times New Roman"/>
          <w:sz w:val="24"/>
          <w:szCs w:val="24"/>
        </w:rPr>
        <w:t xml:space="preserve">Supplementary </w:t>
      </w:r>
      <w:r w:rsidRPr="00B068CA">
        <w:rPr>
          <w:rFonts w:ascii="Times New Roman" w:hAnsi="Times New Roman" w:cs="Times New Roman"/>
          <w:sz w:val="24"/>
          <w:szCs w:val="24"/>
        </w:rPr>
        <w:t>Fig</w:t>
      </w:r>
      <w:r>
        <w:rPr>
          <w:rFonts w:ascii="Times New Roman" w:hAnsi="Times New Roman" w:cs="Times New Roman"/>
          <w:sz w:val="24"/>
          <w:szCs w:val="24"/>
        </w:rPr>
        <w:t>. 1</w:t>
      </w:r>
      <w:r w:rsidRPr="00B068CA">
        <w:rPr>
          <w:rFonts w:ascii="Times New Roman" w:hAnsi="Times New Roman" w:cs="Times New Roman"/>
          <w:sz w:val="24"/>
          <w:szCs w:val="24"/>
        </w:rPr>
        <w:t>A-D). The integrated density quantified the expression of GFAP around the injury epicenter (</w:t>
      </w:r>
      <w:r w:rsidRPr="000E0BE0">
        <w:rPr>
          <w:rFonts w:ascii="Times New Roman" w:hAnsi="Times New Roman" w:cs="Times New Roman"/>
          <w:sz w:val="24"/>
          <w:szCs w:val="24"/>
        </w:rPr>
        <w:t>Supplementary Fig.</w:t>
      </w:r>
      <w:r>
        <w:rPr>
          <w:rFonts w:ascii="Times New Roman" w:hAnsi="Times New Roman" w:cs="Times New Roman"/>
          <w:sz w:val="24"/>
          <w:szCs w:val="24"/>
        </w:rPr>
        <w:t xml:space="preserve"> 1</w:t>
      </w:r>
      <w:r w:rsidRPr="00B068CA">
        <w:rPr>
          <w:rFonts w:ascii="Times New Roman" w:hAnsi="Times New Roman" w:cs="Times New Roman"/>
          <w:sz w:val="24"/>
          <w:szCs w:val="24"/>
        </w:rPr>
        <w:t xml:space="preserve">C). The results demonstrated that GFAP/astrocytes were significantly reduced when the scar was ablated with RB in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group (6.5×10</w:t>
      </w:r>
      <w:r w:rsidRPr="000C7076">
        <w:rPr>
          <w:rFonts w:ascii="Times New Roman" w:hAnsi="Times New Roman" w:cs="Times New Roman"/>
          <w:sz w:val="24"/>
          <w:szCs w:val="24"/>
          <w:vertAlign w:val="superscript"/>
        </w:rPr>
        <w:t>5</w:t>
      </w:r>
      <w:r w:rsidRPr="00B068CA">
        <w:rPr>
          <w:rFonts w:ascii="Times New Roman" w:hAnsi="Times New Roman" w:cs="Times New Roman"/>
          <w:sz w:val="24"/>
          <w:szCs w:val="24"/>
        </w:rPr>
        <w:t xml:space="preserve">) </w:t>
      </w:r>
      <w:r w:rsidRPr="00B068CA">
        <w:rPr>
          <w:rFonts w:ascii="Times New Roman" w:hAnsi="Times New Roman" w:cs="Times New Roman"/>
          <w:sz w:val="24"/>
          <w:szCs w:val="24"/>
        </w:rPr>
        <w:lastRenderedPageBreak/>
        <w:t xml:space="preserve">compared with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(9.3×10</w:t>
      </w:r>
      <w:r w:rsidRPr="000C7076">
        <w:rPr>
          <w:rFonts w:ascii="Times New Roman" w:hAnsi="Times New Roman" w:cs="Times New Roman"/>
          <w:sz w:val="24"/>
          <w:szCs w:val="24"/>
          <w:vertAlign w:val="superscript"/>
        </w:rPr>
        <w:t>5</w:t>
      </w:r>
      <w:r w:rsidRPr="00B068CA">
        <w:rPr>
          <w:rFonts w:ascii="Times New Roman" w:hAnsi="Times New Roman" w:cs="Times New Roman"/>
          <w:sz w:val="24"/>
          <w:szCs w:val="24"/>
        </w:rPr>
        <w:t>) group at 8w. A similar trend was observed at 16w (sNPC:10.0×10</w:t>
      </w:r>
      <w:r w:rsidRPr="000C7076">
        <w:rPr>
          <w:rFonts w:ascii="Times New Roman" w:hAnsi="Times New Roman" w:cs="Times New Roman"/>
          <w:sz w:val="24"/>
          <w:szCs w:val="24"/>
          <w:vertAlign w:val="superscript"/>
        </w:rPr>
        <w:t>5</w:t>
      </w:r>
      <w:r w:rsidRPr="00B068CA">
        <w:rPr>
          <w:rFonts w:ascii="Times New Roman" w:hAnsi="Times New Roman" w:cs="Times New Roman"/>
          <w:sz w:val="24"/>
          <w:szCs w:val="24"/>
        </w:rPr>
        <w:t xml:space="preserve">; </w:t>
      </w:r>
      <w:r>
        <w:rPr>
          <w:rFonts w:ascii="Times New Roman" w:hAnsi="Times New Roman" w:cs="Times New Roman"/>
          <w:sz w:val="24"/>
          <w:szCs w:val="24"/>
        </w:rPr>
        <w:t>GSA+sNPC</w:t>
      </w:r>
      <w:r w:rsidRPr="00B068CA">
        <w:rPr>
          <w:rFonts w:ascii="Times New Roman" w:hAnsi="Times New Roman" w:cs="Times New Roman"/>
          <w:sz w:val="24"/>
          <w:szCs w:val="24"/>
        </w:rPr>
        <w:t>:7.1×10</w:t>
      </w:r>
      <w:r w:rsidRPr="000C7076">
        <w:rPr>
          <w:rFonts w:ascii="Times New Roman" w:hAnsi="Times New Roman" w:cs="Times New Roman"/>
          <w:sz w:val="24"/>
          <w:szCs w:val="24"/>
          <w:vertAlign w:val="superscript"/>
        </w:rPr>
        <w:t>5</w:t>
      </w:r>
      <w:r w:rsidRPr="00B068CA">
        <w:rPr>
          <w:rFonts w:ascii="Times New Roman" w:hAnsi="Times New Roman" w:cs="Times New Roman"/>
          <w:sz w:val="24"/>
          <w:szCs w:val="24"/>
        </w:rPr>
        <w:t>). The results suggest that GFAP positive astrocytes were considerably decreased when treated with RB, consistent with our previous publication.</w:t>
      </w:r>
    </w:p>
    <w:p w14:paraId="6FD4BEF5" w14:textId="77777777" w:rsidR="003F4E4A" w:rsidRPr="00B068CA" w:rsidRDefault="003F4E4A" w:rsidP="003F4E4A">
      <w:pPr>
        <w:spacing w:line="480" w:lineRule="auto"/>
        <w:jc w:val="both"/>
        <w:rPr>
          <w:rFonts w:ascii="Times New Roman" w:hAnsi="Times New Roman" w:cs="Times New Roman"/>
          <w:b/>
          <w:sz w:val="24"/>
          <w:szCs w:val="24"/>
        </w:rPr>
      </w:pPr>
      <w:r w:rsidRPr="00B068CA">
        <w:rPr>
          <w:rFonts w:ascii="Times New Roman" w:hAnsi="Times New Roman" w:cs="Times New Roman"/>
          <w:b/>
          <w:sz w:val="24"/>
          <w:szCs w:val="24"/>
        </w:rPr>
        <w:t xml:space="preserve">Combinatorial Treatment with Rose Bengal (RB) and Human iPSC-Derived </w:t>
      </w:r>
      <w:proofErr w:type="spellStart"/>
      <w:r w:rsidRPr="00B068CA">
        <w:rPr>
          <w:rFonts w:ascii="Times New Roman" w:hAnsi="Times New Roman" w:cs="Times New Roman"/>
          <w:b/>
          <w:sz w:val="24"/>
          <w:szCs w:val="24"/>
        </w:rPr>
        <w:t>sNPCs</w:t>
      </w:r>
      <w:proofErr w:type="spellEnd"/>
      <w:r w:rsidRPr="00B068CA">
        <w:rPr>
          <w:rFonts w:ascii="Times New Roman" w:hAnsi="Times New Roman" w:cs="Times New Roman"/>
          <w:b/>
          <w:sz w:val="24"/>
          <w:szCs w:val="24"/>
        </w:rPr>
        <w:t xml:space="preserve"> do not Affect the Volume of the Lesion Cavity in Chronically Injured Rat Spinal Cords at 8 and 16 weeks (w) after Transplantation</w:t>
      </w:r>
    </w:p>
    <w:p w14:paraId="4FAEAB99" w14:textId="0FAF82A2" w:rsidR="003F4E4A" w:rsidRPr="00B068CA" w:rsidRDefault="003F4E4A" w:rsidP="003F4E4A">
      <w:pPr>
        <w:spacing w:line="480" w:lineRule="auto"/>
        <w:contextualSpacing/>
        <w:jc w:val="both"/>
        <w:rPr>
          <w:rFonts w:ascii="Times New Roman" w:hAnsi="Times New Roman" w:cs="Times New Roman"/>
          <w:sz w:val="24"/>
          <w:szCs w:val="24"/>
        </w:rPr>
      </w:pPr>
      <w:r w:rsidRPr="00B068CA">
        <w:rPr>
          <w:rFonts w:ascii="Times New Roman" w:hAnsi="Times New Roman" w:cs="Times New Roman"/>
          <w:sz w:val="24"/>
          <w:szCs w:val="24"/>
        </w:rPr>
        <w:t xml:space="preserve">Twelve weeks after SCI, the glial scar was photo ablated with RB. Histological analysis was performed 16 weeks after cell transplantation. Parasagittal sections surrounding the lesion cavity were subjected to H&amp;E/LFB staining and representative images are depicted in </w:t>
      </w:r>
      <w:r w:rsidRPr="000E0BE0">
        <w:rPr>
          <w:rFonts w:ascii="Times New Roman" w:hAnsi="Times New Roman" w:cs="Times New Roman"/>
          <w:sz w:val="24"/>
          <w:szCs w:val="24"/>
        </w:rPr>
        <w:t>Supplementary Fig.</w:t>
      </w:r>
      <w:r>
        <w:rPr>
          <w:rFonts w:ascii="Times New Roman" w:hAnsi="Times New Roman" w:cs="Times New Roman"/>
          <w:sz w:val="24"/>
          <w:szCs w:val="24"/>
        </w:rPr>
        <w:t xml:space="preserve"> 2.</w:t>
      </w:r>
      <w:r w:rsidRPr="00B068CA">
        <w:rPr>
          <w:rFonts w:ascii="Times New Roman" w:hAnsi="Times New Roman" w:cs="Times New Roman"/>
          <w:sz w:val="24"/>
          <w:szCs w:val="24"/>
        </w:rPr>
        <w:t xml:space="preserve"> The glial scar appears as a layer of continuous tissue around the lesion cavity when chronically injured spinal cords were not treated with RB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w:t>
      </w:r>
      <w:r>
        <w:rPr>
          <w:rFonts w:ascii="Times New Roman" w:hAnsi="Times New Roman" w:cs="Times New Roman"/>
          <w:sz w:val="24"/>
          <w:szCs w:val="24"/>
        </w:rPr>
        <w:t xml:space="preserve"> (8w and 16w)</w:t>
      </w:r>
      <w:r w:rsidRPr="00B068CA">
        <w:rPr>
          <w:rFonts w:ascii="Times New Roman" w:hAnsi="Times New Roman" w:cs="Times New Roman"/>
          <w:sz w:val="24"/>
          <w:szCs w:val="24"/>
        </w:rPr>
        <w:t xml:space="preserve"> group</w:t>
      </w:r>
      <w:r w:rsidR="00221759">
        <w:rPr>
          <w:rFonts w:ascii="Times New Roman" w:hAnsi="Times New Roman" w:cs="Times New Roman"/>
          <w:sz w:val="24"/>
          <w:szCs w:val="24"/>
        </w:rPr>
        <w:t>s</w:t>
      </w:r>
      <w:r w:rsidRPr="00B068CA">
        <w:rPr>
          <w:rFonts w:ascii="Times New Roman" w:hAnsi="Times New Roman" w:cs="Times New Roman"/>
          <w:sz w:val="24"/>
          <w:szCs w:val="24"/>
        </w:rPr>
        <w:t xml:space="preserve"> (</w:t>
      </w:r>
      <w:r w:rsidR="00221759" w:rsidRPr="00221759">
        <w:rPr>
          <w:rFonts w:ascii="Times New Roman" w:hAnsi="Times New Roman" w:cs="Times New Roman"/>
          <w:sz w:val="24"/>
          <w:szCs w:val="24"/>
        </w:rPr>
        <w:t>Supplementary Fig.</w:t>
      </w:r>
      <w:r w:rsidRPr="00B068CA">
        <w:rPr>
          <w:rFonts w:ascii="Times New Roman" w:hAnsi="Times New Roman" w:cs="Times New Roman"/>
          <w:sz w:val="24"/>
          <w:szCs w:val="24"/>
        </w:rPr>
        <w:t xml:space="preserve"> </w:t>
      </w:r>
      <w:r>
        <w:rPr>
          <w:rFonts w:ascii="Times New Roman" w:hAnsi="Times New Roman" w:cs="Times New Roman"/>
          <w:sz w:val="24"/>
          <w:szCs w:val="24"/>
        </w:rPr>
        <w:t>2A-</w:t>
      </w:r>
      <w:r w:rsidRPr="00B068CA">
        <w:rPr>
          <w:rFonts w:ascii="Times New Roman" w:hAnsi="Times New Roman" w:cs="Times New Roman"/>
          <w:sz w:val="24"/>
          <w:szCs w:val="24"/>
        </w:rPr>
        <w:t xml:space="preserve">B), and this glial scar was mostly ablated when treated with RB in the </w:t>
      </w:r>
      <w:proofErr w:type="spellStart"/>
      <w:r>
        <w:rPr>
          <w:rFonts w:ascii="Times New Roman" w:hAnsi="Times New Roman" w:cs="Times New Roman"/>
          <w:sz w:val="24"/>
          <w:szCs w:val="24"/>
        </w:rPr>
        <w:t>GSA+</w:t>
      </w:r>
      <w:r w:rsidR="00221759">
        <w:rPr>
          <w:rFonts w:ascii="Times New Roman" w:hAnsi="Times New Roman" w:cs="Times New Roman"/>
          <w:sz w:val="24"/>
          <w:szCs w:val="24"/>
        </w:rPr>
        <w:t>Snpc</w:t>
      </w:r>
      <w:proofErr w:type="spellEnd"/>
      <w:r w:rsidR="00221759">
        <w:rPr>
          <w:rFonts w:ascii="Times New Roman" w:hAnsi="Times New Roman" w:cs="Times New Roman"/>
          <w:sz w:val="24"/>
          <w:szCs w:val="24"/>
        </w:rPr>
        <w:t xml:space="preserve"> (both at 8w and 16w)</w:t>
      </w:r>
      <w:r w:rsidRPr="00B068CA">
        <w:rPr>
          <w:rFonts w:ascii="Times New Roman" w:hAnsi="Times New Roman" w:cs="Times New Roman"/>
          <w:sz w:val="24"/>
          <w:szCs w:val="24"/>
        </w:rPr>
        <w:t xml:space="preserve"> group as shown in </w:t>
      </w:r>
      <w:r w:rsidRPr="000E0BE0">
        <w:rPr>
          <w:rFonts w:ascii="Times New Roman" w:hAnsi="Times New Roman" w:cs="Times New Roman"/>
          <w:sz w:val="24"/>
          <w:szCs w:val="24"/>
        </w:rPr>
        <w:t>Supplementary Fig.</w:t>
      </w:r>
      <w:r w:rsidR="00221759">
        <w:rPr>
          <w:rFonts w:ascii="Times New Roman" w:hAnsi="Times New Roman" w:cs="Times New Roman"/>
          <w:sz w:val="24"/>
          <w:szCs w:val="24"/>
        </w:rPr>
        <w:t>2</w:t>
      </w:r>
      <w:r>
        <w:rPr>
          <w:rFonts w:ascii="Times New Roman" w:hAnsi="Times New Roman" w:cs="Times New Roman"/>
          <w:sz w:val="24"/>
          <w:szCs w:val="24"/>
        </w:rPr>
        <w:t>C-D</w:t>
      </w:r>
      <w:r w:rsidRPr="00B068CA">
        <w:rPr>
          <w:rFonts w:ascii="Times New Roman" w:hAnsi="Times New Roman" w:cs="Times New Roman"/>
          <w:sz w:val="24"/>
          <w:szCs w:val="24"/>
        </w:rPr>
        <w:t>.</w:t>
      </w:r>
    </w:p>
    <w:p w14:paraId="7AF9EA50" w14:textId="77777777" w:rsidR="003F4E4A" w:rsidRPr="00B068CA" w:rsidRDefault="003F4E4A" w:rsidP="003F4E4A">
      <w:pPr>
        <w:spacing w:line="480" w:lineRule="auto"/>
        <w:contextualSpacing/>
        <w:jc w:val="both"/>
        <w:rPr>
          <w:rFonts w:ascii="Times New Roman" w:hAnsi="Times New Roman" w:cs="Times New Roman"/>
          <w:sz w:val="24"/>
          <w:szCs w:val="24"/>
        </w:rPr>
      </w:pPr>
      <w:r w:rsidRPr="00B068CA">
        <w:rPr>
          <w:rFonts w:ascii="Times New Roman" w:hAnsi="Times New Roman" w:cs="Times New Roman"/>
          <w:sz w:val="24"/>
          <w:szCs w:val="24"/>
        </w:rPr>
        <w:t>Quantitative analysis of the total volume of the cavity was performed (</w:t>
      </w:r>
      <w:r w:rsidRPr="000E0BE0">
        <w:rPr>
          <w:rFonts w:ascii="Times New Roman" w:hAnsi="Times New Roman" w:cs="Times New Roman"/>
          <w:sz w:val="24"/>
          <w:szCs w:val="24"/>
        </w:rPr>
        <w:t>Additional file 1: Supplementary Fig</w:t>
      </w:r>
      <w:r>
        <w:rPr>
          <w:rFonts w:ascii="Times New Roman" w:hAnsi="Times New Roman" w:cs="Times New Roman"/>
          <w:sz w:val="24"/>
          <w:szCs w:val="24"/>
        </w:rPr>
        <w:t>.</w:t>
      </w:r>
      <w:r w:rsidRPr="00B068CA">
        <w:rPr>
          <w:rFonts w:ascii="Times New Roman" w:hAnsi="Times New Roman" w:cs="Times New Roman"/>
          <w:sz w:val="24"/>
          <w:szCs w:val="24"/>
        </w:rPr>
        <w:t xml:space="preserve"> </w:t>
      </w:r>
      <w:r w:rsidR="00221759">
        <w:rPr>
          <w:rFonts w:ascii="Times New Roman" w:hAnsi="Times New Roman" w:cs="Times New Roman"/>
          <w:sz w:val="24"/>
          <w:szCs w:val="24"/>
        </w:rPr>
        <w:t>2E</w:t>
      </w:r>
      <w:r w:rsidRPr="00B068CA">
        <w:rPr>
          <w:rFonts w:ascii="Times New Roman" w:hAnsi="Times New Roman" w:cs="Times New Roman"/>
          <w:sz w:val="24"/>
          <w:szCs w:val="24"/>
        </w:rPr>
        <w:t xml:space="preserve">). The total cavity volume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w:t>
      </w:r>
      <w:r>
        <w:rPr>
          <w:rFonts w:ascii="Times New Roman" w:hAnsi="Times New Roman" w:cs="Times New Roman"/>
          <w:sz w:val="24"/>
          <w:szCs w:val="24"/>
        </w:rPr>
        <w:t>w</w:t>
      </w:r>
      <w:r w:rsidRPr="00B068CA">
        <w:rPr>
          <w:rFonts w:ascii="Times New Roman" w:hAnsi="Times New Roman" w:cs="Times New Roman"/>
          <w:sz w:val="24"/>
          <w:szCs w:val="24"/>
        </w:rPr>
        <w:t>as 0.82mm</w:t>
      </w:r>
      <w:r w:rsidRPr="000C7076">
        <w:rPr>
          <w:rFonts w:ascii="Times New Roman" w:hAnsi="Times New Roman" w:cs="Times New Roman"/>
          <w:sz w:val="24"/>
          <w:szCs w:val="24"/>
          <w:vertAlign w:val="superscript"/>
        </w:rPr>
        <w:t>3</w:t>
      </w:r>
      <w:r w:rsidRPr="00B068CA">
        <w:rPr>
          <w:rFonts w:ascii="Times New Roman" w:hAnsi="Times New Roman" w:cs="Times New Roman"/>
          <w:sz w:val="24"/>
          <w:szCs w:val="24"/>
        </w:rPr>
        <w:t xml:space="preserve"> at 8w and 0.87mm</w:t>
      </w:r>
      <w:r w:rsidRPr="000C7076">
        <w:rPr>
          <w:rFonts w:ascii="Times New Roman" w:hAnsi="Times New Roman" w:cs="Times New Roman"/>
          <w:sz w:val="24"/>
          <w:szCs w:val="24"/>
          <w:vertAlign w:val="superscript"/>
        </w:rPr>
        <w:t>3</w:t>
      </w:r>
      <w:r w:rsidRPr="00B068CA">
        <w:rPr>
          <w:rFonts w:ascii="Times New Roman" w:hAnsi="Times New Roman" w:cs="Times New Roman"/>
          <w:sz w:val="24"/>
          <w:szCs w:val="24"/>
        </w:rPr>
        <w:t xml:space="preserve"> at 16w.  The total cavity volume in the </w:t>
      </w:r>
      <w:proofErr w:type="spellStart"/>
      <w:r>
        <w:rPr>
          <w:rFonts w:ascii="Times New Roman" w:hAnsi="Times New Roman" w:cs="Times New Roman"/>
          <w:sz w:val="24"/>
          <w:szCs w:val="24"/>
        </w:rPr>
        <w:t>GSA+sNPCs</w:t>
      </w:r>
      <w:proofErr w:type="spellEnd"/>
      <w:r w:rsidRPr="00B068CA">
        <w:rPr>
          <w:rFonts w:ascii="Times New Roman" w:hAnsi="Times New Roman" w:cs="Times New Roman"/>
          <w:sz w:val="24"/>
          <w:szCs w:val="24"/>
        </w:rPr>
        <w:t xml:space="preserve"> group at 8w and 16</w:t>
      </w:r>
      <w:r>
        <w:rPr>
          <w:rFonts w:ascii="Times New Roman" w:hAnsi="Times New Roman" w:cs="Times New Roman"/>
          <w:sz w:val="24"/>
          <w:szCs w:val="24"/>
        </w:rPr>
        <w:t>w</w:t>
      </w:r>
      <w:r w:rsidRPr="00B068CA">
        <w:rPr>
          <w:rFonts w:ascii="Times New Roman" w:hAnsi="Times New Roman" w:cs="Times New Roman"/>
          <w:sz w:val="24"/>
          <w:szCs w:val="24"/>
        </w:rPr>
        <w:t xml:space="preserve"> after transplantation was 0.86mm</w:t>
      </w:r>
      <w:r w:rsidRPr="000C7076">
        <w:rPr>
          <w:rFonts w:ascii="Times New Roman" w:hAnsi="Times New Roman" w:cs="Times New Roman"/>
          <w:sz w:val="24"/>
          <w:szCs w:val="24"/>
          <w:vertAlign w:val="superscript"/>
        </w:rPr>
        <w:t>3</w:t>
      </w:r>
      <w:r w:rsidRPr="00B068CA">
        <w:rPr>
          <w:rFonts w:ascii="Times New Roman" w:hAnsi="Times New Roman" w:cs="Times New Roman"/>
          <w:sz w:val="24"/>
          <w:szCs w:val="24"/>
        </w:rPr>
        <w:t xml:space="preserve"> and 0.85mm</w:t>
      </w:r>
      <w:r w:rsidRPr="000C7076">
        <w:rPr>
          <w:rFonts w:ascii="Times New Roman" w:hAnsi="Times New Roman" w:cs="Times New Roman"/>
          <w:sz w:val="24"/>
          <w:szCs w:val="24"/>
          <w:vertAlign w:val="superscript"/>
        </w:rPr>
        <w:t>3</w:t>
      </w:r>
      <w:r w:rsidRPr="00B068CA">
        <w:rPr>
          <w:rFonts w:ascii="Times New Roman" w:hAnsi="Times New Roman" w:cs="Times New Roman"/>
          <w:sz w:val="24"/>
          <w:szCs w:val="24"/>
        </w:rPr>
        <w:t xml:space="preserve">, respectively. This observation suggests that the environment created by glial scar ablation with RB did not result in </w:t>
      </w:r>
      <w:proofErr w:type="spellStart"/>
      <w:r w:rsidRPr="00B068CA">
        <w:rPr>
          <w:rFonts w:ascii="Times New Roman" w:hAnsi="Times New Roman" w:cs="Times New Roman"/>
          <w:sz w:val="24"/>
          <w:szCs w:val="24"/>
        </w:rPr>
        <w:t>sNPCs</w:t>
      </w:r>
      <w:proofErr w:type="spellEnd"/>
      <w:r w:rsidRPr="00B068CA">
        <w:rPr>
          <w:rFonts w:ascii="Times New Roman" w:hAnsi="Times New Roman" w:cs="Times New Roman"/>
          <w:sz w:val="24"/>
          <w:szCs w:val="24"/>
        </w:rPr>
        <w:t xml:space="preserve"> filling the lesion cavity in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only group at either 8w or 16w. </w:t>
      </w:r>
    </w:p>
    <w:p w14:paraId="609F082E" w14:textId="5B334C87" w:rsidR="003F4E4A" w:rsidRPr="00B068CA" w:rsidRDefault="003F4E4A" w:rsidP="003F4E4A">
      <w:pPr>
        <w:spacing w:line="480" w:lineRule="auto"/>
        <w:contextualSpacing/>
        <w:jc w:val="both"/>
        <w:rPr>
          <w:rFonts w:ascii="Times New Roman" w:hAnsi="Times New Roman" w:cs="Times New Roman"/>
          <w:sz w:val="24"/>
          <w:szCs w:val="24"/>
        </w:rPr>
      </w:pPr>
      <w:r w:rsidRPr="00B068CA">
        <w:rPr>
          <w:rFonts w:ascii="Times New Roman" w:hAnsi="Times New Roman" w:cs="Times New Roman"/>
          <w:sz w:val="24"/>
          <w:szCs w:val="24"/>
        </w:rPr>
        <w:t>Further, to determine the effect of glial scar ablation on the survival of the transplanted cells (</w:t>
      </w:r>
      <w:r w:rsidRPr="000E0BE0">
        <w:rPr>
          <w:rFonts w:ascii="Times New Roman" w:hAnsi="Times New Roman" w:cs="Times New Roman"/>
          <w:sz w:val="24"/>
          <w:szCs w:val="24"/>
        </w:rPr>
        <w:t>Supplementary Fig</w:t>
      </w:r>
      <w:r>
        <w:rPr>
          <w:rFonts w:ascii="Times New Roman" w:hAnsi="Times New Roman" w:cs="Times New Roman"/>
          <w:sz w:val="24"/>
          <w:szCs w:val="24"/>
        </w:rPr>
        <w:t xml:space="preserve">. </w:t>
      </w:r>
      <w:r w:rsidR="00221759">
        <w:rPr>
          <w:rFonts w:ascii="Times New Roman" w:hAnsi="Times New Roman" w:cs="Times New Roman"/>
          <w:sz w:val="24"/>
          <w:szCs w:val="24"/>
        </w:rPr>
        <w:t>2F</w:t>
      </w:r>
      <w:r w:rsidRPr="00B068CA">
        <w:rPr>
          <w:rFonts w:ascii="Times New Roman" w:hAnsi="Times New Roman" w:cs="Times New Roman"/>
          <w:sz w:val="24"/>
          <w:szCs w:val="24"/>
        </w:rPr>
        <w:t xml:space="preserve">), the human specific antibody HNA </w:t>
      </w:r>
      <w:r>
        <w:rPr>
          <w:rFonts w:ascii="Times New Roman" w:hAnsi="Times New Roman" w:cs="Times New Roman"/>
          <w:sz w:val="24"/>
          <w:szCs w:val="24"/>
        </w:rPr>
        <w:t>w</w:t>
      </w:r>
      <w:r w:rsidRPr="00B068CA">
        <w:rPr>
          <w:rFonts w:ascii="Times New Roman" w:hAnsi="Times New Roman" w:cs="Times New Roman"/>
          <w:sz w:val="24"/>
          <w:szCs w:val="24"/>
        </w:rPr>
        <w:t xml:space="preserve">as utilized. Significant differences were observed in the average percentage of cell survival at 8w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(30.0±2.0%) compared to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(15.04+1.6%) group. RB treatment was detrimental to the </w:t>
      </w:r>
      <w:r w:rsidRPr="00B068CA">
        <w:rPr>
          <w:rFonts w:ascii="Times New Roman" w:hAnsi="Times New Roman" w:cs="Times New Roman"/>
          <w:sz w:val="24"/>
          <w:szCs w:val="24"/>
        </w:rPr>
        <w:lastRenderedPageBreak/>
        <w:t xml:space="preserve">transplanted cells as there was a significant difference in survival at 8w and also at 16w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(28.5±1.4%) versus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(11.3±0.80%) group.  </w:t>
      </w:r>
    </w:p>
    <w:p w14:paraId="5009B622" w14:textId="77777777" w:rsidR="003F4E4A" w:rsidRPr="00B068CA" w:rsidRDefault="003F4E4A" w:rsidP="003F4E4A">
      <w:pPr>
        <w:spacing w:line="480" w:lineRule="auto"/>
        <w:jc w:val="both"/>
        <w:rPr>
          <w:rFonts w:ascii="Times New Roman" w:hAnsi="Times New Roman" w:cs="Times New Roman"/>
          <w:sz w:val="24"/>
          <w:szCs w:val="24"/>
        </w:rPr>
      </w:pPr>
    </w:p>
    <w:p w14:paraId="1F9D25FF" w14:textId="77777777" w:rsidR="003F4E4A" w:rsidRPr="00B068CA" w:rsidRDefault="003F4E4A" w:rsidP="003F4E4A">
      <w:pPr>
        <w:spacing w:line="480" w:lineRule="auto"/>
        <w:jc w:val="both"/>
        <w:rPr>
          <w:rFonts w:ascii="Times New Roman" w:hAnsi="Times New Roman" w:cs="Times New Roman"/>
          <w:b/>
          <w:sz w:val="24"/>
          <w:szCs w:val="24"/>
        </w:rPr>
      </w:pPr>
      <w:r w:rsidRPr="00B068CA">
        <w:rPr>
          <w:rFonts w:ascii="Times New Roman" w:hAnsi="Times New Roman" w:cs="Times New Roman"/>
          <w:b/>
          <w:sz w:val="24"/>
          <w:szCs w:val="24"/>
        </w:rPr>
        <w:t xml:space="preserve">Treatment with Rose Bengal (RB) Affects the Differentiation of Human iPSC-Derived </w:t>
      </w:r>
      <w:proofErr w:type="spellStart"/>
      <w:r w:rsidRPr="00B068CA">
        <w:rPr>
          <w:rFonts w:ascii="Times New Roman" w:hAnsi="Times New Roman" w:cs="Times New Roman"/>
          <w:b/>
          <w:sz w:val="24"/>
          <w:szCs w:val="24"/>
        </w:rPr>
        <w:t>sNPCs</w:t>
      </w:r>
      <w:proofErr w:type="spellEnd"/>
      <w:r w:rsidRPr="00B068CA">
        <w:rPr>
          <w:rFonts w:ascii="Times New Roman" w:hAnsi="Times New Roman" w:cs="Times New Roman"/>
          <w:b/>
          <w:sz w:val="24"/>
          <w:szCs w:val="24"/>
        </w:rPr>
        <w:t xml:space="preserve"> in Chronically Injured Rat Spinal Cords at 8 and 16 Weeks (w) after Transplantation</w:t>
      </w:r>
    </w:p>
    <w:p w14:paraId="6AC773D6" w14:textId="102E4184" w:rsidR="003F4E4A" w:rsidRPr="00B068CA" w:rsidRDefault="003F4E4A" w:rsidP="003F4E4A">
      <w:pPr>
        <w:spacing w:line="480" w:lineRule="auto"/>
        <w:contextualSpacing/>
        <w:jc w:val="both"/>
        <w:rPr>
          <w:rFonts w:ascii="Times New Roman" w:hAnsi="Times New Roman" w:cs="Times New Roman"/>
          <w:sz w:val="24"/>
          <w:szCs w:val="24"/>
        </w:rPr>
      </w:pPr>
      <w:r w:rsidRPr="00B068CA">
        <w:rPr>
          <w:rFonts w:ascii="Times New Roman" w:hAnsi="Times New Roman" w:cs="Times New Roman"/>
          <w:sz w:val="24"/>
          <w:szCs w:val="24"/>
        </w:rPr>
        <w:t xml:space="preserve">To determine the fate of human iPSC-derived </w:t>
      </w:r>
      <w:proofErr w:type="spellStart"/>
      <w:r w:rsidRPr="00B068CA">
        <w:rPr>
          <w:rFonts w:ascii="Times New Roman" w:hAnsi="Times New Roman" w:cs="Times New Roman"/>
          <w:sz w:val="24"/>
          <w:szCs w:val="24"/>
        </w:rPr>
        <w:t>sNPCs</w:t>
      </w:r>
      <w:proofErr w:type="spellEnd"/>
      <w:r w:rsidRPr="00B068CA">
        <w:rPr>
          <w:rFonts w:ascii="Times New Roman" w:hAnsi="Times New Roman" w:cs="Times New Roman"/>
          <w:sz w:val="24"/>
          <w:szCs w:val="24"/>
        </w:rPr>
        <w:t xml:space="preserve"> after transplantation at 8</w:t>
      </w:r>
      <w:r>
        <w:rPr>
          <w:rFonts w:ascii="Times New Roman" w:hAnsi="Times New Roman" w:cs="Times New Roman"/>
          <w:sz w:val="24"/>
          <w:szCs w:val="24"/>
        </w:rPr>
        <w:t>w</w:t>
      </w:r>
      <w:r w:rsidRPr="00B068CA">
        <w:rPr>
          <w:rFonts w:ascii="Times New Roman" w:hAnsi="Times New Roman" w:cs="Times New Roman"/>
          <w:sz w:val="24"/>
          <w:szCs w:val="24"/>
        </w:rPr>
        <w:t xml:space="preserve"> and 16</w:t>
      </w:r>
      <w:r>
        <w:rPr>
          <w:rFonts w:ascii="Times New Roman" w:hAnsi="Times New Roman" w:cs="Times New Roman"/>
          <w:sz w:val="24"/>
          <w:szCs w:val="24"/>
        </w:rPr>
        <w:t>w</w:t>
      </w:r>
      <w:r w:rsidRPr="00B068CA">
        <w:rPr>
          <w:rFonts w:ascii="Times New Roman" w:hAnsi="Times New Roman" w:cs="Times New Roman"/>
          <w:sz w:val="24"/>
          <w:szCs w:val="24"/>
        </w:rPr>
        <w:t xml:space="preserve">, we examined SC121/HNA positive cells co-labeled either with Ki67 (proliferation), </w:t>
      </w:r>
      <w:proofErr w:type="spellStart"/>
      <w:r w:rsidRPr="00B068CA">
        <w:rPr>
          <w:rFonts w:ascii="Times New Roman" w:hAnsi="Times New Roman" w:cs="Times New Roman"/>
          <w:sz w:val="24"/>
          <w:szCs w:val="24"/>
        </w:rPr>
        <w:t>Nestin</w:t>
      </w:r>
      <w:proofErr w:type="spellEnd"/>
      <w:r w:rsidRPr="00B068CA">
        <w:rPr>
          <w:rFonts w:ascii="Times New Roman" w:hAnsi="Times New Roman" w:cs="Times New Roman"/>
          <w:sz w:val="24"/>
          <w:szCs w:val="24"/>
        </w:rPr>
        <w:t xml:space="preserve"> (neural progenitors), GFAP (astrocytes), APC (oligodendrocytes), or NF200 (neurons/axons) as depicted in</w:t>
      </w:r>
      <w:r>
        <w:rPr>
          <w:rFonts w:ascii="Times New Roman" w:hAnsi="Times New Roman" w:cs="Times New Roman"/>
          <w:sz w:val="24"/>
          <w:szCs w:val="24"/>
        </w:rPr>
        <w:t xml:space="preserve"> </w:t>
      </w:r>
      <w:r w:rsidRPr="000E0BE0">
        <w:rPr>
          <w:rFonts w:ascii="Times New Roman" w:hAnsi="Times New Roman" w:cs="Times New Roman"/>
          <w:sz w:val="24"/>
          <w:szCs w:val="24"/>
        </w:rPr>
        <w:t>Supplementary Fig</w:t>
      </w:r>
      <w:r>
        <w:rPr>
          <w:rFonts w:ascii="Times New Roman" w:hAnsi="Times New Roman" w:cs="Times New Roman"/>
          <w:sz w:val="24"/>
          <w:szCs w:val="24"/>
        </w:rPr>
        <w:t xml:space="preserve">. </w:t>
      </w:r>
      <w:r w:rsidR="00221759">
        <w:rPr>
          <w:rFonts w:ascii="Times New Roman" w:hAnsi="Times New Roman" w:cs="Times New Roman"/>
          <w:sz w:val="24"/>
          <w:szCs w:val="24"/>
        </w:rPr>
        <w:t>3</w:t>
      </w:r>
      <w:r w:rsidRPr="00B068CA">
        <w:rPr>
          <w:rFonts w:ascii="Times New Roman" w:hAnsi="Times New Roman" w:cs="Times New Roman"/>
          <w:sz w:val="24"/>
          <w:szCs w:val="24"/>
        </w:rPr>
        <w:t>A</w:t>
      </w:r>
      <w:r>
        <w:rPr>
          <w:rFonts w:ascii="Times New Roman" w:hAnsi="Times New Roman" w:cs="Times New Roman"/>
          <w:sz w:val="24"/>
          <w:szCs w:val="24"/>
        </w:rPr>
        <w:t>-</w:t>
      </w:r>
      <w:r w:rsidR="00221759">
        <w:rPr>
          <w:rFonts w:ascii="Times New Roman" w:hAnsi="Times New Roman" w:cs="Times New Roman"/>
          <w:sz w:val="24"/>
          <w:szCs w:val="24"/>
        </w:rPr>
        <w:t>E</w:t>
      </w:r>
      <w:r w:rsidRPr="00B068CA">
        <w:rPr>
          <w:rFonts w:ascii="Times New Roman" w:hAnsi="Times New Roman" w:cs="Times New Roman"/>
          <w:sz w:val="24"/>
          <w:szCs w:val="24"/>
        </w:rPr>
        <w:t xml:space="preserve">. The quantitative analysis is presented in </w:t>
      </w:r>
      <w:r w:rsidRPr="000E0BE0">
        <w:rPr>
          <w:rFonts w:ascii="Times New Roman" w:hAnsi="Times New Roman" w:cs="Times New Roman"/>
          <w:sz w:val="24"/>
          <w:szCs w:val="24"/>
        </w:rPr>
        <w:t xml:space="preserve">Supplementary Fig </w:t>
      </w:r>
      <w:r w:rsidR="00221759">
        <w:rPr>
          <w:rFonts w:ascii="Times New Roman" w:hAnsi="Times New Roman" w:cs="Times New Roman"/>
          <w:sz w:val="24"/>
          <w:szCs w:val="24"/>
        </w:rPr>
        <w:t>3a-e</w:t>
      </w:r>
      <w:r w:rsidRPr="00B068CA">
        <w:rPr>
          <w:rFonts w:ascii="Times New Roman" w:hAnsi="Times New Roman" w:cs="Times New Roman"/>
          <w:sz w:val="24"/>
          <w:szCs w:val="24"/>
        </w:rPr>
        <w:t>.</w:t>
      </w:r>
    </w:p>
    <w:p w14:paraId="00B3CE89" w14:textId="77777777" w:rsidR="003F4E4A" w:rsidRPr="00B068CA" w:rsidRDefault="003F4E4A" w:rsidP="003F4E4A">
      <w:pPr>
        <w:spacing w:line="480" w:lineRule="auto"/>
        <w:contextualSpacing/>
        <w:jc w:val="both"/>
        <w:rPr>
          <w:rFonts w:ascii="Times New Roman" w:hAnsi="Times New Roman" w:cs="Times New Roman"/>
          <w:sz w:val="24"/>
          <w:szCs w:val="24"/>
        </w:rPr>
      </w:pPr>
      <w:r w:rsidRPr="00B068CA">
        <w:rPr>
          <w:rFonts w:ascii="Times New Roman" w:hAnsi="Times New Roman" w:cs="Times New Roman"/>
          <w:sz w:val="24"/>
          <w:szCs w:val="24"/>
        </w:rPr>
        <w:t xml:space="preserve">Sixteen </w:t>
      </w:r>
      <w:r>
        <w:rPr>
          <w:rFonts w:ascii="Times New Roman" w:hAnsi="Times New Roman" w:cs="Times New Roman"/>
          <w:sz w:val="24"/>
          <w:szCs w:val="24"/>
        </w:rPr>
        <w:t>w</w:t>
      </w:r>
      <w:r w:rsidRPr="00B068CA">
        <w:rPr>
          <w:rFonts w:ascii="Times New Roman" w:hAnsi="Times New Roman" w:cs="Times New Roman"/>
          <w:sz w:val="24"/>
          <w:szCs w:val="24"/>
        </w:rPr>
        <w:t xml:space="preserve">eeks’ post-transplantation, the percentage of HNA positive cells that co-expressed with Ki67 was very low among all the groups. There was no statistically significant difference between the groups: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(8w:1.94±0.11%;16w:2.15±0.10%) and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(8w:2.17±0.54%; 16w:2.6±0.65%). These results indicated that few transplanted cells were still proliferating at the experimental end point in both treatment groups, and we also observed that the Ki67 positive cells were distributed uniformly across the engrafted area. Some transplanted cells retained an immature phenotype shown by </w:t>
      </w:r>
      <w:proofErr w:type="spellStart"/>
      <w:r w:rsidRPr="00B068CA">
        <w:rPr>
          <w:rFonts w:ascii="Times New Roman" w:hAnsi="Times New Roman" w:cs="Times New Roman"/>
          <w:sz w:val="24"/>
          <w:szCs w:val="24"/>
        </w:rPr>
        <w:t>Nestin</w:t>
      </w:r>
      <w:proofErr w:type="spellEnd"/>
      <w:r w:rsidRPr="00B068CA">
        <w:rPr>
          <w:rFonts w:ascii="Times New Roman" w:hAnsi="Times New Roman" w:cs="Times New Roman"/>
          <w:sz w:val="24"/>
          <w:szCs w:val="24"/>
        </w:rPr>
        <w:t xml:space="preserve"> expression in both treatment groups (8w:36.8±3.54%; 16w:33.6±1.43%)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and (8w:36.63±9.51%; 16w:37.07±9.27%) in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group. Quantitative analysis showed that there was no statistically significant difference between the two groups at 8w and 16w after transplantation. Similarly, there was no significant difference in the expression of GFAP (astrocytes) in both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(8w:14.67±0.52%;16w:14.85±0.63%) and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(8w:14.90±3.72%; 16w:15.0± 3.75%) group. </w:t>
      </w:r>
    </w:p>
    <w:p w14:paraId="0D06FF91" w14:textId="77777777" w:rsidR="003F4E4A" w:rsidRPr="00B068CA" w:rsidRDefault="003F4E4A" w:rsidP="003F4E4A">
      <w:pPr>
        <w:spacing w:line="480" w:lineRule="auto"/>
        <w:jc w:val="both"/>
        <w:rPr>
          <w:rFonts w:ascii="Times New Roman" w:hAnsi="Times New Roman" w:cs="Times New Roman"/>
          <w:sz w:val="24"/>
          <w:szCs w:val="24"/>
        </w:rPr>
      </w:pPr>
      <w:r w:rsidRPr="00B068CA">
        <w:rPr>
          <w:rFonts w:ascii="Times New Roman" w:hAnsi="Times New Roman" w:cs="Times New Roman"/>
          <w:sz w:val="24"/>
          <w:szCs w:val="24"/>
        </w:rPr>
        <w:lastRenderedPageBreak/>
        <w:t xml:space="preserve">We determined the percentage of transplanted cells demonstrating either neuronal or </w:t>
      </w:r>
      <w:proofErr w:type="spellStart"/>
      <w:r w:rsidRPr="00B068CA">
        <w:rPr>
          <w:rFonts w:ascii="Times New Roman" w:hAnsi="Times New Roman" w:cs="Times New Roman"/>
          <w:sz w:val="24"/>
          <w:szCs w:val="24"/>
        </w:rPr>
        <w:t>oligodendroglial</w:t>
      </w:r>
      <w:proofErr w:type="spellEnd"/>
      <w:r w:rsidRPr="00B068CA">
        <w:rPr>
          <w:rFonts w:ascii="Times New Roman" w:hAnsi="Times New Roman" w:cs="Times New Roman"/>
          <w:sz w:val="24"/>
          <w:szCs w:val="24"/>
        </w:rPr>
        <w:t xml:space="preserve"> fate. The majority of the transplanted cells expressed neuronal markers. We utilized neuronal markers (NF200). Eight weeks after cell transplantation there was no significant difference in the expression of NF200 between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(39.84±1.04%) and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(32.17±8.04%) group. We then quantified the expression of NF200 at 16w after cell transplantation and the quantitative analysis revealed that the percentage of transplanted cells expressing the neuronal marker was significantly greater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(45.82±0.89%) when compared with the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group (31.44±7.85%).  </w:t>
      </w:r>
    </w:p>
    <w:p w14:paraId="60870E14" w14:textId="63DD0004" w:rsidR="003F4E4A" w:rsidRDefault="003F4E4A" w:rsidP="003F4E4A">
      <w:pPr>
        <w:spacing w:line="480" w:lineRule="auto"/>
        <w:jc w:val="both"/>
        <w:rPr>
          <w:rFonts w:ascii="Times New Roman" w:hAnsi="Times New Roman" w:cs="Times New Roman"/>
          <w:sz w:val="24"/>
          <w:szCs w:val="24"/>
        </w:rPr>
      </w:pPr>
      <w:r w:rsidRPr="00B068CA">
        <w:rPr>
          <w:rFonts w:ascii="Times New Roman" w:hAnsi="Times New Roman" w:cs="Times New Roman"/>
          <w:sz w:val="24"/>
          <w:szCs w:val="24"/>
        </w:rPr>
        <w:t xml:space="preserve">Further, a minority of the cells expressed </w:t>
      </w:r>
      <w:proofErr w:type="spellStart"/>
      <w:r w:rsidRPr="00B068CA">
        <w:rPr>
          <w:rFonts w:ascii="Times New Roman" w:hAnsi="Times New Roman" w:cs="Times New Roman"/>
          <w:sz w:val="24"/>
          <w:szCs w:val="24"/>
        </w:rPr>
        <w:t>oligodendrocytic</w:t>
      </w:r>
      <w:proofErr w:type="spellEnd"/>
      <w:r w:rsidRPr="00B068CA">
        <w:rPr>
          <w:rFonts w:ascii="Times New Roman" w:hAnsi="Times New Roman" w:cs="Times New Roman"/>
          <w:sz w:val="24"/>
          <w:szCs w:val="24"/>
        </w:rPr>
        <w:t xml:space="preserve"> markers. No difference was observed in the percentage of APC at 8w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group (2.45±0.19%) and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group (3.13±0.78%). However, transplanted cells showed a significant difference in the expression of APC bet</w:t>
      </w:r>
      <w:r>
        <w:rPr>
          <w:rFonts w:ascii="Times New Roman" w:hAnsi="Times New Roman" w:cs="Times New Roman"/>
          <w:sz w:val="24"/>
          <w:szCs w:val="24"/>
        </w:rPr>
        <w:t>w</w:t>
      </w:r>
      <w:r w:rsidRPr="00B068CA">
        <w:rPr>
          <w:rFonts w:ascii="Times New Roman" w:hAnsi="Times New Roman" w:cs="Times New Roman"/>
          <w:sz w:val="24"/>
          <w:szCs w:val="24"/>
        </w:rPr>
        <w:t xml:space="preserve">een the two treatment groups in the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only (2.01+0.24%) and </w:t>
      </w:r>
      <w:proofErr w:type="spellStart"/>
      <w:r>
        <w:rPr>
          <w:rFonts w:ascii="Times New Roman" w:hAnsi="Times New Roman" w:cs="Times New Roman"/>
          <w:sz w:val="24"/>
          <w:szCs w:val="24"/>
        </w:rPr>
        <w:t>GSA+sNPC</w:t>
      </w:r>
      <w:proofErr w:type="spellEnd"/>
      <w:r w:rsidRPr="00B068CA">
        <w:rPr>
          <w:rFonts w:ascii="Times New Roman" w:hAnsi="Times New Roman" w:cs="Times New Roman"/>
          <w:sz w:val="24"/>
          <w:szCs w:val="24"/>
        </w:rPr>
        <w:t xml:space="preserve"> (3.1±1.55%) groups with a higher percentage of cells expressing markers of oligodendrocyte lineage at 16w when the glial scar was ablated. This suggests when the glial scar was not ablated, a higher percentage of transplanted cells differentiated into neurons compared with cells transplanted into glial scar ablated cords. Our original proposal was that </w:t>
      </w:r>
      <w:proofErr w:type="spellStart"/>
      <w:r w:rsidRPr="00B068CA">
        <w:rPr>
          <w:rFonts w:ascii="Times New Roman" w:hAnsi="Times New Roman" w:cs="Times New Roman"/>
          <w:sz w:val="24"/>
          <w:szCs w:val="24"/>
        </w:rPr>
        <w:t>sNPCs</w:t>
      </w:r>
      <w:proofErr w:type="spellEnd"/>
      <w:r w:rsidRPr="00B068CA">
        <w:rPr>
          <w:rFonts w:ascii="Times New Roman" w:hAnsi="Times New Roman" w:cs="Times New Roman"/>
          <w:sz w:val="24"/>
          <w:szCs w:val="24"/>
        </w:rPr>
        <w:t xml:space="preserve"> will have superior survival and integration into the injured spinal cord when used in combination with glial scar ablation. However, the results showed glial scar ablation with rose Bengal had no beneficial effect on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survival and integration into chronically injured cords, and in fact was detrimental. Therefore, we excluded the glial scar ablation in the combinatorial treatment with </w:t>
      </w:r>
      <w:proofErr w:type="spellStart"/>
      <w:r w:rsidRPr="00B068CA">
        <w:rPr>
          <w:rFonts w:ascii="Times New Roman" w:hAnsi="Times New Roman" w:cs="Times New Roman"/>
          <w:sz w:val="24"/>
          <w:szCs w:val="24"/>
        </w:rPr>
        <w:t>sNPC</w:t>
      </w:r>
      <w:proofErr w:type="spellEnd"/>
      <w:r w:rsidRPr="00B068CA">
        <w:rPr>
          <w:rFonts w:ascii="Times New Roman" w:hAnsi="Times New Roman" w:cs="Times New Roman"/>
          <w:sz w:val="24"/>
          <w:szCs w:val="24"/>
        </w:rPr>
        <w:t xml:space="preserve"> transplantation and TANES.</w:t>
      </w:r>
    </w:p>
    <w:p w14:paraId="281097B3" w14:textId="77777777" w:rsidR="00596A50" w:rsidRDefault="00596A50" w:rsidP="001C0EC6">
      <w:pPr>
        <w:spacing w:line="480" w:lineRule="auto"/>
        <w:jc w:val="center"/>
        <w:rPr>
          <w:rFonts w:ascii="Times New Roman" w:hAnsi="Times New Roman" w:cs="Times New Roman"/>
          <w:b/>
          <w:bCs/>
          <w:sz w:val="24"/>
          <w:szCs w:val="24"/>
        </w:rPr>
      </w:pPr>
    </w:p>
    <w:p w14:paraId="35A78F1A" w14:textId="77777777" w:rsidR="00596A50" w:rsidRDefault="00596A50" w:rsidP="001C0EC6">
      <w:pPr>
        <w:spacing w:line="480" w:lineRule="auto"/>
        <w:jc w:val="center"/>
        <w:rPr>
          <w:rFonts w:ascii="Times New Roman" w:hAnsi="Times New Roman" w:cs="Times New Roman"/>
          <w:b/>
          <w:bCs/>
          <w:sz w:val="24"/>
          <w:szCs w:val="24"/>
        </w:rPr>
      </w:pPr>
    </w:p>
    <w:p w14:paraId="3F9156EC" w14:textId="1F986D58" w:rsidR="001C0EC6" w:rsidRDefault="001C0EC6" w:rsidP="001C0EC6">
      <w:pPr>
        <w:spacing w:line="480" w:lineRule="auto"/>
        <w:jc w:val="center"/>
        <w:rPr>
          <w:rFonts w:ascii="Times New Roman" w:hAnsi="Times New Roman" w:cs="Times New Roman"/>
          <w:b/>
          <w:bCs/>
          <w:sz w:val="24"/>
          <w:szCs w:val="24"/>
        </w:rPr>
      </w:pPr>
      <w:r w:rsidRPr="001C0EC6">
        <w:rPr>
          <w:rFonts w:ascii="Times New Roman" w:hAnsi="Times New Roman" w:cs="Times New Roman"/>
          <w:b/>
          <w:bCs/>
          <w:sz w:val="24"/>
          <w:szCs w:val="24"/>
        </w:rPr>
        <w:lastRenderedPageBreak/>
        <w:t>Animal Handling and Monitoring</w:t>
      </w:r>
    </w:p>
    <w:p w14:paraId="703C714F" w14:textId="62B96DD1" w:rsidR="001C0EC6" w:rsidRPr="001C0EC6" w:rsidRDefault="001C0EC6" w:rsidP="001C0EC6">
      <w:pPr>
        <w:spacing w:line="480" w:lineRule="auto"/>
        <w:jc w:val="both"/>
        <w:rPr>
          <w:rFonts w:ascii="Times New Roman" w:hAnsi="Times New Roman" w:cs="Times New Roman"/>
          <w:sz w:val="24"/>
          <w:szCs w:val="24"/>
        </w:rPr>
      </w:pPr>
      <w:r w:rsidRPr="001C0EC6">
        <w:rPr>
          <w:rFonts w:ascii="Times New Roman" w:hAnsi="Times New Roman" w:cs="Times New Roman"/>
          <w:sz w:val="24"/>
          <w:szCs w:val="24"/>
        </w:rPr>
        <w:t xml:space="preserve">The study was performed in strict accordance with the recommendations in the Guide for the Care and Use of Laboratory Animals of the National Institutes of Health (NIH). The protocol was approved by the Institutional Animal Care and Use Committee at the University of Minnesota (Protocol Number 1810-36461A). We selected rats because they have become standard laboratory animals in testing of functional recovery after spinal cord injury. Behavioral testing has been thoroughly described and validated in rats. Animals </w:t>
      </w:r>
      <w:r>
        <w:rPr>
          <w:rFonts w:ascii="Times New Roman" w:hAnsi="Times New Roman" w:cs="Times New Roman"/>
          <w:sz w:val="24"/>
          <w:szCs w:val="24"/>
        </w:rPr>
        <w:t xml:space="preserve">were </w:t>
      </w:r>
      <w:r w:rsidRPr="001C0EC6">
        <w:rPr>
          <w:rFonts w:ascii="Times New Roman" w:hAnsi="Times New Roman" w:cs="Times New Roman"/>
          <w:sz w:val="24"/>
          <w:szCs w:val="24"/>
        </w:rPr>
        <w:t xml:space="preserve">monitored daily to determine whether they are listless and have stopped eating and drinking. Surgical sites </w:t>
      </w:r>
      <w:r>
        <w:rPr>
          <w:rFonts w:ascii="Times New Roman" w:hAnsi="Times New Roman" w:cs="Times New Roman"/>
          <w:sz w:val="24"/>
          <w:szCs w:val="24"/>
        </w:rPr>
        <w:t xml:space="preserve">were </w:t>
      </w:r>
      <w:r w:rsidRPr="001C0EC6">
        <w:rPr>
          <w:rFonts w:ascii="Times New Roman" w:hAnsi="Times New Roman" w:cs="Times New Roman"/>
          <w:sz w:val="24"/>
          <w:szCs w:val="24"/>
        </w:rPr>
        <w:t xml:space="preserve">examined carefully for signs of infection. When bladders are expressed (twice daily until bladder recovery), the urine </w:t>
      </w:r>
      <w:r>
        <w:rPr>
          <w:rFonts w:ascii="Times New Roman" w:hAnsi="Times New Roman" w:cs="Times New Roman"/>
          <w:sz w:val="24"/>
          <w:szCs w:val="24"/>
        </w:rPr>
        <w:t xml:space="preserve">was </w:t>
      </w:r>
      <w:r w:rsidRPr="001C0EC6">
        <w:rPr>
          <w:rFonts w:ascii="Times New Roman" w:hAnsi="Times New Roman" w:cs="Times New Roman"/>
          <w:sz w:val="24"/>
          <w:szCs w:val="24"/>
        </w:rPr>
        <w:t xml:space="preserve">examined for gross hematuria. Animals </w:t>
      </w:r>
      <w:r>
        <w:rPr>
          <w:rFonts w:ascii="Times New Roman" w:hAnsi="Times New Roman" w:cs="Times New Roman"/>
          <w:sz w:val="24"/>
          <w:szCs w:val="24"/>
        </w:rPr>
        <w:t>we</w:t>
      </w:r>
      <w:bookmarkStart w:id="0" w:name="_GoBack"/>
      <w:bookmarkEnd w:id="0"/>
      <w:r>
        <w:rPr>
          <w:rFonts w:ascii="Times New Roman" w:hAnsi="Times New Roman" w:cs="Times New Roman"/>
          <w:sz w:val="24"/>
          <w:szCs w:val="24"/>
        </w:rPr>
        <w:t xml:space="preserve">re </w:t>
      </w:r>
      <w:r w:rsidRPr="001C0EC6">
        <w:rPr>
          <w:rFonts w:ascii="Times New Roman" w:hAnsi="Times New Roman" w:cs="Times New Roman"/>
          <w:sz w:val="24"/>
          <w:szCs w:val="24"/>
        </w:rPr>
        <w:t xml:space="preserve">weighed once a week at the time of the functional testing for weight loss. The following clinical signs will be monitored: failure to groom, lethargy, dyspnea, persistent self-trauma. </w:t>
      </w:r>
      <w:r>
        <w:rPr>
          <w:rFonts w:ascii="Times New Roman" w:hAnsi="Times New Roman" w:cs="Times New Roman"/>
          <w:sz w:val="24"/>
          <w:szCs w:val="24"/>
        </w:rPr>
        <w:t>Rats</w:t>
      </w:r>
      <w:r w:rsidRPr="001C0EC6">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1C0EC6">
        <w:rPr>
          <w:rFonts w:ascii="Times New Roman" w:hAnsi="Times New Roman" w:cs="Times New Roman"/>
          <w:sz w:val="24"/>
          <w:szCs w:val="24"/>
        </w:rPr>
        <w:t xml:space="preserve">observed daily. RAR consulted if the </w:t>
      </w:r>
      <w:r>
        <w:rPr>
          <w:rFonts w:ascii="Times New Roman" w:hAnsi="Times New Roman" w:cs="Times New Roman"/>
          <w:sz w:val="24"/>
          <w:szCs w:val="24"/>
        </w:rPr>
        <w:t>rat</w:t>
      </w:r>
      <w:r w:rsidRPr="001C0EC6">
        <w:rPr>
          <w:rFonts w:ascii="Times New Roman" w:hAnsi="Times New Roman" w:cs="Times New Roman"/>
          <w:sz w:val="24"/>
          <w:szCs w:val="24"/>
        </w:rPr>
        <w:t xml:space="preserve"> needs to be euthanized for humane reasons. Athymic nude rats </w:t>
      </w:r>
      <w:r>
        <w:rPr>
          <w:rFonts w:ascii="Times New Roman" w:hAnsi="Times New Roman" w:cs="Times New Roman"/>
          <w:sz w:val="24"/>
          <w:szCs w:val="24"/>
        </w:rPr>
        <w:t>were</w:t>
      </w:r>
      <w:r w:rsidRPr="001C0EC6">
        <w:rPr>
          <w:rFonts w:ascii="Times New Roman" w:hAnsi="Times New Roman" w:cs="Times New Roman"/>
          <w:sz w:val="24"/>
          <w:szCs w:val="24"/>
        </w:rPr>
        <w:t xml:space="preserve"> observed to see if any fur has fallen in their eyes. Monitoring </w:t>
      </w:r>
      <w:r>
        <w:rPr>
          <w:rFonts w:ascii="Times New Roman" w:hAnsi="Times New Roman" w:cs="Times New Roman"/>
          <w:sz w:val="24"/>
          <w:szCs w:val="24"/>
        </w:rPr>
        <w:t>was</w:t>
      </w:r>
      <w:r w:rsidRPr="001C0EC6">
        <w:rPr>
          <w:rFonts w:ascii="Times New Roman" w:hAnsi="Times New Roman" w:cs="Times New Roman"/>
          <w:sz w:val="24"/>
          <w:szCs w:val="24"/>
        </w:rPr>
        <w:t xml:space="preserve"> include</w:t>
      </w:r>
      <w:r>
        <w:rPr>
          <w:rFonts w:ascii="Times New Roman" w:hAnsi="Times New Roman" w:cs="Times New Roman"/>
          <w:sz w:val="24"/>
          <w:szCs w:val="24"/>
        </w:rPr>
        <w:t>d</w:t>
      </w:r>
      <w:r w:rsidRPr="001C0EC6">
        <w:rPr>
          <w:rFonts w:ascii="Times New Roman" w:hAnsi="Times New Roman" w:cs="Times New Roman"/>
          <w:sz w:val="24"/>
          <w:szCs w:val="24"/>
        </w:rPr>
        <w:t xml:space="preserve"> weekends and holidays. Immediately after surgery, our rats </w:t>
      </w:r>
      <w:r>
        <w:rPr>
          <w:rFonts w:ascii="Times New Roman" w:hAnsi="Times New Roman" w:cs="Times New Roman"/>
          <w:sz w:val="24"/>
          <w:szCs w:val="24"/>
        </w:rPr>
        <w:t>were</w:t>
      </w:r>
      <w:r w:rsidRPr="001C0EC6">
        <w:rPr>
          <w:rFonts w:ascii="Times New Roman" w:hAnsi="Times New Roman" w:cs="Times New Roman"/>
          <w:sz w:val="24"/>
          <w:szCs w:val="24"/>
        </w:rPr>
        <w:t xml:space="preserve"> singly housed to prevent them from licking or biting at the fresh wounds. When we remove the sutures at 2 weeks, we are then typically re-house them in pairs.</w:t>
      </w:r>
    </w:p>
    <w:p w14:paraId="18E2E035" w14:textId="77777777" w:rsidR="001C0EC6" w:rsidRPr="001C0EC6" w:rsidRDefault="001C0EC6" w:rsidP="001C0EC6">
      <w:pPr>
        <w:spacing w:line="480" w:lineRule="auto"/>
        <w:jc w:val="both"/>
        <w:rPr>
          <w:rFonts w:ascii="Times New Roman" w:hAnsi="Times New Roman" w:cs="Times New Roman"/>
          <w:sz w:val="24"/>
          <w:szCs w:val="24"/>
        </w:rPr>
      </w:pPr>
    </w:p>
    <w:p w14:paraId="0E35BDA9" w14:textId="77777777" w:rsidR="001C0EC6" w:rsidRPr="001C0EC6" w:rsidRDefault="001C0EC6" w:rsidP="001C0EC6">
      <w:pPr>
        <w:spacing w:line="480" w:lineRule="auto"/>
        <w:jc w:val="both"/>
        <w:rPr>
          <w:rFonts w:ascii="Times New Roman" w:hAnsi="Times New Roman" w:cs="Times New Roman"/>
          <w:sz w:val="24"/>
          <w:szCs w:val="24"/>
        </w:rPr>
      </w:pPr>
    </w:p>
    <w:p w14:paraId="383407A5" w14:textId="77777777" w:rsidR="00F239B7" w:rsidRPr="001C0EC6" w:rsidRDefault="00F239B7" w:rsidP="001C0EC6">
      <w:pPr>
        <w:spacing w:line="480" w:lineRule="auto"/>
        <w:jc w:val="both"/>
      </w:pPr>
    </w:p>
    <w:sectPr w:rsidR="00F239B7" w:rsidRPr="001C0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E1"/>
    <w:rsid w:val="000374FA"/>
    <w:rsid w:val="00122236"/>
    <w:rsid w:val="001879C0"/>
    <w:rsid w:val="001C0EC6"/>
    <w:rsid w:val="00221759"/>
    <w:rsid w:val="00260E03"/>
    <w:rsid w:val="003F4E4A"/>
    <w:rsid w:val="004A13B4"/>
    <w:rsid w:val="0052452E"/>
    <w:rsid w:val="00596A50"/>
    <w:rsid w:val="006F49AE"/>
    <w:rsid w:val="007066B3"/>
    <w:rsid w:val="00710183"/>
    <w:rsid w:val="007F0A31"/>
    <w:rsid w:val="008A352A"/>
    <w:rsid w:val="008A461B"/>
    <w:rsid w:val="00944C00"/>
    <w:rsid w:val="00AD4AE1"/>
    <w:rsid w:val="00B72BB7"/>
    <w:rsid w:val="00DD121A"/>
    <w:rsid w:val="00E622A6"/>
    <w:rsid w:val="00F239B7"/>
    <w:rsid w:val="00F64011"/>
    <w:rsid w:val="00F64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1F33"/>
  <w15:chartTrackingRefBased/>
  <w15:docId w15:val="{A31C0220-B21A-4F46-8C5B-5EF10042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Dhivya K.</cp:lastModifiedBy>
  <cp:revision>9</cp:revision>
  <dcterms:created xsi:type="dcterms:W3CDTF">2023-08-17T19:22:00Z</dcterms:created>
  <dcterms:modified xsi:type="dcterms:W3CDTF">2023-12-06T02:13:00Z</dcterms:modified>
</cp:coreProperties>
</file>