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1345" w14:textId="7C6D37DA" w:rsidR="00082E0E" w:rsidRDefault="00082E0E" w:rsidP="00082E0E">
      <w:pPr>
        <w:jc w:val="center"/>
        <w:rPr>
          <w:rFonts w:ascii="Times New Roman" w:hAnsi="Times New Roman" w:cs="Times New Roman"/>
          <w:b/>
        </w:rPr>
      </w:pPr>
      <w:r w:rsidRPr="006D3A04">
        <w:rPr>
          <w:rFonts w:ascii="Times New Roman" w:hAnsi="Times New Roman" w:cs="Times New Roman"/>
          <w:b/>
        </w:rPr>
        <w:t xml:space="preserve">Supplemental </w:t>
      </w:r>
      <w:r>
        <w:rPr>
          <w:rFonts w:ascii="Times New Roman" w:hAnsi="Times New Roman" w:cs="Times New Roman"/>
          <w:b/>
        </w:rPr>
        <w:t>Methods</w:t>
      </w:r>
    </w:p>
    <w:p w14:paraId="1D2E774A" w14:textId="77777777" w:rsidR="00082E0E" w:rsidRPr="006D3A04" w:rsidRDefault="00082E0E" w:rsidP="00082E0E">
      <w:pPr>
        <w:jc w:val="center"/>
        <w:rPr>
          <w:rFonts w:ascii="Times New Roman" w:hAnsi="Times New Roman" w:cs="Times New Roman"/>
          <w:b/>
        </w:rPr>
      </w:pPr>
    </w:p>
    <w:p w14:paraId="122FE8B4" w14:textId="77777777" w:rsidR="00082E0E" w:rsidRPr="006D3A04" w:rsidRDefault="00082E0E" w:rsidP="00082E0E">
      <w:pPr>
        <w:contextualSpacing/>
        <w:jc w:val="center"/>
        <w:rPr>
          <w:rFonts w:ascii="Times New Roman" w:hAnsi="Times New Roman" w:cs="Times New Roman"/>
          <w:b/>
        </w:rPr>
      </w:pPr>
      <w:r w:rsidRPr="006D3A04">
        <w:rPr>
          <w:rFonts w:ascii="Times New Roman" w:hAnsi="Times New Roman" w:cs="Times New Roman"/>
          <w:b/>
        </w:rPr>
        <w:t>Efficacy of Intrathecal Mesenchymal Stem Cell-Neural Progenitor Therapy in Progressive MS: Results from a Phase II, Randomized, Placebo-Controlled Clinical Trial</w:t>
      </w:r>
    </w:p>
    <w:p w14:paraId="52FF026E" w14:textId="77777777" w:rsidR="00082E0E" w:rsidRPr="006D3A04" w:rsidRDefault="00082E0E" w:rsidP="00082E0E">
      <w:pPr>
        <w:contextualSpacing/>
        <w:jc w:val="center"/>
        <w:rPr>
          <w:rFonts w:ascii="Times New Roman" w:hAnsi="Times New Roman" w:cs="Times New Roman"/>
          <w:b/>
        </w:rPr>
      </w:pPr>
    </w:p>
    <w:p w14:paraId="1C0D0E6B" w14:textId="77777777" w:rsidR="00082E0E" w:rsidRPr="006D3A04" w:rsidRDefault="00082E0E" w:rsidP="00082E0E">
      <w:pPr>
        <w:contextualSpacing/>
        <w:jc w:val="center"/>
        <w:rPr>
          <w:rFonts w:ascii="Times New Roman" w:hAnsi="Times New Roman" w:cs="Times New Roman"/>
          <w:b/>
        </w:rPr>
      </w:pPr>
      <w:r w:rsidRPr="006D3A04">
        <w:rPr>
          <w:rFonts w:ascii="Times New Roman" w:hAnsi="Times New Roman" w:cs="Times New Roman"/>
          <w:b/>
        </w:rPr>
        <w:t>Harris, V.K. et al</w:t>
      </w:r>
    </w:p>
    <w:p w14:paraId="4A2E0263" w14:textId="77777777" w:rsidR="00082E0E" w:rsidRDefault="00082E0E" w:rsidP="00B75EE2">
      <w:pPr>
        <w:pStyle w:val="ListParagraph"/>
        <w:spacing w:after="0" w:line="480" w:lineRule="auto"/>
        <w:ind w:left="0"/>
        <w:rPr>
          <w:rFonts w:ascii="Times New Roman" w:hAnsi="Times New Roman" w:cs="Times New Roman"/>
          <w:b/>
          <w:color w:val="000000" w:themeColor="text1"/>
          <w:sz w:val="24"/>
          <w:szCs w:val="24"/>
        </w:rPr>
      </w:pPr>
    </w:p>
    <w:p w14:paraId="4504478A" w14:textId="77777777" w:rsidR="00082E0E" w:rsidRDefault="00082E0E" w:rsidP="00B75EE2">
      <w:pPr>
        <w:pStyle w:val="ListParagraph"/>
        <w:spacing w:after="0" w:line="480" w:lineRule="auto"/>
        <w:ind w:left="0"/>
        <w:rPr>
          <w:rFonts w:ascii="Times New Roman" w:hAnsi="Times New Roman" w:cs="Times New Roman"/>
          <w:b/>
          <w:color w:val="000000" w:themeColor="text1"/>
          <w:sz w:val="24"/>
          <w:szCs w:val="24"/>
        </w:rPr>
      </w:pPr>
    </w:p>
    <w:p w14:paraId="3FFE483D" w14:textId="621E71E5" w:rsidR="00A50180" w:rsidRPr="00090043" w:rsidRDefault="00A50180" w:rsidP="00B75EE2">
      <w:pPr>
        <w:pStyle w:val="ListParagraph"/>
        <w:spacing w:after="0" w:line="480" w:lineRule="auto"/>
        <w:ind w:left="0"/>
        <w:rPr>
          <w:rFonts w:ascii="Times New Roman" w:hAnsi="Times New Roman" w:cs="Times New Roman"/>
          <w:b/>
          <w:color w:val="000000" w:themeColor="text1"/>
          <w:sz w:val="24"/>
          <w:szCs w:val="24"/>
        </w:rPr>
      </w:pPr>
      <w:r w:rsidRPr="00090043">
        <w:rPr>
          <w:rFonts w:ascii="Times New Roman" w:hAnsi="Times New Roman" w:cs="Times New Roman"/>
          <w:b/>
          <w:color w:val="000000" w:themeColor="text1"/>
          <w:sz w:val="24"/>
          <w:szCs w:val="24"/>
        </w:rPr>
        <w:t xml:space="preserve">Preparation of autologous MSC-NP cells </w:t>
      </w:r>
    </w:p>
    <w:p w14:paraId="669CEDB4" w14:textId="73898DA5" w:rsidR="00DB5CB3" w:rsidRDefault="00473EE0" w:rsidP="00B75EE2">
      <w:pPr>
        <w:pStyle w:val="Heading1"/>
        <w:spacing w:before="0" w:beforeAutospacing="0" w:after="0" w:afterAutospacing="0" w:line="480" w:lineRule="auto"/>
        <w:rPr>
          <w:b w:val="0"/>
          <w:color w:val="000000" w:themeColor="text1"/>
          <w:sz w:val="24"/>
          <w:szCs w:val="24"/>
        </w:rPr>
      </w:pPr>
      <w:r w:rsidRPr="00B75EE2">
        <w:rPr>
          <w:b w:val="0"/>
          <w:color w:val="000000" w:themeColor="text1"/>
          <w:sz w:val="24"/>
          <w:szCs w:val="24"/>
        </w:rPr>
        <w:t xml:space="preserve">Cell manufacturing was performed in a cGMP facility at the Tisch MS Research Center of New York. </w:t>
      </w:r>
      <w:r w:rsidR="00710714" w:rsidRPr="00B75EE2">
        <w:rPr>
          <w:b w:val="0"/>
          <w:color w:val="000000" w:themeColor="text1"/>
          <w:sz w:val="24"/>
          <w:szCs w:val="24"/>
        </w:rPr>
        <w:t xml:space="preserve">To generate MSC-NPs, the mononucleated cell fraction from a 20 ml sternal bone marrow aspirate was isolated using </w:t>
      </w:r>
      <w:proofErr w:type="spellStart"/>
      <w:r w:rsidR="00710714" w:rsidRPr="00B75EE2">
        <w:rPr>
          <w:b w:val="0"/>
          <w:color w:val="000000" w:themeColor="text1"/>
          <w:sz w:val="24"/>
          <w:szCs w:val="24"/>
        </w:rPr>
        <w:t>Ficoll</w:t>
      </w:r>
      <w:proofErr w:type="spellEnd"/>
      <w:r w:rsidR="00710714" w:rsidRPr="00B75EE2">
        <w:rPr>
          <w:b w:val="0"/>
          <w:color w:val="000000" w:themeColor="text1"/>
          <w:sz w:val="24"/>
          <w:szCs w:val="24"/>
        </w:rPr>
        <w:t xml:space="preserve"> gradient density centrifugation, and mononucleated cells were plated in MSC growth medium (Lonza, MD, USA) supplemented with</w:t>
      </w:r>
      <w:r w:rsidR="00710714" w:rsidRPr="00B75EE2">
        <w:rPr>
          <w:rFonts w:eastAsia="Calibri"/>
          <w:b w:val="0"/>
          <w:color w:val="000000" w:themeColor="text1"/>
          <w:sz w:val="24"/>
          <w:szCs w:val="24"/>
        </w:rPr>
        <w:t xml:space="preserve"> 5% </w:t>
      </w:r>
      <w:proofErr w:type="spellStart"/>
      <w:r w:rsidR="00710714" w:rsidRPr="00B75EE2">
        <w:rPr>
          <w:rFonts w:eastAsia="Calibri"/>
          <w:b w:val="0"/>
          <w:color w:val="000000" w:themeColor="text1"/>
          <w:sz w:val="24"/>
          <w:szCs w:val="24"/>
        </w:rPr>
        <w:t>Plasate</w:t>
      </w:r>
      <w:proofErr w:type="spellEnd"/>
      <w:r w:rsidR="00710714" w:rsidRPr="00B75EE2">
        <w:rPr>
          <w:rFonts w:eastAsia="Calibri"/>
          <w:b w:val="0"/>
          <w:color w:val="000000" w:themeColor="text1"/>
          <w:sz w:val="24"/>
          <w:szCs w:val="24"/>
        </w:rPr>
        <w:t>™ human platelet lysate (New York Blood Center), 2 U/ml heparin</w:t>
      </w:r>
      <w:r w:rsidR="00710714" w:rsidRPr="00B75EE2">
        <w:rPr>
          <w:b w:val="0"/>
          <w:color w:val="000000" w:themeColor="text1"/>
          <w:sz w:val="24"/>
          <w:szCs w:val="24"/>
        </w:rPr>
        <w:t xml:space="preserve"> and 2 mM </w:t>
      </w:r>
      <w:proofErr w:type="spellStart"/>
      <w:r w:rsidR="00710714" w:rsidRPr="00B75EE2">
        <w:rPr>
          <w:rFonts w:eastAsia="Calibri"/>
          <w:b w:val="0"/>
          <w:color w:val="000000" w:themeColor="text1"/>
          <w:sz w:val="24"/>
          <w:szCs w:val="24"/>
        </w:rPr>
        <w:t>GlutaMAX™I</w:t>
      </w:r>
      <w:proofErr w:type="spellEnd"/>
      <w:r w:rsidR="00710714" w:rsidRPr="00B75EE2">
        <w:rPr>
          <w:rFonts w:eastAsia="Calibri"/>
          <w:b w:val="0"/>
          <w:color w:val="000000" w:themeColor="text1"/>
          <w:sz w:val="24"/>
          <w:szCs w:val="24"/>
        </w:rPr>
        <w:t xml:space="preserve"> CTS™ (Life Technologies, NY, USA).</w:t>
      </w:r>
      <w:r w:rsidR="00710714" w:rsidRPr="00B75EE2">
        <w:rPr>
          <w:b w:val="0"/>
          <w:color w:val="000000" w:themeColor="text1"/>
          <w:sz w:val="24"/>
          <w:szCs w:val="24"/>
        </w:rPr>
        <w:t xml:space="preserve"> Cells were incubated in a humidified 37</w:t>
      </w:r>
      <w:r w:rsidR="00710714" w:rsidRPr="00B75EE2">
        <w:rPr>
          <w:b w:val="0"/>
          <w:color w:val="000000" w:themeColor="text1"/>
          <w:sz w:val="24"/>
          <w:szCs w:val="24"/>
          <w:vertAlign w:val="superscript"/>
        </w:rPr>
        <w:t>o</w:t>
      </w:r>
      <w:r w:rsidR="00710714" w:rsidRPr="00B75EE2">
        <w:rPr>
          <w:b w:val="0"/>
          <w:color w:val="000000" w:themeColor="text1"/>
          <w:sz w:val="24"/>
          <w:szCs w:val="24"/>
        </w:rPr>
        <w:t>C incubator at 5% CO</w:t>
      </w:r>
      <w:r w:rsidR="00710714" w:rsidRPr="00B75EE2">
        <w:rPr>
          <w:b w:val="0"/>
          <w:color w:val="000000" w:themeColor="text1"/>
          <w:sz w:val="24"/>
          <w:szCs w:val="24"/>
          <w:vertAlign w:val="subscript"/>
        </w:rPr>
        <w:t>2</w:t>
      </w:r>
      <w:r w:rsidR="00710714" w:rsidRPr="00B75EE2">
        <w:rPr>
          <w:b w:val="0"/>
          <w:color w:val="000000" w:themeColor="text1"/>
          <w:sz w:val="24"/>
          <w:szCs w:val="24"/>
        </w:rPr>
        <w:t xml:space="preserve"> and 5% O</w:t>
      </w:r>
      <w:r w:rsidR="00710714" w:rsidRPr="00B75EE2">
        <w:rPr>
          <w:b w:val="0"/>
          <w:color w:val="000000" w:themeColor="text1"/>
          <w:sz w:val="24"/>
          <w:szCs w:val="24"/>
          <w:vertAlign w:val="subscript"/>
        </w:rPr>
        <w:t>2</w:t>
      </w:r>
      <w:r w:rsidR="00710714" w:rsidRPr="00B75EE2">
        <w:rPr>
          <w:b w:val="0"/>
          <w:color w:val="000000" w:themeColor="text1"/>
          <w:sz w:val="24"/>
          <w:szCs w:val="24"/>
        </w:rPr>
        <w:t xml:space="preserve"> </w:t>
      </w:r>
      <w:r w:rsidR="00073E3E" w:rsidRPr="00B75EE2">
        <w:rPr>
          <w:b w:val="0"/>
          <w:color w:val="000000" w:themeColor="text1"/>
          <w:sz w:val="24"/>
          <w:szCs w:val="24"/>
        </w:rPr>
        <w:t>inside</w:t>
      </w:r>
      <w:r w:rsidR="00537BE0" w:rsidRPr="00B75EE2">
        <w:rPr>
          <w:b w:val="0"/>
          <w:color w:val="000000" w:themeColor="text1"/>
          <w:sz w:val="24"/>
          <w:szCs w:val="24"/>
        </w:rPr>
        <w:t xml:space="preserve"> </w:t>
      </w:r>
      <w:r w:rsidR="00073E3E" w:rsidRPr="00B75EE2">
        <w:rPr>
          <w:b w:val="0"/>
          <w:color w:val="000000" w:themeColor="text1"/>
          <w:sz w:val="24"/>
          <w:szCs w:val="24"/>
        </w:rPr>
        <w:t>an</w:t>
      </w:r>
      <w:r w:rsidR="00537BE0" w:rsidRPr="00B75EE2">
        <w:rPr>
          <w:b w:val="0"/>
          <w:color w:val="000000" w:themeColor="text1"/>
          <w:sz w:val="24"/>
          <w:szCs w:val="24"/>
        </w:rPr>
        <w:t xml:space="preserve"> </w:t>
      </w:r>
      <w:r w:rsidR="00073E3E" w:rsidRPr="00B75EE2">
        <w:rPr>
          <w:b w:val="0"/>
          <w:color w:val="000000" w:themeColor="text1"/>
          <w:sz w:val="24"/>
          <w:szCs w:val="24"/>
        </w:rPr>
        <w:t>ISO-5 closed aseptic isolator system (</w:t>
      </w:r>
      <w:proofErr w:type="spellStart"/>
      <w:r w:rsidR="00073E3E" w:rsidRPr="00B75EE2">
        <w:rPr>
          <w:b w:val="0"/>
          <w:color w:val="000000" w:themeColor="text1"/>
          <w:sz w:val="24"/>
          <w:szCs w:val="24"/>
        </w:rPr>
        <w:t>Xvivo</w:t>
      </w:r>
      <w:proofErr w:type="spellEnd"/>
      <w:r w:rsidR="00073E3E" w:rsidRPr="00B75EE2">
        <w:rPr>
          <w:b w:val="0"/>
          <w:color w:val="000000" w:themeColor="text1"/>
          <w:sz w:val="24"/>
          <w:szCs w:val="24"/>
        </w:rPr>
        <w:t xml:space="preserve"> System® model X2, </w:t>
      </w:r>
      <w:proofErr w:type="spellStart"/>
      <w:r w:rsidR="00537BE0" w:rsidRPr="00B75EE2">
        <w:rPr>
          <w:b w:val="0"/>
          <w:color w:val="000000" w:themeColor="text1"/>
          <w:sz w:val="24"/>
          <w:szCs w:val="24"/>
        </w:rPr>
        <w:t>Biospherix</w:t>
      </w:r>
      <w:proofErr w:type="spellEnd"/>
      <w:r w:rsidR="00073E3E" w:rsidRPr="00B75EE2">
        <w:rPr>
          <w:b w:val="0"/>
          <w:color w:val="000000" w:themeColor="text1"/>
          <w:sz w:val="24"/>
          <w:szCs w:val="24"/>
        </w:rPr>
        <w:t xml:space="preserve">, Ltd.). MSCs were isolated based on plastic adherence, passaged when they reached 80% confluency using CTS™ </w:t>
      </w:r>
      <w:proofErr w:type="spellStart"/>
      <w:r w:rsidR="00073E3E" w:rsidRPr="00B75EE2">
        <w:rPr>
          <w:b w:val="0"/>
          <w:color w:val="000000" w:themeColor="text1"/>
          <w:sz w:val="24"/>
          <w:szCs w:val="24"/>
        </w:rPr>
        <w:t>TrypLE</w:t>
      </w:r>
      <w:proofErr w:type="spellEnd"/>
      <w:r w:rsidR="00073E3E" w:rsidRPr="00B75EE2">
        <w:rPr>
          <w:b w:val="0"/>
          <w:color w:val="000000" w:themeColor="text1"/>
          <w:sz w:val="24"/>
          <w:szCs w:val="24"/>
        </w:rPr>
        <w:t>™ Select Enzyme (</w:t>
      </w:r>
      <w:proofErr w:type="spellStart"/>
      <w:r w:rsidR="00073E3E" w:rsidRPr="00B75EE2">
        <w:rPr>
          <w:b w:val="0"/>
          <w:color w:val="000000" w:themeColor="text1"/>
          <w:sz w:val="24"/>
          <w:szCs w:val="24"/>
        </w:rPr>
        <w:t>ThermoFisher</w:t>
      </w:r>
      <w:proofErr w:type="spellEnd"/>
      <w:r w:rsidR="00073E3E" w:rsidRPr="00B75EE2">
        <w:rPr>
          <w:b w:val="0"/>
          <w:color w:val="000000" w:themeColor="text1"/>
          <w:sz w:val="24"/>
          <w:szCs w:val="24"/>
        </w:rPr>
        <w:t xml:space="preserve"> Scientific) and replated at a density of 2000-3000 cells/cm</w:t>
      </w:r>
      <w:r w:rsidR="00073E3E" w:rsidRPr="00B75EE2">
        <w:rPr>
          <w:b w:val="0"/>
          <w:color w:val="000000" w:themeColor="text1"/>
          <w:sz w:val="24"/>
          <w:szCs w:val="24"/>
          <w:vertAlign w:val="superscript"/>
        </w:rPr>
        <w:t>2</w:t>
      </w:r>
      <w:r w:rsidR="00073E3E" w:rsidRPr="00B75EE2">
        <w:rPr>
          <w:b w:val="0"/>
          <w:color w:val="000000" w:themeColor="text1"/>
          <w:sz w:val="24"/>
          <w:szCs w:val="24"/>
        </w:rPr>
        <w:t xml:space="preserve">. </w:t>
      </w:r>
      <w:r w:rsidR="00090043">
        <w:rPr>
          <w:b w:val="0"/>
          <w:color w:val="000000" w:themeColor="text1"/>
          <w:sz w:val="24"/>
          <w:szCs w:val="24"/>
        </w:rPr>
        <w:t xml:space="preserve">At passage 2 and passage 3, </w:t>
      </w:r>
      <w:r w:rsidR="00073E3E" w:rsidRPr="00B75EE2">
        <w:rPr>
          <w:b w:val="0"/>
          <w:color w:val="000000" w:themeColor="text1"/>
          <w:sz w:val="24"/>
          <w:szCs w:val="24"/>
        </w:rPr>
        <w:t xml:space="preserve">MSCs were cryopreserved in </w:t>
      </w:r>
      <w:r w:rsidR="00B75EE2" w:rsidRPr="00B75EE2">
        <w:rPr>
          <w:b w:val="0"/>
          <w:color w:val="000000" w:themeColor="text1"/>
          <w:sz w:val="24"/>
          <w:szCs w:val="24"/>
        </w:rPr>
        <w:t xml:space="preserve">PRIME-XV </w:t>
      </w:r>
      <w:proofErr w:type="spellStart"/>
      <w:r w:rsidR="00B75EE2" w:rsidRPr="00B75EE2">
        <w:rPr>
          <w:b w:val="0"/>
          <w:color w:val="000000" w:themeColor="text1"/>
          <w:sz w:val="24"/>
          <w:szCs w:val="24"/>
        </w:rPr>
        <w:t>FreezIS</w:t>
      </w:r>
      <w:proofErr w:type="spellEnd"/>
      <w:r w:rsidR="00B75EE2" w:rsidRPr="00B75EE2">
        <w:rPr>
          <w:b w:val="0"/>
          <w:color w:val="000000" w:themeColor="text1"/>
          <w:sz w:val="24"/>
          <w:szCs w:val="24"/>
        </w:rPr>
        <w:t xml:space="preserve"> DMSO-Free</w:t>
      </w:r>
      <w:r w:rsidR="00B75EE2">
        <w:rPr>
          <w:b w:val="0"/>
          <w:color w:val="000000" w:themeColor="text1"/>
          <w:sz w:val="24"/>
          <w:szCs w:val="24"/>
        </w:rPr>
        <w:t xml:space="preserve"> freezing media (</w:t>
      </w:r>
      <w:proofErr w:type="spellStart"/>
      <w:r w:rsidR="00B75EE2">
        <w:rPr>
          <w:b w:val="0"/>
          <w:color w:val="000000" w:themeColor="text1"/>
          <w:sz w:val="24"/>
          <w:szCs w:val="24"/>
        </w:rPr>
        <w:t>IrvineScientific</w:t>
      </w:r>
      <w:proofErr w:type="spellEnd"/>
      <w:r w:rsidR="00B75EE2">
        <w:rPr>
          <w:b w:val="0"/>
          <w:color w:val="000000" w:themeColor="text1"/>
          <w:sz w:val="24"/>
          <w:szCs w:val="24"/>
        </w:rPr>
        <w:t>)</w:t>
      </w:r>
      <w:r w:rsidR="00073E3E" w:rsidRPr="00B75EE2">
        <w:rPr>
          <w:b w:val="0"/>
          <w:color w:val="000000" w:themeColor="text1"/>
          <w:sz w:val="24"/>
          <w:szCs w:val="24"/>
        </w:rPr>
        <w:t>, generating a stock of cells sufficient for multiple subsequent expansions.</w:t>
      </w:r>
      <w:r w:rsidR="00931A29">
        <w:rPr>
          <w:b w:val="0"/>
          <w:color w:val="000000" w:themeColor="text1"/>
          <w:sz w:val="24"/>
          <w:szCs w:val="24"/>
        </w:rPr>
        <w:t xml:space="preserve"> </w:t>
      </w:r>
    </w:p>
    <w:p w14:paraId="6A3351D4" w14:textId="77777777" w:rsidR="00090043" w:rsidRDefault="00090043" w:rsidP="00090043">
      <w:pPr>
        <w:pStyle w:val="Heading1"/>
        <w:spacing w:before="0" w:beforeAutospacing="0" w:after="0" w:afterAutospacing="0" w:line="480" w:lineRule="auto"/>
        <w:rPr>
          <w:b w:val="0"/>
          <w:color w:val="000000" w:themeColor="text1"/>
          <w:sz w:val="24"/>
          <w:szCs w:val="24"/>
        </w:rPr>
      </w:pPr>
    </w:p>
    <w:p w14:paraId="2556D48A" w14:textId="102F74CE" w:rsidR="00710714" w:rsidRPr="00DC029C" w:rsidRDefault="002C0BF0" w:rsidP="00090043">
      <w:pPr>
        <w:pStyle w:val="Heading1"/>
        <w:spacing w:before="0" w:beforeAutospacing="0" w:after="0" w:afterAutospacing="0" w:line="480" w:lineRule="auto"/>
        <w:rPr>
          <w:b w:val="0"/>
          <w:color w:val="000000" w:themeColor="text1"/>
          <w:sz w:val="24"/>
          <w:szCs w:val="24"/>
        </w:rPr>
      </w:pPr>
      <w:r>
        <w:rPr>
          <w:b w:val="0"/>
          <w:color w:val="000000" w:themeColor="text1"/>
          <w:sz w:val="24"/>
          <w:szCs w:val="24"/>
        </w:rPr>
        <w:t xml:space="preserve">Each batch of </w:t>
      </w:r>
      <w:r w:rsidR="00DB5CB3">
        <w:rPr>
          <w:b w:val="0"/>
          <w:color w:val="000000" w:themeColor="text1"/>
          <w:sz w:val="24"/>
          <w:szCs w:val="24"/>
        </w:rPr>
        <w:t xml:space="preserve">bone marrow </w:t>
      </w:r>
      <w:r>
        <w:rPr>
          <w:b w:val="0"/>
          <w:color w:val="000000" w:themeColor="text1"/>
          <w:sz w:val="24"/>
          <w:szCs w:val="24"/>
        </w:rPr>
        <w:t xml:space="preserve">MSCs was </w:t>
      </w:r>
      <w:r w:rsidR="00090043">
        <w:rPr>
          <w:b w:val="0"/>
          <w:color w:val="000000" w:themeColor="text1"/>
          <w:sz w:val="24"/>
          <w:szCs w:val="24"/>
        </w:rPr>
        <w:t xml:space="preserve">tested and </w:t>
      </w:r>
      <w:r>
        <w:rPr>
          <w:b w:val="0"/>
          <w:color w:val="000000" w:themeColor="text1"/>
          <w:sz w:val="24"/>
          <w:szCs w:val="24"/>
        </w:rPr>
        <w:t>released according to the following criteria</w:t>
      </w:r>
      <w:r w:rsidR="00931A29">
        <w:rPr>
          <w:b w:val="0"/>
          <w:color w:val="000000" w:themeColor="text1"/>
          <w:sz w:val="24"/>
          <w:szCs w:val="24"/>
        </w:rPr>
        <w:t xml:space="preserve">: (1) Confirmation of MSC attachment and spindle-shaped morphology, (2) Ex vivo expansion and cryopreservation </w:t>
      </w:r>
      <w:r w:rsidR="001C53E5">
        <w:rPr>
          <w:b w:val="0"/>
          <w:color w:val="000000" w:themeColor="text1"/>
          <w:sz w:val="24"/>
          <w:szCs w:val="24"/>
        </w:rPr>
        <w:t>at passage 2 and 3</w:t>
      </w:r>
      <w:r w:rsidR="00931A29">
        <w:rPr>
          <w:b w:val="0"/>
          <w:color w:val="000000" w:themeColor="text1"/>
          <w:sz w:val="24"/>
          <w:szCs w:val="24"/>
        </w:rPr>
        <w:t xml:space="preserve">, (3) </w:t>
      </w:r>
      <w:r w:rsidR="00931A29" w:rsidRPr="00B75EE2">
        <w:rPr>
          <w:b w:val="0"/>
          <w:color w:val="000000" w:themeColor="text1"/>
          <w:sz w:val="24"/>
          <w:szCs w:val="24"/>
        </w:rPr>
        <w:t xml:space="preserve">Sterility testing </w:t>
      </w:r>
      <w:r w:rsidR="001D00C6">
        <w:rPr>
          <w:b w:val="0"/>
          <w:color w:val="000000" w:themeColor="text1"/>
          <w:sz w:val="24"/>
          <w:szCs w:val="24"/>
        </w:rPr>
        <w:t xml:space="preserve">of passage 1 and passage 2 cells </w:t>
      </w:r>
      <w:r w:rsidR="00931A29" w:rsidRPr="00B75EE2">
        <w:rPr>
          <w:b w:val="0"/>
          <w:color w:val="000000" w:themeColor="text1"/>
          <w:sz w:val="24"/>
          <w:szCs w:val="24"/>
        </w:rPr>
        <w:t xml:space="preserve">by direct inoculation method according to USP &lt;71&gt; </w:t>
      </w:r>
      <w:r w:rsidR="00931A29">
        <w:rPr>
          <w:b w:val="0"/>
          <w:color w:val="000000" w:themeColor="text1"/>
          <w:sz w:val="24"/>
          <w:szCs w:val="24"/>
        </w:rPr>
        <w:t>s</w:t>
      </w:r>
      <w:r w:rsidR="00931A29" w:rsidRPr="00B75EE2">
        <w:rPr>
          <w:b w:val="0"/>
          <w:color w:val="000000" w:themeColor="text1"/>
          <w:sz w:val="24"/>
          <w:szCs w:val="24"/>
        </w:rPr>
        <w:t xml:space="preserve">terility </w:t>
      </w:r>
      <w:r w:rsidR="00931A29">
        <w:rPr>
          <w:b w:val="0"/>
          <w:color w:val="000000" w:themeColor="text1"/>
          <w:sz w:val="24"/>
          <w:szCs w:val="24"/>
        </w:rPr>
        <w:t>t</w:t>
      </w:r>
      <w:r w:rsidR="00931A29" w:rsidRPr="00B75EE2">
        <w:rPr>
          <w:b w:val="0"/>
          <w:color w:val="000000" w:themeColor="text1"/>
          <w:sz w:val="24"/>
          <w:szCs w:val="24"/>
        </w:rPr>
        <w:t>est</w:t>
      </w:r>
      <w:r w:rsidR="00931A29">
        <w:rPr>
          <w:b w:val="0"/>
          <w:color w:val="000000" w:themeColor="text1"/>
          <w:sz w:val="24"/>
          <w:szCs w:val="24"/>
        </w:rPr>
        <w:t xml:space="preserve">, (4) </w:t>
      </w:r>
      <w:r w:rsidR="00DC029C">
        <w:rPr>
          <w:b w:val="0"/>
          <w:color w:val="000000" w:themeColor="text1"/>
          <w:sz w:val="24"/>
          <w:szCs w:val="24"/>
        </w:rPr>
        <w:t>N</w:t>
      </w:r>
      <w:r w:rsidR="00931A29">
        <w:rPr>
          <w:b w:val="0"/>
          <w:color w:val="000000" w:themeColor="text1"/>
          <w:sz w:val="24"/>
          <w:szCs w:val="24"/>
        </w:rPr>
        <w:t xml:space="preserve">ormal karyotype with no </w:t>
      </w:r>
      <w:r w:rsidR="00931A29">
        <w:rPr>
          <w:b w:val="0"/>
          <w:color w:val="000000" w:themeColor="text1"/>
          <w:sz w:val="24"/>
          <w:szCs w:val="24"/>
        </w:rPr>
        <w:lastRenderedPageBreak/>
        <w:t xml:space="preserve">clonal abnormalities as determine by </w:t>
      </w:r>
      <w:r w:rsidR="00DC029C">
        <w:rPr>
          <w:b w:val="0"/>
          <w:color w:val="000000" w:themeColor="text1"/>
          <w:sz w:val="24"/>
          <w:szCs w:val="24"/>
        </w:rPr>
        <w:t xml:space="preserve">G-banded chromosome analysis (performed by Creative </w:t>
      </w:r>
      <w:proofErr w:type="spellStart"/>
      <w:r w:rsidR="00DC029C">
        <w:rPr>
          <w:b w:val="0"/>
          <w:color w:val="000000" w:themeColor="text1"/>
          <w:sz w:val="24"/>
          <w:szCs w:val="24"/>
        </w:rPr>
        <w:t>Bioarray</w:t>
      </w:r>
      <w:proofErr w:type="spellEnd"/>
      <w:r w:rsidR="00DC029C">
        <w:rPr>
          <w:b w:val="0"/>
          <w:color w:val="000000" w:themeColor="text1"/>
          <w:sz w:val="24"/>
          <w:szCs w:val="24"/>
        </w:rPr>
        <w:t xml:space="preserve">), (5) Confirmation of cell surface marker expression using </w:t>
      </w:r>
      <w:r w:rsidR="00DC029C" w:rsidRPr="00DC029C">
        <w:rPr>
          <w:b w:val="0"/>
          <w:color w:val="000000" w:themeColor="text1"/>
          <w:sz w:val="24"/>
          <w:szCs w:val="24"/>
        </w:rPr>
        <w:t xml:space="preserve">MSC Phenotyping Cocktail Kit, anti-human, </w:t>
      </w:r>
      <w:proofErr w:type="spellStart"/>
      <w:r w:rsidR="00DC029C" w:rsidRPr="00DC029C">
        <w:rPr>
          <w:b w:val="0"/>
          <w:color w:val="000000" w:themeColor="text1"/>
          <w:sz w:val="24"/>
          <w:szCs w:val="24"/>
        </w:rPr>
        <w:t>REAfinity</w:t>
      </w:r>
      <w:proofErr w:type="spellEnd"/>
      <w:r w:rsidR="00DC029C" w:rsidRPr="00DC029C">
        <w:rPr>
          <w:b w:val="0"/>
          <w:color w:val="000000" w:themeColor="text1"/>
          <w:sz w:val="24"/>
          <w:szCs w:val="24"/>
        </w:rPr>
        <w:t>™</w:t>
      </w:r>
      <w:r w:rsidR="00DC029C">
        <w:rPr>
          <w:b w:val="0"/>
          <w:color w:val="000000" w:themeColor="text1"/>
          <w:sz w:val="24"/>
          <w:szCs w:val="24"/>
        </w:rPr>
        <w:t xml:space="preserve"> (</w:t>
      </w:r>
      <w:proofErr w:type="spellStart"/>
      <w:r w:rsidR="00DC029C">
        <w:rPr>
          <w:b w:val="0"/>
          <w:color w:val="000000" w:themeColor="text1"/>
          <w:sz w:val="24"/>
          <w:szCs w:val="24"/>
        </w:rPr>
        <w:t>Miltenyi</w:t>
      </w:r>
      <w:proofErr w:type="spellEnd"/>
      <w:r w:rsidR="00DC029C">
        <w:rPr>
          <w:b w:val="0"/>
          <w:color w:val="000000" w:themeColor="text1"/>
          <w:sz w:val="24"/>
          <w:szCs w:val="24"/>
        </w:rPr>
        <w:t xml:space="preserve"> Biotech), (6) Confirmation of </w:t>
      </w:r>
      <w:proofErr w:type="spellStart"/>
      <w:r w:rsidR="00DC029C">
        <w:rPr>
          <w:b w:val="0"/>
          <w:color w:val="000000" w:themeColor="text1"/>
          <w:sz w:val="24"/>
          <w:szCs w:val="24"/>
        </w:rPr>
        <w:t>adipogenic</w:t>
      </w:r>
      <w:proofErr w:type="spellEnd"/>
      <w:r w:rsidR="00DC029C">
        <w:rPr>
          <w:b w:val="0"/>
          <w:color w:val="000000" w:themeColor="text1"/>
          <w:sz w:val="24"/>
          <w:szCs w:val="24"/>
        </w:rPr>
        <w:t xml:space="preserve"> differentiation </w:t>
      </w:r>
      <w:r w:rsidR="00DC029C" w:rsidRPr="00DC029C">
        <w:rPr>
          <w:b w:val="0"/>
          <w:color w:val="000000" w:themeColor="text1"/>
          <w:sz w:val="24"/>
          <w:szCs w:val="24"/>
        </w:rPr>
        <w:t>in</w:t>
      </w:r>
      <w:r w:rsidR="00DC029C">
        <w:rPr>
          <w:b w:val="0"/>
          <w:color w:val="000000" w:themeColor="text1"/>
          <w:sz w:val="24"/>
          <w:szCs w:val="24"/>
        </w:rPr>
        <w:t xml:space="preserve"> </w:t>
      </w:r>
      <w:proofErr w:type="spellStart"/>
      <w:r w:rsidR="00DC029C" w:rsidRPr="00DC029C">
        <w:rPr>
          <w:b w:val="0"/>
          <w:color w:val="000000" w:themeColor="text1"/>
          <w:sz w:val="24"/>
          <w:szCs w:val="24"/>
          <w:shd w:val="clear" w:color="auto" w:fill="FFFFFF"/>
        </w:rPr>
        <w:t>Adipogenic</w:t>
      </w:r>
      <w:proofErr w:type="spellEnd"/>
      <w:r w:rsidR="00DC029C" w:rsidRPr="00DC029C">
        <w:rPr>
          <w:b w:val="0"/>
          <w:color w:val="000000" w:themeColor="text1"/>
          <w:sz w:val="24"/>
          <w:szCs w:val="24"/>
          <w:shd w:val="clear" w:color="auto" w:fill="FFFFFF"/>
        </w:rPr>
        <w:t xml:space="preserve"> Differentiation </w:t>
      </w:r>
      <w:proofErr w:type="spellStart"/>
      <w:r w:rsidR="00DC029C" w:rsidRPr="00DC029C">
        <w:rPr>
          <w:b w:val="0"/>
          <w:color w:val="000000" w:themeColor="text1"/>
          <w:sz w:val="24"/>
          <w:szCs w:val="24"/>
          <w:shd w:val="clear" w:color="auto" w:fill="FFFFFF"/>
        </w:rPr>
        <w:t>BulletKit</w:t>
      </w:r>
      <w:r w:rsidR="00DC029C" w:rsidRPr="00DC029C">
        <w:rPr>
          <w:b w:val="0"/>
          <w:color w:val="000000" w:themeColor="text1"/>
          <w:sz w:val="24"/>
          <w:szCs w:val="24"/>
          <w:vertAlign w:val="superscript"/>
        </w:rPr>
        <w:t>TM</w:t>
      </w:r>
      <w:r w:rsidR="00DC029C" w:rsidRPr="00DC029C">
        <w:rPr>
          <w:b w:val="0"/>
          <w:color w:val="000000" w:themeColor="text1"/>
          <w:sz w:val="24"/>
          <w:szCs w:val="24"/>
          <w:shd w:val="clear" w:color="auto" w:fill="FFFFFF"/>
        </w:rPr>
        <w:t>Medium</w:t>
      </w:r>
      <w:proofErr w:type="spellEnd"/>
      <w:r w:rsidR="00DC029C">
        <w:rPr>
          <w:b w:val="0"/>
          <w:color w:val="000000" w:themeColor="text1"/>
          <w:sz w:val="24"/>
          <w:szCs w:val="24"/>
          <w:shd w:val="clear" w:color="auto" w:fill="FFFFFF"/>
        </w:rPr>
        <w:t xml:space="preserve"> (Lonza) followed by Oil-Red O staining, and (7) confirmation of osteogenic differentiation in Osteogenic</w:t>
      </w:r>
      <w:r w:rsidR="00DC029C" w:rsidRPr="00DC029C">
        <w:rPr>
          <w:b w:val="0"/>
          <w:color w:val="000000" w:themeColor="text1"/>
          <w:sz w:val="24"/>
          <w:szCs w:val="24"/>
          <w:shd w:val="clear" w:color="auto" w:fill="FFFFFF"/>
        </w:rPr>
        <w:t xml:space="preserve"> Differentiation </w:t>
      </w:r>
      <w:proofErr w:type="spellStart"/>
      <w:r w:rsidR="00DC029C" w:rsidRPr="00DC029C">
        <w:rPr>
          <w:b w:val="0"/>
          <w:color w:val="000000" w:themeColor="text1"/>
          <w:sz w:val="24"/>
          <w:szCs w:val="24"/>
          <w:shd w:val="clear" w:color="auto" w:fill="FFFFFF"/>
        </w:rPr>
        <w:t>BulletKit</w:t>
      </w:r>
      <w:r w:rsidR="00DC029C" w:rsidRPr="00DC029C">
        <w:rPr>
          <w:b w:val="0"/>
          <w:color w:val="000000" w:themeColor="text1"/>
          <w:sz w:val="24"/>
          <w:szCs w:val="24"/>
          <w:vertAlign w:val="superscript"/>
        </w:rPr>
        <w:t>TM</w:t>
      </w:r>
      <w:r w:rsidR="00DC029C" w:rsidRPr="00DC029C">
        <w:rPr>
          <w:b w:val="0"/>
          <w:color w:val="000000" w:themeColor="text1"/>
          <w:sz w:val="24"/>
          <w:szCs w:val="24"/>
          <w:shd w:val="clear" w:color="auto" w:fill="FFFFFF"/>
        </w:rPr>
        <w:t>Medium</w:t>
      </w:r>
      <w:proofErr w:type="spellEnd"/>
      <w:r w:rsidR="00DC029C">
        <w:rPr>
          <w:b w:val="0"/>
          <w:color w:val="000000" w:themeColor="text1"/>
          <w:sz w:val="24"/>
          <w:szCs w:val="24"/>
          <w:shd w:val="clear" w:color="auto" w:fill="FFFFFF"/>
        </w:rPr>
        <w:t xml:space="preserve"> (Lonza) followed by Alizarin Red staining. </w:t>
      </w:r>
    </w:p>
    <w:p w14:paraId="197481D1" w14:textId="77777777" w:rsidR="00090043" w:rsidRDefault="00090043" w:rsidP="00090043">
      <w:pPr>
        <w:pStyle w:val="ListParagraph"/>
        <w:spacing w:after="0" w:line="480" w:lineRule="auto"/>
        <w:ind w:left="0"/>
        <w:rPr>
          <w:rFonts w:ascii="Times New Roman" w:hAnsi="Times New Roman" w:cs="Times New Roman"/>
          <w:bCs/>
          <w:color w:val="000000" w:themeColor="text1"/>
          <w:sz w:val="24"/>
          <w:szCs w:val="24"/>
        </w:rPr>
      </w:pPr>
    </w:p>
    <w:p w14:paraId="02C25EB1" w14:textId="263ED4C4" w:rsidR="00710714" w:rsidRDefault="00DB5CB3" w:rsidP="00090043">
      <w:pPr>
        <w:pStyle w:val="ListParagraph"/>
        <w:spacing w:after="0" w:line="480" w:lineRule="auto"/>
        <w:ind w:left="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MSC-NPs were generated from MSCs p</w:t>
      </w:r>
      <w:r w:rsidR="00B75EE2">
        <w:rPr>
          <w:rFonts w:ascii="Times New Roman" w:hAnsi="Times New Roman" w:cs="Times New Roman"/>
          <w:bCs/>
          <w:color w:val="000000" w:themeColor="text1"/>
          <w:sz w:val="24"/>
          <w:szCs w:val="24"/>
        </w:rPr>
        <w:t>rior to each</w:t>
      </w:r>
      <w:r w:rsidR="00B75EE2" w:rsidRPr="00B75EE2">
        <w:rPr>
          <w:rFonts w:ascii="Times New Roman" w:hAnsi="Times New Roman" w:cs="Times New Roman"/>
          <w:bCs/>
          <w:color w:val="000000" w:themeColor="text1"/>
          <w:sz w:val="24"/>
          <w:szCs w:val="24"/>
        </w:rPr>
        <w:t xml:space="preserve"> treatment</w:t>
      </w:r>
      <w:r>
        <w:rPr>
          <w:rFonts w:ascii="Times New Roman" w:hAnsi="Times New Roman" w:cs="Times New Roman"/>
          <w:bCs/>
          <w:color w:val="000000" w:themeColor="text1"/>
          <w:sz w:val="24"/>
          <w:szCs w:val="24"/>
        </w:rPr>
        <w:t>.</w:t>
      </w:r>
      <w:r w:rsidR="00B75EE2" w:rsidRPr="00B75EE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w:t>
      </w:r>
      <w:r w:rsidR="00B75EE2" w:rsidRPr="00B75EE2">
        <w:rPr>
          <w:rFonts w:ascii="Times New Roman" w:hAnsi="Times New Roman" w:cs="Times New Roman"/>
          <w:bCs/>
          <w:color w:val="000000" w:themeColor="text1"/>
          <w:sz w:val="24"/>
          <w:szCs w:val="24"/>
        </w:rPr>
        <w:t xml:space="preserve"> portion of </w:t>
      </w:r>
      <w:r w:rsidR="00B75EE2">
        <w:rPr>
          <w:rFonts w:ascii="Times New Roman" w:hAnsi="Times New Roman" w:cs="Times New Roman"/>
          <w:bCs/>
          <w:color w:val="000000" w:themeColor="text1"/>
          <w:sz w:val="24"/>
          <w:szCs w:val="24"/>
        </w:rPr>
        <w:t xml:space="preserve">cryopreserved </w:t>
      </w:r>
      <w:r w:rsidR="00B75EE2" w:rsidRPr="00B75EE2">
        <w:rPr>
          <w:rFonts w:ascii="Times New Roman" w:hAnsi="Times New Roman" w:cs="Times New Roman"/>
          <w:bCs/>
          <w:color w:val="000000" w:themeColor="text1"/>
          <w:sz w:val="24"/>
          <w:szCs w:val="24"/>
        </w:rPr>
        <w:t>MSCs were thawed</w:t>
      </w:r>
      <w:r w:rsidR="00B75EE2">
        <w:rPr>
          <w:rFonts w:ascii="Times New Roman" w:hAnsi="Times New Roman" w:cs="Times New Roman"/>
          <w:bCs/>
          <w:color w:val="000000" w:themeColor="text1"/>
          <w:sz w:val="24"/>
          <w:szCs w:val="24"/>
        </w:rPr>
        <w:t xml:space="preserve"> and</w:t>
      </w:r>
      <w:r w:rsidR="00B75EE2" w:rsidRPr="00B75EE2">
        <w:rPr>
          <w:rFonts w:ascii="Times New Roman" w:hAnsi="Times New Roman" w:cs="Times New Roman"/>
          <w:bCs/>
          <w:color w:val="000000" w:themeColor="text1"/>
          <w:sz w:val="24"/>
          <w:szCs w:val="24"/>
        </w:rPr>
        <w:t xml:space="preserve"> expanded for two more passages</w:t>
      </w:r>
      <w:r w:rsidR="00B75EE2">
        <w:rPr>
          <w:rFonts w:ascii="Times New Roman" w:hAnsi="Times New Roman" w:cs="Times New Roman"/>
          <w:bCs/>
          <w:color w:val="000000" w:themeColor="text1"/>
          <w:sz w:val="24"/>
          <w:szCs w:val="24"/>
        </w:rPr>
        <w:t xml:space="preserve"> as described above. To generate MSC-NPs, </w:t>
      </w:r>
      <w:r w:rsidR="001C53E5">
        <w:rPr>
          <w:rFonts w:ascii="Times New Roman" w:hAnsi="Times New Roman" w:cs="Times New Roman"/>
          <w:bCs/>
          <w:color w:val="000000" w:themeColor="text1"/>
          <w:sz w:val="24"/>
          <w:szCs w:val="24"/>
        </w:rPr>
        <w:t xml:space="preserve">expanded </w:t>
      </w:r>
      <w:r w:rsidR="00B75EE2">
        <w:rPr>
          <w:rFonts w:ascii="Times New Roman" w:hAnsi="Times New Roman" w:cs="Times New Roman"/>
          <w:bCs/>
          <w:color w:val="000000" w:themeColor="text1"/>
          <w:sz w:val="24"/>
          <w:szCs w:val="24"/>
        </w:rPr>
        <w:t xml:space="preserve">MSCs were plated in low-adherence flasks </w:t>
      </w:r>
      <w:r w:rsidR="00B75EE2" w:rsidRPr="00B75EE2">
        <w:rPr>
          <w:rFonts w:ascii="Times New Roman" w:hAnsi="Times New Roman" w:cs="Times New Roman"/>
          <w:bCs/>
          <w:color w:val="000000" w:themeColor="text1"/>
          <w:sz w:val="24"/>
          <w:szCs w:val="24"/>
        </w:rPr>
        <w:t>in neural progenitor maintenance medium (Lonza) supplemented with 20 ng/ml each of epidermal growth factor (EGF) and basic fibroblast growth factor (</w:t>
      </w:r>
      <w:proofErr w:type="spellStart"/>
      <w:r w:rsidR="00B75EE2" w:rsidRPr="00B75EE2">
        <w:rPr>
          <w:rFonts w:ascii="Times New Roman" w:hAnsi="Times New Roman" w:cs="Times New Roman"/>
          <w:bCs/>
          <w:color w:val="000000" w:themeColor="text1"/>
          <w:sz w:val="24"/>
          <w:szCs w:val="24"/>
        </w:rPr>
        <w:t>bFGF</w:t>
      </w:r>
      <w:proofErr w:type="spellEnd"/>
      <w:r w:rsidR="00B75EE2" w:rsidRPr="00B75EE2">
        <w:rPr>
          <w:rFonts w:ascii="Times New Roman" w:hAnsi="Times New Roman" w:cs="Times New Roman"/>
          <w:bCs/>
          <w:color w:val="000000" w:themeColor="text1"/>
          <w:sz w:val="24"/>
          <w:szCs w:val="24"/>
        </w:rPr>
        <w:t>)</w:t>
      </w:r>
      <w:r w:rsidR="00B75EE2">
        <w:rPr>
          <w:rFonts w:ascii="Times New Roman" w:hAnsi="Times New Roman" w:cs="Times New Roman"/>
          <w:bCs/>
          <w:color w:val="000000" w:themeColor="text1"/>
          <w:sz w:val="24"/>
          <w:szCs w:val="24"/>
        </w:rPr>
        <w:t xml:space="preserve">. Media was changed every 2-3 days for 2 weeks. Floating MSC-NP cell clusters were visible after 2-5 days. </w:t>
      </w:r>
      <w:r w:rsidR="00B75EE2" w:rsidRPr="00B75EE2">
        <w:rPr>
          <w:rFonts w:ascii="Times New Roman" w:hAnsi="Times New Roman" w:cs="Times New Roman"/>
          <w:bCs/>
          <w:color w:val="000000" w:themeColor="text1"/>
          <w:sz w:val="24"/>
          <w:szCs w:val="24"/>
        </w:rPr>
        <w:t>Just prior to the injection, MSC-NPs were collected</w:t>
      </w:r>
      <w:r w:rsidR="002C0BF0">
        <w:rPr>
          <w:rFonts w:ascii="Times New Roman" w:hAnsi="Times New Roman" w:cs="Times New Roman"/>
          <w:bCs/>
          <w:color w:val="000000" w:themeColor="text1"/>
          <w:sz w:val="24"/>
          <w:szCs w:val="24"/>
        </w:rPr>
        <w:t xml:space="preserve"> and briefly resuspended in </w:t>
      </w:r>
      <w:r w:rsidR="002C0BF0" w:rsidRPr="00B75EE2">
        <w:rPr>
          <w:rFonts w:ascii="Times New Roman" w:hAnsi="Times New Roman" w:cs="Times New Roman"/>
          <w:bCs/>
          <w:color w:val="000000" w:themeColor="text1"/>
          <w:sz w:val="24"/>
          <w:szCs w:val="24"/>
        </w:rPr>
        <w:t xml:space="preserve">CTS™ </w:t>
      </w:r>
      <w:proofErr w:type="spellStart"/>
      <w:r w:rsidR="002C0BF0" w:rsidRPr="00B75EE2">
        <w:rPr>
          <w:rFonts w:ascii="Times New Roman" w:hAnsi="Times New Roman" w:cs="Times New Roman"/>
          <w:bCs/>
          <w:color w:val="000000" w:themeColor="text1"/>
          <w:sz w:val="24"/>
          <w:szCs w:val="24"/>
        </w:rPr>
        <w:t>TrypLE</w:t>
      </w:r>
      <w:proofErr w:type="spellEnd"/>
      <w:r w:rsidR="002C0BF0" w:rsidRPr="00B75EE2">
        <w:rPr>
          <w:rFonts w:ascii="Times New Roman" w:hAnsi="Times New Roman" w:cs="Times New Roman"/>
          <w:bCs/>
          <w:color w:val="000000" w:themeColor="text1"/>
          <w:sz w:val="24"/>
          <w:szCs w:val="24"/>
        </w:rPr>
        <w:t>™ Select Enzyme (</w:t>
      </w:r>
      <w:proofErr w:type="spellStart"/>
      <w:r w:rsidR="002C0BF0" w:rsidRPr="00B75EE2">
        <w:rPr>
          <w:rFonts w:ascii="Times New Roman" w:hAnsi="Times New Roman" w:cs="Times New Roman"/>
          <w:bCs/>
          <w:color w:val="000000" w:themeColor="text1"/>
          <w:sz w:val="24"/>
          <w:szCs w:val="24"/>
        </w:rPr>
        <w:t>ThermoFisher</w:t>
      </w:r>
      <w:proofErr w:type="spellEnd"/>
      <w:r w:rsidR="002C0BF0" w:rsidRPr="00B75EE2">
        <w:rPr>
          <w:rFonts w:ascii="Times New Roman" w:hAnsi="Times New Roman" w:cs="Times New Roman"/>
          <w:bCs/>
          <w:color w:val="000000" w:themeColor="text1"/>
          <w:sz w:val="24"/>
          <w:szCs w:val="24"/>
        </w:rPr>
        <w:t xml:space="preserve"> Scientific) </w:t>
      </w:r>
      <w:r w:rsidR="002C0BF0">
        <w:rPr>
          <w:rFonts w:ascii="Times New Roman" w:hAnsi="Times New Roman" w:cs="Times New Roman"/>
          <w:bCs/>
          <w:color w:val="000000" w:themeColor="text1"/>
          <w:sz w:val="24"/>
          <w:szCs w:val="24"/>
        </w:rPr>
        <w:t xml:space="preserve">to obtain a single cell suspension. </w:t>
      </w:r>
      <w:r>
        <w:rPr>
          <w:rFonts w:ascii="Times New Roman" w:hAnsi="Times New Roman" w:cs="Times New Roman"/>
          <w:bCs/>
          <w:color w:val="000000" w:themeColor="text1"/>
          <w:sz w:val="24"/>
          <w:szCs w:val="24"/>
        </w:rPr>
        <w:t>Cells were washed twice in preservative-free saline, and cell number and viability were determined by AO/PI staining using an automated cell counter (</w:t>
      </w:r>
      <w:proofErr w:type="spellStart"/>
      <w:r>
        <w:rPr>
          <w:rFonts w:ascii="Times New Roman" w:hAnsi="Times New Roman" w:cs="Times New Roman"/>
          <w:bCs/>
          <w:color w:val="000000" w:themeColor="text1"/>
          <w:sz w:val="24"/>
          <w:szCs w:val="24"/>
        </w:rPr>
        <w:t>Nexelcom</w:t>
      </w:r>
      <w:proofErr w:type="spellEnd"/>
      <w:r>
        <w:rPr>
          <w:rFonts w:ascii="Times New Roman" w:hAnsi="Times New Roman" w:cs="Times New Roman"/>
          <w:bCs/>
          <w:color w:val="000000" w:themeColor="text1"/>
          <w:sz w:val="24"/>
          <w:szCs w:val="24"/>
        </w:rPr>
        <w:t xml:space="preserve"> </w:t>
      </w:r>
      <w:r w:rsidRPr="00DB5CB3">
        <w:rPr>
          <w:rFonts w:ascii="Times New Roman" w:hAnsi="Times New Roman" w:cs="Times New Roman"/>
          <w:bCs/>
          <w:color w:val="000000" w:themeColor="text1"/>
          <w:sz w:val="24"/>
          <w:szCs w:val="24"/>
        </w:rPr>
        <w:t xml:space="preserve">Biosciences, LLC). </w:t>
      </w:r>
    </w:p>
    <w:p w14:paraId="11EE6034" w14:textId="77777777" w:rsidR="00090043" w:rsidRDefault="00090043" w:rsidP="00090043">
      <w:pPr>
        <w:pStyle w:val="ListParagraph"/>
        <w:spacing w:after="0" w:line="480" w:lineRule="auto"/>
        <w:ind w:left="0"/>
        <w:rPr>
          <w:rFonts w:ascii="Times New Roman" w:hAnsi="Times New Roman" w:cs="Times New Roman"/>
          <w:bCs/>
          <w:color w:val="000000" w:themeColor="text1"/>
          <w:sz w:val="24"/>
          <w:szCs w:val="24"/>
        </w:rPr>
      </w:pPr>
    </w:p>
    <w:p w14:paraId="05E84502" w14:textId="1A6D36CF" w:rsidR="00BA7C04" w:rsidRPr="00090043" w:rsidRDefault="00DB5CB3" w:rsidP="00090043">
      <w:pPr>
        <w:pStyle w:val="ListParagraph"/>
        <w:spacing w:after="0" w:line="480" w:lineRule="auto"/>
        <w:ind w:left="0"/>
        <w:rPr>
          <w:rFonts w:ascii="Times New Roman" w:hAnsi="Times New Roman" w:cs="Times New Roman"/>
          <w:bCs/>
          <w:color w:val="000000" w:themeColor="text1"/>
          <w:sz w:val="24"/>
          <w:szCs w:val="24"/>
        </w:rPr>
      </w:pPr>
      <w:r w:rsidRPr="00DB5CB3">
        <w:rPr>
          <w:rFonts w:ascii="Times New Roman" w:hAnsi="Times New Roman" w:cs="Times New Roman"/>
          <w:color w:val="000000" w:themeColor="text1"/>
          <w:sz w:val="24"/>
          <w:szCs w:val="24"/>
        </w:rPr>
        <w:t>Each batch of MSC</w:t>
      </w:r>
      <w:r>
        <w:rPr>
          <w:rFonts w:ascii="Times New Roman" w:hAnsi="Times New Roman" w:cs="Times New Roman"/>
          <w:color w:val="000000" w:themeColor="text1"/>
          <w:sz w:val="24"/>
          <w:szCs w:val="24"/>
        </w:rPr>
        <w:t>-NPs</w:t>
      </w:r>
      <w:r w:rsidRPr="00DB5CB3">
        <w:rPr>
          <w:rFonts w:ascii="Times New Roman" w:hAnsi="Times New Roman" w:cs="Times New Roman"/>
          <w:color w:val="000000" w:themeColor="text1"/>
          <w:sz w:val="24"/>
          <w:szCs w:val="24"/>
        </w:rPr>
        <w:t xml:space="preserve"> was released according to the following </w:t>
      </w:r>
      <w:r w:rsidR="007E38FC">
        <w:rPr>
          <w:rFonts w:ascii="Times New Roman" w:hAnsi="Times New Roman" w:cs="Times New Roman"/>
          <w:color w:val="000000" w:themeColor="text1"/>
          <w:sz w:val="24"/>
          <w:szCs w:val="24"/>
        </w:rPr>
        <w:t>final produc</w:t>
      </w:r>
      <w:r w:rsidR="00090043">
        <w:rPr>
          <w:rFonts w:ascii="Times New Roman" w:hAnsi="Times New Roman" w:cs="Times New Roman"/>
          <w:color w:val="000000" w:themeColor="text1"/>
          <w:sz w:val="24"/>
          <w:szCs w:val="24"/>
        </w:rPr>
        <w:t>t</w:t>
      </w:r>
      <w:r w:rsidR="007E38FC">
        <w:rPr>
          <w:rFonts w:ascii="Times New Roman" w:hAnsi="Times New Roman" w:cs="Times New Roman"/>
          <w:color w:val="000000" w:themeColor="text1"/>
          <w:sz w:val="24"/>
          <w:szCs w:val="24"/>
        </w:rPr>
        <w:t xml:space="preserve"> release </w:t>
      </w:r>
      <w:r>
        <w:rPr>
          <w:rFonts w:ascii="Times New Roman" w:hAnsi="Times New Roman" w:cs="Times New Roman"/>
          <w:color w:val="000000" w:themeColor="text1"/>
          <w:sz w:val="24"/>
          <w:szCs w:val="24"/>
        </w:rPr>
        <w:t>specifications</w:t>
      </w:r>
      <w:r w:rsidRPr="00DB5CB3">
        <w:rPr>
          <w:rFonts w:ascii="Times New Roman" w:hAnsi="Times New Roman" w:cs="Times New Roman"/>
          <w:color w:val="000000" w:themeColor="text1"/>
          <w:sz w:val="24"/>
          <w:szCs w:val="24"/>
        </w:rPr>
        <w:t>: (1)</w:t>
      </w:r>
      <w:r>
        <w:rPr>
          <w:rFonts w:ascii="Times New Roman" w:hAnsi="Times New Roman" w:cs="Times New Roman"/>
          <w:color w:val="000000" w:themeColor="text1"/>
          <w:sz w:val="24"/>
          <w:szCs w:val="24"/>
        </w:rPr>
        <w:t xml:space="preserve"> </w:t>
      </w:r>
      <w:r w:rsidR="000A6ADF">
        <w:rPr>
          <w:rFonts w:ascii="Times New Roman" w:hAnsi="Times New Roman" w:cs="Times New Roman"/>
          <w:color w:val="000000" w:themeColor="text1"/>
          <w:sz w:val="24"/>
          <w:szCs w:val="24"/>
        </w:rPr>
        <w:t>Adequate expansion (</w:t>
      </w:r>
      <w:r w:rsidR="00090043">
        <w:rPr>
          <w:rFonts w:ascii="Times New Roman" w:hAnsi="Times New Roman" w:cs="Times New Roman"/>
          <w:color w:val="000000" w:themeColor="text1"/>
          <w:sz w:val="24"/>
          <w:szCs w:val="24"/>
        </w:rPr>
        <w:t xml:space="preserve">specification </w:t>
      </w:r>
      <w:r w:rsidR="000A6ADF">
        <w:rPr>
          <w:rFonts w:ascii="Times New Roman" w:hAnsi="Times New Roman" w:cs="Times New Roman"/>
          <w:color w:val="000000" w:themeColor="text1"/>
          <w:sz w:val="24"/>
          <w:szCs w:val="24"/>
        </w:rPr>
        <w:t>&gt;20 x 10</w:t>
      </w:r>
      <w:r w:rsidR="000A6ADF" w:rsidRPr="000A6ADF">
        <w:rPr>
          <w:rFonts w:ascii="Times New Roman" w:hAnsi="Times New Roman" w:cs="Times New Roman"/>
          <w:color w:val="000000" w:themeColor="text1"/>
          <w:sz w:val="24"/>
          <w:szCs w:val="24"/>
          <w:vertAlign w:val="superscript"/>
        </w:rPr>
        <w:t>6</w:t>
      </w:r>
      <w:r w:rsidR="000A6ADF">
        <w:rPr>
          <w:rFonts w:ascii="Times New Roman" w:hAnsi="Times New Roman" w:cs="Times New Roman"/>
          <w:color w:val="000000" w:themeColor="text1"/>
          <w:sz w:val="24"/>
          <w:szCs w:val="24"/>
        </w:rPr>
        <w:t xml:space="preserve"> cells</w:t>
      </w:r>
      <w:r w:rsidR="00090043">
        <w:rPr>
          <w:rFonts w:ascii="Times New Roman" w:hAnsi="Times New Roman" w:cs="Times New Roman"/>
          <w:color w:val="000000" w:themeColor="text1"/>
          <w:sz w:val="24"/>
          <w:szCs w:val="24"/>
        </w:rPr>
        <w:t>, average &gt;100 x 10</w:t>
      </w:r>
      <w:r w:rsidR="00090043" w:rsidRPr="000A6ADF">
        <w:rPr>
          <w:rFonts w:ascii="Times New Roman" w:hAnsi="Times New Roman" w:cs="Times New Roman"/>
          <w:color w:val="000000" w:themeColor="text1"/>
          <w:sz w:val="24"/>
          <w:szCs w:val="24"/>
          <w:vertAlign w:val="superscript"/>
        </w:rPr>
        <w:t>6</w:t>
      </w:r>
      <w:r w:rsidR="00090043">
        <w:rPr>
          <w:rFonts w:ascii="Times New Roman" w:hAnsi="Times New Roman" w:cs="Times New Roman"/>
          <w:color w:val="000000" w:themeColor="text1"/>
          <w:sz w:val="24"/>
          <w:szCs w:val="24"/>
        </w:rPr>
        <w:t xml:space="preserve"> cells</w:t>
      </w:r>
      <w:r w:rsidR="000A6ADF">
        <w:rPr>
          <w:rFonts w:ascii="Times New Roman" w:hAnsi="Times New Roman" w:cs="Times New Roman"/>
          <w:color w:val="000000" w:themeColor="text1"/>
          <w:sz w:val="24"/>
          <w:szCs w:val="24"/>
        </w:rPr>
        <w:t xml:space="preserve">) of MSCs from cryopreserved stocks, (2) </w:t>
      </w:r>
      <w:r w:rsidR="007E38FC" w:rsidRPr="007E38FC">
        <w:rPr>
          <w:rFonts w:ascii="Times New Roman" w:hAnsi="Times New Roman" w:cs="Times New Roman"/>
          <w:color w:val="000000" w:themeColor="text1"/>
          <w:sz w:val="24"/>
          <w:szCs w:val="24"/>
        </w:rPr>
        <w:t xml:space="preserve">Sterility testing </w:t>
      </w:r>
      <w:r w:rsidR="007E38FC">
        <w:rPr>
          <w:rFonts w:ascii="Times New Roman" w:hAnsi="Times New Roman" w:cs="Times New Roman"/>
          <w:color w:val="000000" w:themeColor="text1"/>
          <w:sz w:val="24"/>
          <w:szCs w:val="24"/>
        </w:rPr>
        <w:t>of the last media change (</w:t>
      </w:r>
      <w:r w:rsidR="007E38FC" w:rsidRPr="00EA17AD">
        <w:rPr>
          <w:rFonts w:ascii="Times New Roman" w:hAnsi="Times New Roman" w:cs="Times New Roman"/>
          <w:bCs/>
          <w:sz w:val="24"/>
          <w:szCs w:val="24"/>
        </w:rPr>
        <w:t>≥</w:t>
      </w:r>
      <w:r w:rsidR="007E38FC">
        <w:rPr>
          <w:rFonts w:ascii="Times New Roman" w:hAnsi="Times New Roman" w:cs="Times New Roman"/>
          <w:color w:val="000000" w:themeColor="text1"/>
          <w:sz w:val="24"/>
          <w:szCs w:val="24"/>
        </w:rPr>
        <w:t>48 hours prior to final product release)</w:t>
      </w:r>
      <w:r w:rsidR="007E38FC" w:rsidRPr="007E38FC">
        <w:rPr>
          <w:rFonts w:ascii="Times New Roman" w:hAnsi="Times New Roman" w:cs="Times New Roman"/>
          <w:color w:val="000000" w:themeColor="text1"/>
          <w:sz w:val="24"/>
          <w:szCs w:val="24"/>
        </w:rPr>
        <w:t xml:space="preserve"> </w:t>
      </w:r>
      <w:r w:rsidR="007E38FC">
        <w:rPr>
          <w:rFonts w:ascii="Times New Roman" w:hAnsi="Times New Roman" w:cs="Times New Roman"/>
          <w:color w:val="000000" w:themeColor="text1"/>
          <w:sz w:val="24"/>
          <w:szCs w:val="24"/>
        </w:rPr>
        <w:t xml:space="preserve">by </w:t>
      </w:r>
      <w:r w:rsidR="007E38FC" w:rsidRPr="007E38FC">
        <w:rPr>
          <w:rFonts w:ascii="Times New Roman" w:hAnsi="Times New Roman" w:cs="Times New Roman"/>
          <w:color w:val="000000" w:themeColor="text1"/>
          <w:sz w:val="24"/>
          <w:szCs w:val="24"/>
        </w:rPr>
        <w:t>direct inoculation method according to USP &lt;71&gt; sterility test</w:t>
      </w:r>
      <w:r w:rsidR="007E38FC">
        <w:rPr>
          <w:rFonts w:ascii="Times New Roman" w:hAnsi="Times New Roman" w:cs="Times New Roman"/>
          <w:color w:val="000000" w:themeColor="text1"/>
          <w:sz w:val="24"/>
          <w:szCs w:val="24"/>
        </w:rPr>
        <w:t xml:space="preserve">, (3) </w:t>
      </w:r>
      <w:r w:rsidR="00402BE7">
        <w:rPr>
          <w:rFonts w:ascii="Times New Roman" w:hAnsi="Times New Roman" w:cs="Times New Roman"/>
          <w:color w:val="000000" w:themeColor="text1"/>
          <w:sz w:val="24"/>
          <w:szCs w:val="24"/>
        </w:rPr>
        <w:t>S</w:t>
      </w:r>
      <w:r w:rsidR="007E38FC">
        <w:rPr>
          <w:rFonts w:ascii="Times New Roman" w:hAnsi="Times New Roman" w:cs="Times New Roman"/>
          <w:color w:val="000000" w:themeColor="text1"/>
          <w:sz w:val="24"/>
          <w:szCs w:val="24"/>
        </w:rPr>
        <w:t>terility testing of final product by gram stain, (4) Confirmation of “</w:t>
      </w:r>
      <w:proofErr w:type="spellStart"/>
      <w:r w:rsidR="007E38FC">
        <w:rPr>
          <w:rFonts w:ascii="Times New Roman" w:hAnsi="Times New Roman" w:cs="Times New Roman"/>
          <w:color w:val="000000" w:themeColor="text1"/>
          <w:sz w:val="24"/>
          <w:szCs w:val="24"/>
        </w:rPr>
        <w:t>neurosphere</w:t>
      </w:r>
      <w:proofErr w:type="spellEnd"/>
      <w:r w:rsidR="007E38FC">
        <w:rPr>
          <w:rFonts w:ascii="Times New Roman" w:hAnsi="Times New Roman" w:cs="Times New Roman"/>
          <w:color w:val="000000" w:themeColor="text1"/>
          <w:sz w:val="24"/>
          <w:szCs w:val="24"/>
        </w:rPr>
        <w:t xml:space="preserve">” </w:t>
      </w:r>
      <w:r w:rsidR="007E38FC">
        <w:rPr>
          <w:rFonts w:ascii="Times New Roman" w:hAnsi="Times New Roman" w:cs="Times New Roman"/>
          <w:color w:val="000000" w:themeColor="text1"/>
          <w:sz w:val="24"/>
          <w:szCs w:val="24"/>
        </w:rPr>
        <w:lastRenderedPageBreak/>
        <w:t xml:space="preserve">morphology </w:t>
      </w:r>
      <w:r w:rsidR="00BA7C04">
        <w:rPr>
          <w:rFonts w:ascii="Times New Roman" w:hAnsi="Times New Roman" w:cs="Times New Roman"/>
          <w:color w:val="000000" w:themeColor="text1"/>
          <w:sz w:val="24"/>
          <w:szCs w:val="24"/>
        </w:rPr>
        <w:t>and</w:t>
      </w:r>
      <w:r w:rsidR="007E38FC">
        <w:rPr>
          <w:rFonts w:ascii="Times New Roman" w:hAnsi="Times New Roman" w:cs="Times New Roman"/>
          <w:color w:val="000000" w:themeColor="text1"/>
          <w:sz w:val="24"/>
          <w:szCs w:val="24"/>
        </w:rPr>
        <w:t xml:space="preserve"> identity, (4) </w:t>
      </w:r>
      <w:r w:rsidR="00402BE7">
        <w:rPr>
          <w:rFonts w:ascii="Times New Roman" w:hAnsi="Times New Roman" w:cs="Times New Roman"/>
          <w:color w:val="000000" w:themeColor="text1"/>
          <w:sz w:val="24"/>
          <w:szCs w:val="24"/>
        </w:rPr>
        <w:t>Final product v</w:t>
      </w:r>
      <w:r w:rsidR="007E38FC">
        <w:rPr>
          <w:rFonts w:ascii="Times New Roman" w:hAnsi="Times New Roman" w:cs="Times New Roman"/>
          <w:color w:val="000000" w:themeColor="text1"/>
          <w:sz w:val="24"/>
          <w:szCs w:val="24"/>
        </w:rPr>
        <w:t xml:space="preserve">iability </w:t>
      </w:r>
      <w:r w:rsidR="00402BE7">
        <w:rPr>
          <w:rFonts w:ascii="Times New Roman" w:hAnsi="Times New Roman" w:cs="Times New Roman"/>
          <w:color w:val="000000" w:themeColor="text1"/>
          <w:sz w:val="24"/>
          <w:szCs w:val="24"/>
        </w:rPr>
        <w:t xml:space="preserve">&gt;70% by </w:t>
      </w:r>
      <w:r w:rsidR="007E38FC">
        <w:rPr>
          <w:rFonts w:ascii="Times New Roman" w:hAnsi="Times New Roman" w:cs="Times New Roman"/>
          <w:color w:val="000000" w:themeColor="text1"/>
          <w:sz w:val="24"/>
          <w:szCs w:val="24"/>
        </w:rPr>
        <w:t>AO/PI staining, and (5) cell number up to 10 x 10</w:t>
      </w:r>
      <w:r w:rsidR="007E38FC" w:rsidRPr="000A6ADF">
        <w:rPr>
          <w:rFonts w:ascii="Times New Roman" w:hAnsi="Times New Roman" w:cs="Times New Roman"/>
          <w:color w:val="000000" w:themeColor="text1"/>
          <w:sz w:val="24"/>
          <w:szCs w:val="24"/>
          <w:vertAlign w:val="superscript"/>
        </w:rPr>
        <w:t>6</w:t>
      </w:r>
      <w:r w:rsidR="007E38FC">
        <w:rPr>
          <w:rFonts w:ascii="Times New Roman" w:hAnsi="Times New Roman" w:cs="Times New Roman"/>
          <w:color w:val="000000" w:themeColor="text1"/>
          <w:sz w:val="24"/>
          <w:szCs w:val="24"/>
        </w:rPr>
        <w:t xml:space="preserve"> cells per dose. </w:t>
      </w:r>
      <w:r w:rsidR="00BA7C04">
        <w:rPr>
          <w:rFonts w:ascii="Times New Roman" w:hAnsi="Times New Roman" w:cs="Times New Roman"/>
          <w:color w:val="000000" w:themeColor="text1"/>
          <w:sz w:val="24"/>
          <w:szCs w:val="24"/>
        </w:rPr>
        <w:t xml:space="preserve">Post-release testing included (1) </w:t>
      </w:r>
      <w:r w:rsidR="00BA7C04" w:rsidRPr="007E38FC">
        <w:rPr>
          <w:rFonts w:ascii="Times New Roman" w:hAnsi="Times New Roman" w:cs="Times New Roman"/>
          <w:color w:val="000000" w:themeColor="text1"/>
          <w:sz w:val="24"/>
          <w:szCs w:val="24"/>
        </w:rPr>
        <w:t xml:space="preserve">Sterility </w:t>
      </w:r>
      <w:r w:rsidR="00BA7C04">
        <w:rPr>
          <w:rFonts w:ascii="Times New Roman" w:hAnsi="Times New Roman" w:cs="Times New Roman"/>
          <w:color w:val="000000" w:themeColor="text1"/>
          <w:sz w:val="24"/>
          <w:szCs w:val="24"/>
        </w:rPr>
        <w:t xml:space="preserve">of in-process sample (inoculated </w:t>
      </w:r>
      <w:r w:rsidR="00BA7C04" w:rsidRPr="00EA17AD">
        <w:rPr>
          <w:rFonts w:ascii="Times New Roman" w:hAnsi="Times New Roman" w:cs="Times New Roman"/>
          <w:bCs/>
          <w:sz w:val="24"/>
          <w:szCs w:val="24"/>
        </w:rPr>
        <w:t>≥</w:t>
      </w:r>
      <w:r w:rsidR="00BA7C04">
        <w:rPr>
          <w:rFonts w:ascii="Times New Roman" w:hAnsi="Times New Roman" w:cs="Times New Roman"/>
          <w:color w:val="000000" w:themeColor="text1"/>
          <w:sz w:val="24"/>
          <w:szCs w:val="24"/>
        </w:rPr>
        <w:t>48 hours prior to final product release)</w:t>
      </w:r>
      <w:r w:rsidR="00BA7C04" w:rsidRPr="007E38FC">
        <w:rPr>
          <w:rFonts w:ascii="Times New Roman" w:hAnsi="Times New Roman" w:cs="Times New Roman"/>
          <w:color w:val="000000" w:themeColor="text1"/>
          <w:sz w:val="24"/>
          <w:szCs w:val="24"/>
        </w:rPr>
        <w:t xml:space="preserve"> </w:t>
      </w:r>
      <w:r w:rsidR="00BA7C04">
        <w:rPr>
          <w:rFonts w:ascii="Times New Roman" w:hAnsi="Times New Roman" w:cs="Times New Roman"/>
          <w:color w:val="000000" w:themeColor="text1"/>
          <w:sz w:val="24"/>
          <w:szCs w:val="24"/>
        </w:rPr>
        <w:t xml:space="preserve">after 14 days </w:t>
      </w:r>
      <w:r w:rsidR="00BA7C04" w:rsidRPr="007E38FC">
        <w:rPr>
          <w:rFonts w:ascii="Times New Roman" w:hAnsi="Times New Roman" w:cs="Times New Roman"/>
          <w:color w:val="000000" w:themeColor="text1"/>
          <w:sz w:val="24"/>
          <w:szCs w:val="24"/>
        </w:rPr>
        <w:t>according to USP &lt;71&gt; sterility test</w:t>
      </w:r>
      <w:r w:rsidR="00BA7C04">
        <w:rPr>
          <w:rFonts w:ascii="Times New Roman" w:hAnsi="Times New Roman" w:cs="Times New Roman"/>
          <w:color w:val="000000" w:themeColor="text1"/>
          <w:sz w:val="24"/>
          <w:szCs w:val="24"/>
        </w:rPr>
        <w:t xml:space="preserve">, (2) </w:t>
      </w:r>
      <w:r w:rsidR="00BA7C04" w:rsidRPr="007E38FC">
        <w:rPr>
          <w:rFonts w:ascii="Times New Roman" w:hAnsi="Times New Roman" w:cs="Times New Roman"/>
          <w:color w:val="000000" w:themeColor="text1"/>
          <w:sz w:val="24"/>
          <w:szCs w:val="24"/>
        </w:rPr>
        <w:t xml:space="preserve">Sterility </w:t>
      </w:r>
      <w:r w:rsidR="00BA7C04">
        <w:rPr>
          <w:rFonts w:ascii="Times New Roman" w:hAnsi="Times New Roman" w:cs="Times New Roman"/>
          <w:color w:val="000000" w:themeColor="text1"/>
          <w:sz w:val="24"/>
          <w:szCs w:val="24"/>
        </w:rPr>
        <w:t xml:space="preserve">of final product sample after 14 days </w:t>
      </w:r>
      <w:r w:rsidR="00BA7C04" w:rsidRPr="007E38FC">
        <w:rPr>
          <w:rFonts w:ascii="Times New Roman" w:hAnsi="Times New Roman" w:cs="Times New Roman"/>
          <w:color w:val="000000" w:themeColor="text1"/>
          <w:sz w:val="24"/>
          <w:szCs w:val="24"/>
        </w:rPr>
        <w:t>according to USP &lt;71&gt; sterility test</w:t>
      </w:r>
      <w:r w:rsidR="00BA7C04">
        <w:rPr>
          <w:rFonts w:ascii="Times New Roman" w:hAnsi="Times New Roman" w:cs="Times New Roman"/>
          <w:color w:val="000000" w:themeColor="text1"/>
          <w:sz w:val="24"/>
          <w:szCs w:val="24"/>
        </w:rPr>
        <w:t xml:space="preserve">, (3) Purity of final product by endotoxin testing, and (4) Potency testing by gene expression analysis of final product MSC-NPs compared </w:t>
      </w:r>
      <w:r w:rsidR="00BA7C04" w:rsidRPr="00090043">
        <w:rPr>
          <w:rFonts w:ascii="Times New Roman" w:hAnsi="Times New Roman" w:cs="Times New Roman"/>
          <w:color w:val="000000" w:themeColor="text1"/>
          <w:sz w:val="24"/>
          <w:szCs w:val="24"/>
        </w:rPr>
        <w:t xml:space="preserve">to MSCs from which they were derived. </w:t>
      </w:r>
      <w:r w:rsidR="00FC5A1C" w:rsidRPr="00090043">
        <w:rPr>
          <w:rFonts w:ascii="Times New Roman" w:hAnsi="Times New Roman" w:cs="Times New Roman"/>
          <w:bCs/>
          <w:color w:val="000000" w:themeColor="text1"/>
          <w:sz w:val="24"/>
          <w:szCs w:val="24"/>
        </w:rPr>
        <w:t>Gene expression testing was performed using TaqMan® Gene Expression Assays (</w:t>
      </w:r>
      <w:proofErr w:type="spellStart"/>
      <w:r w:rsidR="00FC5A1C" w:rsidRPr="00090043">
        <w:rPr>
          <w:rFonts w:ascii="Times New Roman" w:hAnsi="Times New Roman" w:cs="Times New Roman"/>
          <w:bCs/>
          <w:color w:val="000000" w:themeColor="text1"/>
          <w:sz w:val="24"/>
          <w:szCs w:val="24"/>
        </w:rPr>
        <w:t>Thermo</w:t>
      </w:r>
      <w:proofErr w:type="spellEnd"/>
      <w:r w:rsidR="00FC5A1C" w:rsidRPr="00090043">
        <w:rPr>
          <w:rFonts w:ascii="Times New Roman" w:hAnsi="Times New Roman" w:cs="Times New Roman"/>
          <w:bCs/>
          <w:color w:val="000000" w:themeColor="text1"/>
          <w:sz w:val="24"/>
          <w:szCs w:val="24"/>
        </w:rPr>
        <w:t xml:space="preserve"> Fisher Scientific) and specified &gt;2-fold down-regulation of mesodermal lineage markers smooth muscle isoform of alpha 2 actin (ACTA2) (Assay ID: Hs00426835_g1) and CD90 (THY1) (Assay ID: Hs00264235_s1) and &gt;2-fold up-regulation of C-X-C motif chemokine receptor 4 (CXCR4) (Assay ID: Hs00607978_s1), hepatocyte growth factor (HGF) (Assay ID: Hs00300159_m1), leukemia inhibitory factor (LIF) (Assay ID: </w:t>
      </w:r>
      <w:r w:rsidR="00090043" w:rsidRPr="00090043">
        <w:rPr>
          <w:rFonts w:ascii="Times New Roman" w:hAnsi="Times New Roman" w:cs="Times New Roman"/>
          <w:bCs/>
          <w:color w:val="000000" w:themeColor="text1"/>
          <w:sz w:val="24"/>
          <w:szCs w:val="24"/>
        </w:rPr>
        <w:t>Hs00171455_m1</w:t>
      </w:r>
      <w:r w:rsidR="00FC5A1C" w:rsidRPr="00090043">
        <w:rPr>
          <w:rFonts w:ascii="Times New Roman" w:hAnsi="Times New Roman" w:cs="Times New Roman"/>
          <w:bCs/>
          <w:color w:val="000000" w:themeColor="text1"/>
          <w:sz w:val="24"/>
          <w:szCs w:val="24"/>
        </w:rPr>
        <w:t>)</w:t>
      </w:r>
      <w:r w:rsidR="00090043" w:rsidRPr="00090043">
        <w:rPr>
          <w:rFonts w:ascii="Times New Roman" w:hAnsi="Times New Roman" w:cs="Times New Roman"/>
          <w:bCs/>
          <w:color w:val="000000" w:themeColor="text1"/>
          <w:sz w:val="24"/>
          <w:szCs w:val="24"/>
        </w:rPr>
        <w:t xml:space="preserve">, </w:t>
      </w:r>
      <w:proofErr w:type="spellStart"/>
      <w:r w:rsidR="00090043" w:rsidRPr="00090043">
        <w:rPr>
          <w:rFonts w:ascii="Times New Roman" w:hAnsi="Times New Roman" w:cs="Times New Roman"/>
          <w:bCs/>
          <w:color w:val="000000" w:themeColor="text1"/>
          <w:sz w:val="24"/>
          <w:szCs w:val="24"/>
        </w:rPr>
        <w:t>nestin</w:t>
      </w:r>
      <w:proofErr w:type="spellEnd"/>
      <w:r w:rsidR="00090043" w:rsidRPr="00090043">
        <w:rPr>
          <w:rFonts w:ascii="Times New Roman" w:hAnsi="Times New Roman" w:cs="Times New Roman"/>
          <w:bCs/>
          <w:color w:val="000000" w:themeColor="text1"/>
          <w:sz w:val="24"/>
          <w:szCs w:val="24"/>
        </w:rPr>
        <w:t xml:space="preserve"> (NES) (Assay ID: Hs00707120_s1), </w:t>
      </w:r>
      <w:proofErr w:type="spellStart"/>
      <w:r w:rsidR="00FC5A1C" w:rsidRPr="00090043">
        <w:rPr>
          <w:rFonts w:ascii="Times New Roman" w:hAnsi="Times New Roman" w:cs="Times New Roman"/>
          <w:bCs/>
          <w:color w:val="000000" w:themeColor="text1"/>
          <w:sz w:val="24"/>
          <w:szCs w:val="24"/>
        </w:rPr>
        <w:t>Sry</w:t>
      </w:r>
      <w:proofErr w:type="spellEnd"/>
      <w:r w:rsidR="00FC5A1C" w:rsidRPr="00090043">
        <w:rPr>
          <w:rFonts w:ascii="Times New Roman" w:hAnsi="Times New Roman" w:cs="Times New Roman"/>
          <w:bCs/>
          <w:color w:val="000000" w:themeColor="text1"/>
          <w:sz w:val="24"/>
          <w:szCs w:val="24"/>
        </w:rPr>
        <w:t xml:space="preserve">-box 2 (SOX2) (Assay ID: </w:t>
      </w:r>
      <w:r w:rsidR="00090043" w:rsidRPr="00090043">
        <w:rPr>
          <w:rFonts w:ascii="Times New Roman" w:hAnsi="Times New Roman" w:cs="Times New Roman"/>
          <w:bCs/>
          <w:color w:val="000000" w:themeColor="text1"/>
          <w:sz w:val="24"/>
          <w:szCs w:val="24"/>
        </w:rPr>
        <w:t>Hs00602736_s1</w:t>
      </w:r>
      <w:r w:rsidR="00FC5A1C" w:rsidRPr="00090043">
        <w:rPr>
          <w:rFonts w:ascii="Times New Roman" w:hAnsi="Times New Roman" w:cs="Times New Roman"/>
          <w:bCs/>
          <w:color w:val="000000" w:themeColor="text1"/>
          <w:sz w:val="24"/>
          <w:szCs w:val="24"/>
        </w:rPr>
        <w:t xml:space="preserve">), </w:t>
      </w:r>
      <w:r w:rsidR="00090043" w:rsidRPr="00090043">
        <w:rPr>
          <w:rFonts w:ascii="Times New Roman" w:hAnsi="Times New Roman" w:cs="Times New Roman"/>
          <w:bCs/>
          <w:color w:val="000000" w:themeColor="text1"/>
          <w:sz w:val="24"/>
          <w:szCs w:val="24"/>
        </w:rPr>
        <w:t xml:space="preserve">and </w:t>
      </w:r>
      <w:r w:rsidR="00FC5A1C" w:rsidRPr="00090043">
        <w:rPr>
          <w:rFonts w:ascii="Times New Roman" w:hAnsi="Times New Roman" w:cs="Times New Roman"/>
          <w:bCs/>
          <w:color w:val="000000" w:themeColor="text1"/>
          <w:sz w:val="24"/>
          <w:szCs w:val="24"/>
        </w:rPr>
        <w:t>toll like receptor 2 (TLR2) (Assay ID: Hs01872448_s1)</w:t>
      </w:r>
      <w:r w:rsidR="00090043" w:rsidRPr="00090043">
        <w:rPr>
          <w:rFonts w:ascii="Times New Roman" w:hAnsi="Times New Roman" w:cs="Times New Roman"/>
          <w:bCs/>
          <w:color w:val="000000" w:themeColor="text1"/>
          <w:sz w:val="24"/>
          <w:szCs w:val="24"/>
        </w:rPr>
        <w:t xml:space="preserve">. Gene expression was normalized to IPO8 endogenous control (Hs00183533_m1) and relative quantification was determined by delta </w:t>
      </w:r>
      <w:proofErr w:type="spellStart"/>
      <w:r w:rsidR="00090043" w:rsidRPr="00090043">
        <w:rPr>
          <w:rFonts w:ascii="Times New Roman" w:hAnsi="Times New Roman" w:cs="Times New Roman"/>
          <w:bCs/>
          <w:color w:val="000000" w:themeColor="text1"/>
          <w:sz w:val="24"/>
          <w:szCs w:val="24"/>
        </w:rPr>
        <w:t>delta</w:t>
      </w:r>
      <w:proofErr w:type="spellEnd"/>
      <w:r w:rsidR="00090043" w:rsidRPr="00090043">
        <w:rPr>
          <w:rFonts w:ascii="Times New Roman" w:hAnsi="Times New Roman" w:cs="Times New Roman"/>
          <w:bCs/>
          <w:color w:val="000000" w:themeColor="text1"/>
          <w:sz w:val="24"/>
          <w:szCs w:val="24"/>
        </w:rPr>
        <w:t xml:space="preserve"> Ct analysis of MSC-NPs compared to the MSCs using RQ Manager software (Applied Biosystems).</w:t>
      </w:r>
      <w:r w:rsidR="00090043">
        <w:rPr>
          <w:rFonts w:ascii="Times New Roman" w:hAnsi="Times New Roman" w:cs="Times New Roman"/>
          <w:bCs/>
          <w:color w:val="000000" w:themeColor="text1"/>
          <w:sz w:val="24"/>
          <w:szCs w:val="24"/>
        </w:rPr>
        <w:t xml:space="preserve"> </w:t>
      </w:r>
    </w:p>
    <w:p w14:paraId="17945EF4" w14:textId="3AABFFAB" w:rsidR="00710714" w:rsidRDefault="00710714" w:rsidP="00F41641">
      <w:pPr>
        <w:spacing w:line="480" w:lineRule="auto"/>
        <w:rPr>
          <w:rFonts w:ascii="Times New Roman" w:hAnsi="Times New Roman" w:cs="Times New Roman"/>
          <w:bCs/>
          <w:color w:val="000000" w:themeColor="text1"/>
        </w:rPr>
      </w:pPr>
    </w:p>
    <w:p w14:paraId="21D65DF2" w14:textId="2D54C280" w:rsidR="002E7640" w:rsidRDefault="00DA3F87" w:rsidP="00F41641">
      <w:pPr>
        <w:spacing w:line="480"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Bone marrow MSC batches were generated for all 54 subjects in the trial. For one subject, the first batch of MSCs failed due to equipment malfunction, however a repeat of bone marrow aspiration and MSC expansion was successful. For another subject, the first batch of MSCs passed released testing but failed to expand in sufficient numbers of cells to generate </w:t>
      </w:r>
      <w:proofErr w:type="gramStart"/>
      <w:r>
        <w:rPr>
          <w:rFonts w:ascii="Times New Roman" w:hAnsi="Times New Roman" w:cs="Times New Roman"/>
          <w:bCs/>
          <w:color w:val="000000" w:themeColor="text1"/>
        </w:rPr>
        <w:t xml:space="preserve">a </w:t>
      </w:r>
      <w:r w:rsidR="00F052E7">
        <w:rPr>
          <w:rFonts w:ascii="Times New Roman" w:hAnsi="Times New Roman" w:cs="Times New Roman"/>
          <w:bCs/>
          <w:color w:val="000000" w:themeColor="text1"/>
        </w:rPr>
        <w:t xml:space="preserve">sufficient number </w:t>
      </w:r>
      <w:r>
        <w:rPr>
          <w:rFonts w:ascii="Times New Roman" w:hAnsi="Times New Roman" w:cs="Times New Roman"/>
          <w:bCs/>
          <w:color w:val="000000" w:themeColor="text1"/>
        </w:rPr>
        <w:t>of</w:t>
      </w:r>
      <w:proofErr w:type="gramEnd"/>
      <w:r>
        <w:rPr>
          <w:rFonts w:ascii="Times New Roman" w:hAnsi="Times New Roman" w:cs="Times New Roman"/>
          <w:bCs/>
          <w:color w:val="000000" w:themeColor="text1"/>
        </w:rPr>
        <w:t xml:space="preserve"> MSC-NPs. </w:t>
      </w:r>
      <w:r w:rsidR="00455777">
        <w:rPr>
          <w:rFonts w:ascii="Times New Roman" w:hAnsi="Times New Roman" w:cs="Times New Roman"/>
          <w:bCs/>
          <w:color w:val="000000" w:themeColor="text1"/>
        </w:rPr>
        <w:t xml:space="preserve">Repeat bone marrow aspiration yielded the same outcome, and thus the subject was removed from study. </w:t>
      </w:r>
      <w:r w:rsidR="002E7640">
        <w:rPr>
          <w:rFonts w:ascii="Times New Roman" w:hAnsi="Times New Roman" w:cs="Times New Roman"/>
          <w:bCs/>
          <w:color w:val="000000" w:themeColor="text1"/>
        </w:rPr>
        <w:t>A total of 31</w:t>
      </w:r>
      <w:r>
        <w:rPr>
          <w:rFonts w:ascii="Times New Roman" w:hAnsi="Times New Roman" w:cs="Times New Roman"/>
          <w:bCs/>
          <w:color w:val="000000" w:themeColor="text1"/>
        </w:rPr>
        <w:t>8</w:t>
      </w:r>
      <w:r w:rsidR="002E7640">
        <w:rPr>
          <w:rFonts w:ascii="Times New Roman" w:hAnsi="Times New Roman" w:cs="Times New Roman"/>
          <w:bCs/>
          <w:color w:val="000000" w:themeColor="text1"/>
        </w:rPr>
        <w:t xml:space="preserve"> individual batches of MSC-NPs were generated </w:t>
      </w:r>
      <w:r w:rsidR="002E7640">
        <w:rPr>
          <w:rFonts w:ascii="Times New Roman" w:hAnsi="Times New Roman" w:cs="Times New Roman"/>
          <w:bCs/>
          <w:color w:val="000000" w:themeColor="text1"/>
        </w:rPr>
        <w:lastRenderedPageBreak/>
        <w:t>during the trial.</w:t>
      </w:r>
      <w:r>
        <w:rPr>
          <w:rFonts w:ascii="Times New Roman" w:hAnsi="Times New Roman" w:cs="Times New Roman"/>
          <w:bCs/>
          <w:color w:val="000000" w:themeColor="text1"/>
        </w:rPr>
        <w:t xml:space="preserve"> Of these, 7 batches (2.2%) were rejected due to contamination detected in-process. </w:t>
      </w:r>
      <w:r w:rsidR="00455777">
        <w:rPr>
          <w:rFonts w:ascii="Times New Roman" w:hAnsi="Times New Roman" w:cs="Times New Roman"/>
          <w:bCs/>
          <w:color w:val="000000" w:themeColor="text1"/>
        </w:rPr>
        <w:t xml:space="preserve">Viability of the majority (93%) of MSC-NP batches at the time of injection was </w:t>
      </w:r>
      <w:r w:rsidR="00455777">
        <w:rPr>
          <w:rFonts w:ascii="Times New Roman" w:hAnsi="Times New Roman" w:cs="Times New Roman"/>
          <w:bCs/>
          <w:color w:val="000000" w:themeColor="text1"/>
        </w:rPr>
        <w:sym w:font="Symbol" w:char="F0B3"/>
      </w:r>
      <w:r w:rsidR="00455777">
        <w:rPr>
          <w:rFonts w:ascii="Times New Roman" w:hAnsi="Times New Roman" w:cs="Times New Roman"/>
          <w:bCs/>
          <w:color w:val="000000" w:themeColor="text1"/>
        </w:rPr>
        <w:t xml:space="preserve">90% and in a minority of batches (7%) viability was between 80%-89%. </w:t>
      </w:r>
      <w:r w:rsidR="00165A33">
        <w:rPr>
          <w:rFonts w:ascii="Times New Roman" w:hAnsi="Times New Roman" w:cs="Times New Roman"/>
          <w:bCs/>
          <w:color w:val="000000" w:themeColor="text1"/>
        </w:rPr>
        <w:t xml:space="preserve">At each passage, the population doubling time (PDT) of MSCs was calculated </w:t>
      </w:r>
      <w:r w:rsidR="00165A33" w:rsidRPr="0095764F">
        <w:rPr>
          <w:rFonts w:ascii="Times New Roman" w:hAnsi="Times New Roman" w:cs="Times New Roman"/>
          <w:bCs/>
          <w:color w:val="000000" w:themeColor="text1"/>
        </w:rPr>
        <w:t xml:space="preserve">as </w:t>
      </w:r>
      <w:r w:rsidR="0095764F" w:rsidRPr="0095764F">
        <w:rPr>
          <w:rFonts w:ascii="Times New Roman" w:hAnsi="Times New Roman" w:cs="Times New Roman"/>
        </w:rPr>
        <w:t>PDT = (t*log2)/(logN</w:t>
      </w:r>
      <w:r w:rsidR="0095764F" w:rsidRPr="0095764F">
        <w:rPr>
          <w:rFonts w:ascii="Times New Roman" w:hAnsi="Times New Roman" w:cs="Times New Roman"/>
          <w:vertAlign w:val="subscript"/>
        </w:rPr>
        <w:t>2</w:t>
      </w:r>
      <w:r w:rsidR="0095764F" w:rsidRPr="0095764F">
        <w:rPr>
          <w:rFonts w:ascii="Times New Roman" w:hAnsi="Times New Roman" w:cs="Times New Roman"/>
        </w:rPr>
        <w:t>-logN</w:t>
      </w:r>
      <w:r w:rsidR="0095764F" w:rsidRPr="0095764F">
        <w:rPr>
          <w:rFonts w:ascii="Times New Roman" w:hAnsi="Times New Roman" w:cs="Times New Roman"/>
          <w:vertAlign w:val="subscript"/>
        </w:rPr>
        <w:t>1</w:t>
      </w:r>
      <w:r w:rsidR="0095764F" w:rsidRPr="0095764F">
        <w:rPr>
          <w:rFonts w:ascii="Times New Roman" w:hAnsi="Times New Roman" w:cs="Times New Roman"/>
        </w:rPr>
        <w:t>) where t = number of days in culture, N</w:t>
      </w:r>
      <w:r w:rsidR="0095764F" w:rsidRPr="0095764F">
        <w:rPr>
          <w:rFonts w:ascii="Times New Roman" w:hAnsi="Times New Roman" w:cs="Times New Roman"/>
          <w:vertAlign w:val="subscript"/>
        </w:rPr>
        <w:t xml:space="preserve">1 </w:t>
      </w:r>
      <w:r w:rsidR="0095764F" w:rsidRPr="0095764F">
        <w:rPr>
          <w:rFonts w:ascii="Times New Roman" w:hAnsi="Times New Roman" w:cs="Times New Roman"/>
        </w:rPr>
        <w:t>= number of cells seeded and N</w:t>
      </w:r>
      <w:r w:rsidR="0095764F" w:rsidRPr="0095764F">
        <w:rPr>
          <w:rFonts w:ascii="Times New Roman" w:hAnsi="Times New Roman" w:cs="Times New Roman"/>
          <w:vertAlign w:val="subscript"/>
        </w:rPr>
        <w:t xml:space="preserve">2 </w:t>
      </w:r>
      <w:r w:rsidR="0095764F" w:rsidRPr="0095764F">
        <w:rPr>
          <w:rFonts w:ascii="Times New Roman" w:hAnsi="Times New Roman" w:cs="Times New Roman"/>
        </w:rPr>
        <w:t>= number of cells harvested</w:t>
      </w:r>
      <w:r w:rsidR="0075329F" w:rsidRPr="0095764F">
        <w:rPr>
          <w:rFonts w:ascii="Times New Roman" w:hAnsi="Times New Roman" w:cs="Times New Roman"/>
          <w:color w:val="111111"/>
          <w:shd w:val="clear" w:color="auto" w:fill="FFFFFF"/>
        </w:rPr>
        <w:t xml:space="preserve">. </w:t>
      </w:r>
      <w:r w:rsidR="00D32237" w:rsidRPr="0095764F">
        <w:rPr>
          <w:rFonts w:ascii="Times New Roman" w:hAnsi="Times New Roman" w:cs="Times New Roman"/>
          <w:bCs/>
          <w:color w:val="000000" w:themeColor="text1"/>
        </w:rPr>
        <w:t>The average PDT of expanded MSCs during passage 2 and passage 3 was 2.3 days (range 1.7 to 3.</w:t>
      </w:r>
      <w:r w:rsidR="00D32237">
        <w:rPr>
          <w:rFonts w:ascii="Times New Roman" w:hAnsi="Times New Roman" w:cs="Times New Roman"/>
          <w:bCs/>
          <w:color w:val="000000" w:themeColor="text1"/>
        </w:rPr>
        <w:t xml:space="preserve">6) and 2.6 days (range 1.4 to 5.7), respectively. Four MSC lines were expanded up to passage 4, where the average population doubling time was 2.8 days. </w:t>
      </w:r>
      <w:r w:rsidR="0075329F">
        <w:rPr>
          <w:rFonts w:ascii="Times New Roman" w:hAnsi="Times New Roman" w:cs="Times New Roman"/>
          <w:bCs/>
          <w:color w:val="000000" w:themeColor="text1"/>
        </w:rPr>
        <w:t>We</w:t>
      </w:r>
      <w:r w:rsidR="00D32237">
        <w:rPr>
          <w:rFonts w:ascii="Times New Roman" w:hAnsi="Times New Roman" w:cs="Times New Roman"/>
          <w:bCs/>
          <w:color w:val="000000" w:themeColor="text1"/>
        </w:rPr>
        <w:t xml:space="preserve"> did not observe any correlation between PDT and subject age, disease subtype, or disease duration. </w:t>
      </w:r>
    </w:p>
    <w:p w14:paraId="1230D582" w14:textId="77777777" w:rsidR="00F41641" w:rsidRPr="00F41641" w:rsidRDefault="00F41641" w:rsidP="00F41641">
      <w:pPr>
        <w:spacing w:line="480" w:lineRule="auto"/>
        <w:rPr>
          <w:rFonts w:ascii="Times New Roman" w:hAnsi="Times New Roman" w:cs="Times New Roman"/>
          <w:bCs/>
          <w:color w:val="000000" w:themeColor="text1"/>
        </w:rPr>
      </w:pPr>
    </w:p>
    <w:p w14:paraId="234C76F7" w14:textId="77777777" w:rsidR="00710714" w:rsidRPr="00B75EE2" w:rsidRDefault="00710714" w:rsidP="00B75EE2">
      <w:pPr>
        <w:pStyle w:val="ListParagraph"/>
        <w:spacing w:after="0" w:line="480" w:lineRule="auto"/>
        <w:ind w:left="0"/>
        <w:rPr>
          <w:rFonts w:ascii="Times New Roman" w:hAnsi="Times New Roman" w:cs="Times New Roman"/>
          <w:bCs/>
          <w:color w:val="000000" w:themeColor="text1"/>
          <w:sz w:val="24"/>
          <w:szCs w:val="24"/>
        </w:rPr>
      </w:pPr>
    </w:p>
    <w:p w14:paraId="12243C0A" w14:textId="77777777" w:rsidR="00710714" w:rsidRPr="00B75EE2" w:rsidRDefault="00710714" w:rsidP="00B75EE2">
      <w:pPr>
        <w:pStyle w:val="ListParagraph"/>
        <w:spacing w:after="0" w:line="480" w:lineRule="auto"/>
        <w:ind w:left="0"/>
        <w:rPr>
          <w:rFonts w:ascii="Times New Roman" w:hAnsi="Times New Roman" w:cs="Times New Roman"/>
          <w:bCs/>
          <w:color w:val="000000" w:themeColor="text1"/>
          <w:sz w:val="24"/>
          <w:szCs w:val="24"/>
        </w:rPr>
      </w:pPr>
    </w:p>
    <w:p w14:paraId="2690150F" w14:textId="77777777" w:rsidR="00B75EE2" w:rsidRPr="00B75EE2" w:rsidRDefault="00B75EE2">
      <w:pPr>
        <w:spacing w:line="480" w:lineRule="auto"/>
        <w:rPr>
          <w:rFonts w:ascii="Times New Roman" w:hAnsi="Times New Roman" w:cs="Times New Roman"/>
          <w:bCs/>
          <w:color w:val="000000" w:themeColor="text1"/>
        </w:rPr>
      </w:pPr>
    </w:p>
    <w:sectPr w:rsidR="00B75EE2" w:rsidRPr="00B75EE2" w:rsidSect="0040489D">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762BC" w14:textId="77777777" w:rsidR="00E032F8" w:rsidRDefault="00E032F8" w:rsidP="00082E0E">
      <w:r>
        <w:separator/>
      </w:r>
    </w:p>
  </w:endnote>
  <w:endnote w:type="continuationSeparator" w:id="0">
    <w:p w14:paraId="2530165B" w14:textId="77777777" w:rsidR="00E032F8" w:rsidRDefault="00E032F8" w:rsidP="0008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Std Medium">
    <w:altName w:val="Cambria"/>
    <w:panose1 w:val="020B0602020204020303"/>
    <w:charset w:val="B1"/>
    <w:family w:val="swiss"/>
    <w:pitch w:val="variable"/>
    <w:sig w:usb0="80000867" w:usb1="00000000" w:usb2="00000000" w:usb3="00000000" w:csb0="000001FB"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2833512"/>
      <w:docPartObj>
        <w:docPartGallery w:val="Page Numbers (Bottom of Page)"/>
        <w:docPartUnique/>
      </w:docPartObj>
    </w:sdtPr>
    <w:sdtContent>
      <w:p w14:paraId="77689B13" w14:textId="6B8DBA7C" w:rsidR="00082E0E" w:rsidRDefault="00082E0E" w:rsidP="001837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34011315"/>
      <w:docPartObj>
        <w:docPartGallery w:val="Page Numbers (Bottom of Page)"/>
        <w:docPartUnique/>
      </w:docPartObj>
    </w:sdtPr>
    <w:sdtContent>
      <w:p w14:paraId="2C2A3525" w14:textId="0CF1EADE" w:rsidR="00082E0E" w:rsidRDefault="00082E0E" w:rsidP="001837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DAD4FF" w14:textId="77777777" w:rsidR="00082E0E" w:rsidRDefault="00082E0E" w:rsidP="00082E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0330330"/>
      <w:docPartObj>
        <w:docPartGallery w:val="Page Numbers (Bottom of Page)"/>
        <w:docPartUnique/>
      </w:docPartObj>
    </w:sdtPr>
    <w:sdtContent>
      <w:p w14:paraId="3E5D2023" w14:textId="086AC752" w:rsidR="00082E0E" w:rsidRDefault="00082E0E" w:rsidP="00082E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FF5B44" w14:textId="77777777" w:rsidR="00082E0E" w:rsidRDefault="00082E0E" w:rsidP="00082E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6046" w14:textId="77777777" w:rsidR="00E032F8" w:rsidRDefault="00E032F8" w:rsidP="00082E0E">
      <w:r>
        <w:separator/>
      </w:r>
    </w:p>
  </w:footnote>
  <w:footnote w:type="continuationSeparator" w:id="0">
    <w:p w14:paraId="55AA98B4" w14:textId="77777777" w:rsidR="00E032F8" w:rsidRDefault="00E032F8" w:rsidP="00082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80"/>
    <w:rsid w:val="00001820"/>
    <w:rsid w:val="00002A4F"/>
    <w:rsid w:val="00017B3D"/>
    <w:rsid w:val="00020F01"/>
    <w:rsid w:val="000217B3"/>
    <w:rsid w:val="00022578"/>
    <w:rsid w:val="00022739"/>
    <w:rsid w:val="00026334"/>
    <w:rsid w:val="000306C1"/>
    <w:rsid w:val="00031FD0"/>
    <w:rsid w:val="000330DD"/>
    <w:rsid w:val="00045DDA"/>
    <w:rsid w:val="00056085"/>
    <w:rsid w:val="0006216A"/>
    <w:rsid w:val="00073A76"/>
    <w:rsid w:val="00073E3E"/>
    <w:rsid w:val="00073F19"/>
    <w:rsid w:val="000762D4"/>
    <w:rsid w:val="00080A6D"/>
    <w:rsid w:val="000822C4"/>
    <w:rsid w:val="00082E0E"/>
    <w:rsid w:val="00082E4B"/>
    <w:rsid w:val="00083037"/>
    <w:rsid w:val="00086DE6"/>
    <w:rsid w:val="00090043"/>
    <w:rsid w:val="000900D2"/>
    <w:rsid w:val="00093B04"/>
    <w:rsid w:val="000970A4"/>
    <w:rsid w:val="000A068C"/>
    <w:rsid w:val="000A2217"/>
    <w:rsid w:val="000A351A"/>
    <w:rsid w:val="000A4C54"/>
    <w:rsid w:val="000A66BE"/>
    <w:rsid w:val="000A6ADF"/>
    <w:rsid w:val="000A7A86"/>
    <w:rsid w:val="000B114C"/>
    <w:rsid w:val="000B4D6E"/>
    <w:rsid w:val="000B5EDE"/>
    <w:rsid w:val="000B7E4E"/>
    <w:rsid w:val="000D112B"/>
    <w:rsid w:val="000D62FB"/>
    <w:rsid w:val="000D729F"/>
    <w:rsid w:val="000E38E3"/>
    <w:rsid w:val="000E3E0F"/>
    <w:rsid w:val="000F4A79"/>
    <w:rsid w:val="00101F96"/>
    <w:rsid w:val="001064BC"/>
    <w:rsid w:val="001071AE"/>
    <w:rsid w:val="00107334"/>
    <w:rsid w:val="00107355"/>
    <w:rsid w:val="0011363B"/>
    <w:rsid w:val="00123773"/>
    <w:rsid w:val="001258C3"/>
    <w:rsid w:val="00126375"/>
    <w:rsid w:val="001334AE"/>
    <w:rsid w:val="00140C13"/>
    <w:rsid w:val="00142ED8"/>
    <w:rsid w:val="00143DBC"/>
    <w:rsid w:val="001469D5"/>
    <w:rsid w:val="00146E50"/>
    <w:rsid w:val="00150DEA"/>
    <w:rsid w:val="0015115A"/>
    <w:rsid w:val="0015203C"/>
    <w:rsid w:val="001603F7"/>
    <w:rsid w:val="00162BAC"/>
    <w:rsid w:val="001643D7"/>
    <w:rsid w:val="00165A33"/>
    <w:rsid w:val="00167CF4"/>
    <w:rsid w:val="001758B9"/>
    <w:rsid w:val="00176F69"/>
    <w:rsid w:val="001771AD"/>
    <w:rsid w:val="00184EEB"/>
    <w:rsid w:val="00186284"/>
    <w:rsid w:val="00186719"/>
    <w:rsid w:val="001A1117"/>
    <w:rsid w:val="001A1214"/>
    <w:rsid w:val="001A1E1C"/>
    <w:rsid w:val="001B0FCF"/>
    <w:rsid w:val="001B30CE"/>
    <w:rsid w:val="001B4F96"/>
    <w:rsid w:val="001C3067"/>
    <w:rsid w:val="001C53E5"/>
    <w:rsid w:val="001C5590"/>
    <w:rsid w:val="001D00C6"/>
    <w:rsid w:val="001D1599"/>
    <w:rsid w:val="001D4234"/>
    <w:rsid w:val="001E20CE"/>
    <w:rsid w:val="001E4E53"/>
    <w:rsid w:val="001F0C1E"/>
    <w:rsid w:val="0020008D"/>
    <w:rsid w:val="00203C22"/>
    <w:rsid w:val="00205429"/>
    <w:rsid w:val="00216F50"/>
    <w:rsid w:val="0022003C"/>
    <w:rsid w:val="00226F44"/>
    <w:rsid w:val="00230751"/>
    <w:rsid w:val="002328FD"/>
    <w:rsid w:val="0023591A"/>
    <w:rsid w:val="002403D5"/>
    <w:rsid w:val="0024178A"/>
    <w:rsid w:val="00244BAD"/>
    <w:rsid w:val="00245C24"/>
    <w:rsid w:val="002474EB"/>
    <w:rsid w:val="00250301"/>
    <w:rsid w:val="00250DCD"/>
    <w:rsid w:val="002519AB"/>
    <w:rsid w:val="00255998"/>
    <w:rsid w:val="00263B32"/>
    <w:rsid w:val="00265060"/>
    <w:rsid w:val="002667D3"/>
    <w:rsid w:val="00271A75"/>
    <w:rsid w:val="00274536"/>
    <w:rsid w:val="002808E9"/>
    <w:rsid w:val="00281343"/>
    <w:rsid w:val="002817F1"/>
    <w:rsid w:val="00285231"/>
    <w:rsid w:val="0028780C"/>
    <w:rsid w:val="00290D49"/>
    <w:rsid w:val="0029198A"/>
    <w:rsid w:val="00292BED"/>
    <w:rsid w:val="00295671"/>
    <w:rsid w:val="00297DEF"/>
    <w:rsid w:val="002A05D0"/>
    <w:rsid w:val="002A080C"/>
    <w:rsid w:val="002A1113"/>
    <w:rsid w:val="002A4B24"/>
    <w:rsid w:val="002A70AD"/>
    <w:rsid w:val="002A76B6"/>
    <w:rsid w:val="002B0909"/>
    <w:rsid w:val="002B12CE"/>
    <w:rsid w:val="002B1AF4"/>
    <w:rsid w:val="002B2B48"/>
    <w:rsid w:val="002B5A06"/>
    <w:rsid w:val="002B5A0C"/>
    <w:rsid w:val="002B759B"/>
    <w:rsid w:val="002B78B3"/>
    <w:rsid w:val="002C0BF0"/>
    <w:rsid w:val="002C267F"/>
    <w:rsid w:val="002D04A2"/>
    <w:rsid w:val="002D09FA"/>
    <w:rsid w:val="002E67AF"/>
    <w:rsid w:val="002E7640"/>
    <w:rsid w:val="002E7C8B"/>
    <w:rsid w:val="002E7D23"/>
    <w:rsid w:val="002F1E8C"/>
    <w:rsid w:val="002F2273"/>
    <w:rsid w:val="002F2E28"/>
    <w:rsid w:val="002F4F59"/>
    <w:rsid w:val="002F697A"/>
    <w:rsid w:val="002F75CC"/>
    <w:rsid w:val="00304DAC"/>
    <w:rsid w:val="0031097C"/>
    <w:rsid w:val="00312CBF"/>
    <w:rsid w:val="003131F0"/>
    <w:rsid w:val="00314DCE"/>
    <w:rsid w:val="00320BDD"/>
    <w:rsid w:val="00324CF5"/>
    <w:rsid w:val="0032726C"/>
    <w:rsid w:val="003278B3"/>
    <w:rsid w:val="0033015F"/>
    <w:rsid w:val="00330B73"/>
    <w:rsid w:val="003315E0"/>
    <w:rsid w:val="003326E9"/>
    <w:rsid w:val="00333DB2"/>
    <w:rsid w:val="0033535F"/>
    <w:rsid w:val="003374D8"/>
    <w:rsid w:val="0034299C"/>
    <w:rsid w:val="00345A66"/>
    <w:rsid w:val="0034716B"/>
    <w:rsid w:val="00353C48"/>
    <w:rsid w:val="003556D8"/>
    <w:rsid w:val="00361BDF"/>
    <w:rsid w:val="00376B61"/>
    <w:rsid w:val="0037777B"/>
    <w:rsid w:val="00380513"/>
    <w:rsid w:val="00385002"/>
    <w:rsid w:val="00386C1B"/>
    <w:rsid w:val="00394535"/>
    <w:rsid w:val="00394555"/>
    <w:rsid w:val="00394B70"/>
    <w:rsid w:val="003957EF"/>
    <w:rsid w:val="003A0927"/>
    <w:rsid w:val="003A4EE2"/>
    <w:rsid w:val="003B17D3"/>
    <w:rsid w:val="003B283C"/>
    <w:rsid w:val="003C030B"/>
    <w:rsid w:val="003C1F70"/>
    <w:rsid w:val="003C6265"/>
    <w:rsid w:val="003D05DF"/>
    <w:rsid w:val="003D07C7"/>
    <w:rsid w:val="003D15A6"/>
    <w:rsid w:val="003D1CAB"/>
    <w:rsid w:val="003D231A"/>
    <w:rsid w:val="003D4377"/>
    <w:rsid w:val="003D48D4"/>
    <w:rsid w:val="003E0675"/>
    <w:rsid w:val="003E3355"/>
    <w:rsid w:val="003E4FAB"/>
    <w:rsid w:val="003F5411"/>
    <w:rsid w:val="003F6E60"/>
    <w:rsid w:val="003F71F2"/>
    <w:rsid w:val="004013C1"/>
    <w:rsid w:val="00401430"/>
    <w:rsid w:val="00401DA2"/>
    <w:rsid w:val="00402BE7"/>
    <w:rsid w:val="00402F68"/>
    <w:rsid w:val="0040489D"/>
    <w:rsid w:val="00404D05"/>
    <w:rsid w:val="00405BDF"/>
    <w:rsid w:val="00420920"/>
    <w:rsid w:val="00425C17"/>
    <w:rsid w:val="00432596"/>
    <w:rsid w:val="0043525C"/>
    <w:rsid w:val="004362FD"/>
    <w:rsid w:val="00443E98"/>
    <w:rsid w:val="00445F10"/>
    <w:rsid w:val="004548B3"/>
    <w:rsid w:val="00455777"/>
    <w:rsid w:val="004679DF"/>
    <w:rsid w:val="00470BF8"/>
    <w:rsid w:val="00471568"/>
    <w:rsid w:val="00473EE0"/>
    <w:rsid w:val="004855E2"/>
    <w:rsid w:val="00485D9E"/>
    <w:rsid w:val="0048713A"/>
    <w:rsid w:val="00491480"/>
    <w:rsid w:val="00491A40"/>
    <w:rsid w:val="00492C48"/>
    <w:rsid w:val="00495CDE"/>
    <w:rsid w:val="00497E8E"/>
    <w:rsid w:val="004A08D9"/>
    <w:rsid w:val="004A4463"/>
    <w:rsid w:val="004A52E0"/>
    <w:rsid w:val="004A6AB5"/>
    <w:rsid w:val="004A6D1C"/>
    <w:rsid w:val="004A6F7F"/>
    <w:rsid w:val="004B1094"/>
    <w:rsid w:val="004B1E36"/>
    <w:rsid w:val="004B1FB9"/>
    <w:rsid w:val="004B2030"/>
    <w:rsid w:val="004B7187"/>
    <w:rsid w:val="004C0276"/>
    <w:rsid w:val="004C4688"/>
    <w:rsid w:val="004C4AAC"/>
    <w:rsid w:val="004D0D53"/>
    <w:rsid w:val="004D2310"/>
    <w:rsid w:val="004D60B5"/>
    <w:rsid w:val="004E1D89"/>
    <w:rsid w:val="004E1F52"/>
    <w:rsid w:val="004E31A7"/>
    <w:rsid w:val="004F1269"/>
    <w:rsid w:val="004F1DEE"/>
    <w:rsid w:val="004F6BEA"/>
    <w:rsid w:val="00504FD4"/>
    <w:rsid w:val="00507FD0"/>
    <w:rsid w:val="005222E6"/>
    <w:rsid w:val="00522569"/>
    <w:rsid w:val="005333D7"/>
    <w:rsid w:val="00533912"/>
    <w:rsid w:val="0053690B"/>
    <w:rsid w:val="00537BE0"/>
    <w:rsid w:val="00540528"/>
    <w:rsid w:val="00543251"/>
    <w:rsid w:val="00544670"/>
    <w:rsid w:val="00545540"/>
    <w:rsid w:val="0055125D"/>
    <w:rsid w:val="00553E30"/>
    <w:rsid w:val="00563F25"/>
    <w:rsid w:val="00567870"/>
    <w:rsid w:val="005725F6"/>
    <w:rsid w:val="00575189"/>
    <w:rsid w:val="00575592"/>
    <w:rsid w:val="005776C0"/>
    <w:rsid w:val="00580164"/>
    <w:rsid w:val="0058077F"/>
    <w:rsid w:val="00582C39"/>
    <w:rsid w:val="00583CDF"/>
    <w:rsid w:val="005845E3"/>
    <w:rsid w:val="0058539C"/>
    <w:rsid w:val="0058638D"/>
    <w:rsid w:val="0059254F"/>
    <w:rsid w:val="00594E7A"/>
    <w:rsid w:val="005979F2"/>
    <w:rsid w:val="005A0C47"/>
    <w:rsid w:val="005A2014"/>
    <w:rsid w:val="005A499E"/>
    <w:rsid w:val="005A6888"/>
    <w:rsid w:val="005B114A"/>
    <w:rsid w:val="005B3493"/>
    <w:rsid w:val="005B3B22"/>
    <w:rsid w:val="005B56FB"/>
    <w:rsid w:val="005B67EA"/>
    <w:rsid w:val="005B6B05"/>
    <w:rsid w:val="005C5222"/>
    <w:rsid w:val="005D2615"/>
    <w:rsid w:val="005D3EE2"/>
    <w:rsid w:val="005E02AD"/>
    <w:rsid w:val="005E4549"/>
    <w:rsid w:val="005F16F8"/>
    <w:rsid w:val="005F2029"/>
    <w:rsid w:val="005F4897"/>
    <w:rsid w:val="0060008D"/>
    <w:rsid w:val="00600592"/>
    <w:rsid w:val="00603E27"/>
    <w:rsid w:val="0060711C"/>
    <w:rsid w:val="00611145"/>
    <w:rsid w:val="00611DC1"/>
    <w:rsid w:val="00622A7D"/>
    <w:rsid w:val="006243B6"/>
    <w:rsid w:val="0062666B"/>
    <w:rsid w:val="00631D33"/>
    <w:rsid w:val="006404B9"/>
    <w:rsid w:val="00645C6B"/>
    <w:rsid w:val="006512F3"/>
    <w:rsid w:val="0066103B"/>
    <w:rsid w:val="006655B4"/>
    <w:rsid w:val="00667786"/>
    <w:rsid w:val="00673157"/>
    <w:rsid w:val="00675ACA"/>
    <w:rsid w:val="00676D0A"/>
    <w:rsid w:val="00677C91"/>
    <w:rsid w:val="00680D70"/>
    <w:rsid w:val="00681462"/>
    <w:rsid w:val="00681606"/>
    <w:rsid w:val="00682E10"/>
    <w:rsid w:val="00683458"/>
    <w:rsid w:val="006866CC"/>
    <w:rsid w:val="006A129D"/>
    <w:rsid w:val="006B52F9"/>
    <w:rsid w:val="006B56E5"/>
    <w:rsid w:val="006C110F"/>
    <w:rsid w:val="006C2178"/>
    <w:rsid w:val="006C2EC7"/>
    <w:rsid w:val="006C611E"/>
    <w:rsid w:val="006D4E19"/>
    <w:rsid w:val="006D521F"/>
    <w:rsid w:val="006E1FC2"/>
    <w:rsid w:val="006E43F4"/>
    <w:rsid w:val="006E7D1B"/>
    <w:rsid w:val="006F25F3"/>
    <w:rsid w:val="006F49E7"/>
    <w:rsid w:val="006F6945"/>
    <w:rsid w:val="006F7CAC"/>
    <w:rsid w:val="007066D6"/>
    <w:rsid w:val="00710714"/>
    <w:rsid w:val="007125B6"/>
    <w:rsid w:val="00714E09"/>
    <w:rsid w:val="00716E62"/>
    <w:rsid w:val="00720ED8"/>
    <w:rsid w:val="00722CA3"/>
    <w:rsid w:val="00726AB5"/>
    <w:rsid w:val="007307ED"/>
    <w:rsid w:val="007359C9"/>
    <w:rsid w:val="00740269"/>
    <w:rsid w:val="0074340B"/>
    <w:rsid w:val="00746061"/>
    <w:rsid w:val="00746532"/>
    <w:rsid w:val="00747156"/>
    <w:rsid w:val="00747B96"/>
    <w:rsid w:val="00747DBC"/>
    <w:rsid w:val="0075329F"/>
    <w:rsid w:val="00754053"/>
    <w:rsid w:val="00757528"/>
    <w:rsid w:val="0076102C"/>
    <w:rsid w:val="007648A1"/>
    <w:rsid w:val="00773A9C"/>
    <w:rsid w:val="0077769D"/>
    <w:rsid w:val="00780829"/>
    <w:rsid w:val="00781080"/>
    <w:rsid w:val="00783B57"/>
    <w:rsid w:val="007860BB"/>
    <w:rsid w:val="00786601"/>
    <w:rsid w:val="00791DF3"/>
    <w:rsid w:val="0079787F"/>
    <w:rsid w:val="007A2996"/>
    <w:rsid w:val="007A2B29"/>
    <w:rsid w:val="007A67B8"/>
    <w:rsid w:val="007B307C"/>
    <w:rsid w:val="007B45D5"/>
    <w:rsid w:val="007B486A"/>
    <w:rsid w:val="007C04B2"/>
    <w:rsid w:val="007C24F2"/>
    <w:rsid w:val="007C38FE"/>
    <w:rsid w:val="007D2FF6"/>
    <w:rsid w:val="007D6604"/>
    <w:rsid w:val="007D6F54"/>
    <w:rsid w:val="007D781E"/>
    <w:rsid w:val="007E38FC"/>
    <w:rsid w:val="007E3A1F"/>
    <w:rsid w:val="007F0656"/>
    <w:rsid w:val="007F261E"/>
    <w:rsid w:val="007F6A05"/>
    <w:rsid w:val="00802721"/>
    <w:rsid w:val="00803FF6"/>
    <w:rsid w:val="0080784A"/>
    <w:rsid w:val="0080795A"/>
    <w:rsid w:val="0081344D"/>
    <w:rsid w:val="00813BE1"/>
    <w:rsid w:val="008167CA"/>
    <w:rsid w:val="00820EC0"/>
    <w:rsid w:val="00831B54"/>
    <w:rsid w:val="00834DEB"/>
    <w:rsid w:val="00840789"/>
    <w:rsid w:val="008413C6"/>
    <w:rsid w:val="00844E5F"/>
    <w:rsid w:val="00846C02"/>
    <w:rsid w:val="00853BE7"/>
    <w:rsid w:val="008545A1"/>
    <w:rsid w:val="008575E7"/>
    <w:rsid w:val="00860EC2"/>
    <w:rsid w:val="00861A35"/>
    <w:rsid w:val="00861C42"/>
    <w:rsid w:val="00862098"/>
    <w:rsid w:val="008625BF"/>
    <w:rsid w:val="00867943"/>
    <w:rsid w:val="00867AD3"/>
    <w:rsid w:val="00871281"/>
    <w:rsid w:val="00874348"/>
    <w:rsid w:val="008765ED"/>
    <w:rsid w:val="00877CAC"/>
    <w:rsid w:val="0088179C"/>
    <w:rsid w:val="0088281C"/>
    <w:rsid w:val="00882A74"/>
    <w:rsid w:val="0088732E"/>
    <w:rsid w:val="0089129A"/>
    <w:rsid w:val="00896348"/>
    <w:rsid w:val="008967BA"/>
    <w:rsid w:val="008A10F3"/>
    <w:rsid w:val="008A2793"/>
    <w:rsid w:val="008A4809"/>
    <w:rsid w:val="008A4BDD"/>
    <w:rsid w:val="008A5625"/>
    <w:rsid w:val="008A6512"/>
    <w:rsid w:val="008B5DA7"/>
    <w:rsid w:val="008B71BE"/>
    <w:rsid w:val="008B7C9D"/>
    <w:rsid w:val="008C13AC"/>
    <w:rsid w:val="008D07BA"/>
    <w:rsid w:val="008D1F04"/>
    <w:rsid w:val="008D2219"/>
    <w:rsid w:val="008E3B08"/>
    <w:rsid w:val="008E5846"/>
    <w:rsid w:val="008F430C"/>
    <w:rsid w:val="0090113A"/>
    <w:rsid w:val="0090368F"/>
    <w:rsid w:val="009075E1"/>
    <w:rsid w:val="009102A6"/>
    <w:rsid w:val="009117BB"/>
    <w:rsid w:val="00912B18"/>
    <w:rsid w:val="009148A3"/>
    <w:rsid w:val="00916760"/>
    <w:rsid w:val="0092075B"/>
    <w:rsid w:val="009234C7"/>
    <w:rsid w:val="0092536A"/>
    <w:rsid w:val="00931A29"/>
    <w:rsid w:val="009356C7"/>
    <w:rsid w:val="00937330"/>
    <w:rsid w:val="009420BF"/>
    <w:rsid w:val="009431A6"/>
    <w:rsid w:val="00944A16"/>
    <w:rsid w:val="009502DB"/>
    <w:rsid w:val="0095764F"/>
    <w:rsid w:val="0096405C"/>
    <w:rsid w:val="009679B2"/>
    <w:rsid w:val="00970F15"/>
    <w:rsid w:val="00973136"/>
    <w:rsid w:val="0097421E"/>
    <w:rsid w:val="00977AB4"/>
    <w:rsid w:val="00981F90"/>
    <w:rsid w:val="00982F8E"/>
    <w:rsid w:val="0098314B"/>
    <w:rsid w:val="009905F3"/>
    <w:rsid w:val="009910CF"/>
    <w:rsid w:val="009933CE"/>
    <w:rsid w:val="0099414D"/>
    <w:rsid w:val="00995594"/>
    <w:rsid w:val="009A5F62"/>
    <w:rsid w:val="009B1805"/>
    <w:rsid w:val="009B1A26"/>
    <w:rsid w:val="009B3196"/>
    <w:rsid w:val="009B5681"/>
    <w:rsid w:val="009B6F71"/>
    <w:rsid w:val="009B7BF3"/>
    <w:rsid w:val="009C67E3"/>
    <w:rsid w:val="009D32B7"/>
    <w:rsid w:val="009D35D5"/>
    <w:rsid w:val="009E073E"/>
    <w:rsid w:val="009E1727"/>
    <w:rsid w:val="009E5A1E"/>
    <w:rsid w:val="009E6F08"/>
    <w:rsid w:val="009E774A"/>
    <w:rsid w:val="009E788D"/>
    <w:rsid w:val="009F3A3B"/>
    <w:rsid w:val="009F4813"/>
    <w:rsid w:val="009F744B"/>
    <w:rsid w:val="00A12C76"/>
    <w:rsid w:val="00A15683"/>
    <w:rsid w:val="00A177EC"/>
    <w:rsid w:val="00A21B58"/>
    <w:rsid w:val="00A30A76"/>
    <w:rsid w:val="00A44445"/>
    <w:rsid w:val="00A45EC3"/>
    <w:rsid w:val="00A50180"/>
    <w:rsid w:val="00A55A0E"/>
    <w:rsid w:val="00A574A7"/>
    <w:rsid w:val="00A62A5E"/>
    <w:rsid w:val="00A71AB1"/>
    <w:rsid w:val="00A73DA4"/>
    <w:rsid w:val="00A7458E"/>
    <w:rsid w:val="00A878D8"/>
    <w:rsid w:val="00AA0339"/>
    <w:rsid w:val="00AA0C06"/>
    <w:rsid w:val="00AA2EFF"/>
    <w:rsid w:val="00AA3F57"/>
    <w:rsid w:val="00AA6216"/>
    <w:rsid w:val="00AB1118"/>
    <w:rsid w:val="00AB58FB"/>
    <w:rsid w:val="00AB7705"/>
    <w:rsid w:val="00AC0075"/>
    <w:rsid w:val="00AC054F"/>
    <w:rsid w:val="00AC184E"/>
    <w:rsid w:val="00AC1BDD"/>
    <w:rsid w:val="00AC1EB3"/>
    <w:rsid w:val="00AC5562"/>
    <w:rsid w:val="00AC6EE3"/>
    <w:rsid w:val="00AC7793"/>
    <w:rsid w:val="00AD3195"/>
    <w:rsid w:val="00AD5F36"/>
    <w:rsid w:val="00AD698F"/>
    <w:rsid w:val="00AD6997"/>
    <w:rsid w:val="00AE7DA8"/>
    <w:rsid w:val="00AF6722"/>
    <w:rsid w:val="00AF6BC9"/>
    <w:rsid w:val="00B00A0C"/>
    <w:rsid w:val="00B00E81"/>
    <w:rsid w:val="00B138EF"/>
    <w:rsid w:val="00B21409"/>
    <w:rsid w:val="00B21711"/>
    <w:rsid w:val="00B31924"/>
    <w:rsid w:val="00B40473"/>
    <w:rsid w:val="00B438E4"/>
    <w:rsid w:val="00B47FFC"/>
    <w:rsid w:val="00B51245"/>
    <w:rsid w:val="00B52E82"/>
    <w:rsid w:val="00B54CBF"/>
    <w:rsid w:val="00B5748C"/>
    <w:rsid w:val="00B62304"/>
    <w:rsid w:val="00B628FB"/>
    <w:rsid w:val="00B66502"/>
    <w:rsid w:val="00B6701F"/>
    <w:rsid w:val="00B742A5"/>
    <w:rsid w:val="00B75EE2"/>
    <w:rsid w:val="00B770C7"/>
    <w:rsid w:val="00B82ECC"/>
    <w:rsid w:val="00B85C6D"/>
    <w:rsid w:val="00B86770"/>
    <w:rsid w:val="00B93EB9"/>
    <w:rsid w:val="00B96A01"/>
    <w:rsid w:val="00B96F23"/>
    <w:rsid w:val="00BA1FD9"/>
    <w:rsid w:val="00BA224B"/>
    <w:rsid w:val="00BA30E3"/>
    <w:rsid w:val="00BA5227"/>
    <w:rsid w:val="00BA5980"/>
    <w:rsid w:val="00BA6202"/>
    <w:rsid w:val="00BA7C04"/>
    <w:rsid w:val="00BB15BF"/>
    <w:rsid w:val="00BB38E9"/>
    <w:rsid w:val="00BC0D23"/>
    <w:rsid w:val="00BC11A9"/>
    <w:rsid w:val="00BC151C"/>
    <w:rsid w:val="00BC6CC3"/>
    <w:rsid w:val="00BD2ADD"/>
    <w:rsid w:val="00BD3E45"/>
    <w:rsid w:val="00BD4933"/>
    <w:rsid w:val="00BD7053"/>
    <w:rsid w:val="00BD71ED"/>
    <w:rsid w:val="00BD7AB8"/>
    <w:rsid w:val="00BE143F"/>
    <w:rsid w:val="00BE5555"/>
    <w:rsid w:val="00BF05A1"/>
    <w:rsid w:val="00BF598C"/>
    <w:rsid w:val="00BF74EF"/>
    <w:rsid w:val="00BF7C1C"/>
    <w:rsid w:val="00C05668"/>
    <w:rsid w:val="00C1436C"/>
    <w:rsid w:val="00C17C98"/>
    <w:rsid w:val="00C2384D"/>
    <w:rsid w:val="00C3135A"/>
    <w:rsid w:val="00C31625"/>
    <w:rsid w:val="00C3435E"/>
    <w:rsid w:val="00C40430"/>
    <w:rsid w:val="00C42CE8"/>
    <w:rsid w:val="00C463A2"/>
    <w:rsid w:val="00C46C71"/>
    <w:rsid w:val="00C4791A"/>
    <w:rsid w:val="00C47BEE"/>
    <w:rsid w:val="00C47E25"/>
    <w:rsid w:val="00C50065"/>
    <w:rsid w:val="00C563F6"/>
    <w:rsid w:val="00C56D05"/>
    <w:rsid w:val="00C62628"/>
    <w:rsid w:val="00C63BCC"/>
    <w:rsid w:val="00C65319"/>
    <w:rsid w:val="00C674DD"/>
    <w:rsid w:val="00C71288"/>
    <w:rsid w:val="00C74899"/>
    <w:rsid w:val="00C82CF7"/>
    <w:rsid w:val="00C831E2"/>
    <w:rsid w:val="00C86E9D"/>
    <w:rsid w:val="00C93BDF"/>
    <w:rsid w:val="00CA0E69"/>
    <w:rsid w:val="00CA176B"/>
    <w:rsid w:val="00CA69A7"/>
    <w:rsid w:val="00CB01F9"/>
    <w:rsid w:val="00CB027E"/>
    <w:rsid w:val="00CB041D"/>
    <w:rsid w:val="00CB51CB"/>
    <w:rsid w:val="00CD1857"/>
    <w:rsid w:val="00CD7ECB"/>
    <w:rsid w:val="00CE01EF"/>
    <w:rsid w:val="00CE2EFB"/>
    <w:rsid w:val="00CE5590"/>
    <w:rsid w:val="00CF1CAC"/>
    <w:rsid w:val="00CF351A"/>
    <w:rsid w:val="00CF67EA"/>
    <w:rsid w:val="00D0329D"/>
    <w:rsid w:val="00D049C7"/>
    <w:rsid w:val="00D04BFD"/>
    <w:rsid w:val="00D13E8E"/>
    <w:rsid w:val="00D15618"/>
    <w:rsid w:val="00D1618B"/>
    <w:rsid w:val="00D16618"/>
    <w:rsid w:val="00D1706A"/>
    <w:rsid w:val="00D247F1"/>
    <w:rsid w:val="00D30E27"/>
    <w:rsid w:val="00D32237"/>
    <w:rsid w:val="00D32697"/>
    <w:rsid w:val="00D3440F"/>
    <w:rsid w:val="00D351AB"/>
    <w:rsid w:val="00D367B7"/>
    <w:rsid w:val="00D41F46"/>
    <w:rsid w:val="00D43F3C"/>
    <w:rsid w:val="00D451D2"/>
    <w:rsid w:val="00D46B0F"/>
    <w:rsid w:val="00D4713F"/>
    <w:rsid w:val="00D508D4"/>
    <w:rsid w:val="00D52D17"/>
    <w:rsid w:val="00D52F81"/>
    <w:rsid w:val="00D63B39"/>
    <w:rsid w:val="00D63D58"/>
    <w:rsid w:val="00D6447C"/>
    <w:rsid w:val="00D66CF4"/>
    <w:rsid w:val="00D67BE5"/>
    <w:rsid w:val="00D72D7F"/>
    <w:rsid w:val="00D74431"/>
    <w:rsid w:val="00D845A0"/>
    <w:rsid w:val="00D86D15"/>
    <w:rsid w:val="00D91B23"/>
    <w:rsid w:val="00DA226C"/>
    <w:rsid w:val="00DA3F87"/>
    <w:rsid w:val="00DB0704"/>
    <w:rsid w:val="00DB27B4"/>
    <w:rsid w:val="00DB4EB5"/>
    <w:rsid w:val="00DB568B"/>
    <w:rsid w:val="00DB5CB3"/>
    <w:rsid w:val="00DC029C"/>
    <w:rsid w:val="00DC43E1"/>
    <w:rsid w:val="00DC55FA"/>
    <w:rsid w:val="00DD01F8"/>
    <w:rsid w:val="00DD2E49"/>
    <w:rsid w:val="00DD6CBC"/>
    <w:rsid w:val="00DE07E4"/>
    <w:rsid w:val="00DE16AC"/>
    <w:rsid w:val="00DE46A5"/>
    <w:rsid w:val="00DF003D"/>
    <w:rsid w:val="00E000D4"/>
    <w:rsid w:val="00E021C8"/>
    <w:rsid w:val="00E032F8"/>
    <w:rsid w:val="00E065F2"/>
    <w:rsid w:val="00E0695E"/>
    <w:rsid w:val="00E11E85"/>
    <w:rsid w:val="00E15310"/>
    <w:rsid w:val="00E20097"/>
    <w:rsid w:val="00E2494A"/>
    <w:rsid w:val="00E2507B"/>
    <w:rsid w:val="00E308F9"/>
    <w:rsid w:val="00E50825"/>
    <w:rsid w:val="00E5177C"/>
    <w:rsid w:val="00E53483"/>
    <w:rsid w:val="00E54453"/>
    <w:rsid w:val="00E5519B"/>
    <w:rsid w:val="00E62606"/>
    <w:rsid w:val="00E72780"/>
    <w:rsid w:val="00E73465"/>
    <w:rsid w:val="00E74BBF"/>
    <w:rsid w:val="00E75772"/>
    <w:rsid w:val="00E767ED"/>
    <w:rsid w:val="00E77699"/>
    <w:rsid w:val="00E832EF"/>
    <w:rsid w:val="00E859DB"/>
    <w:rsid w:val="00E91588"/>
    <w:rsid w:val="00E92B7B"/>
    <w:rsid w:val="00E92E8C"/>
    <w:rsid w:val="00E930ED"/>
    <w:rsid w:val="00E97D7E"/>
    <w:rsid w:val="00EA34CA"/>
    <w:rsid w:val="00EA7293"/>
    <w:rsid w:val="00EB06B9"/>
    <w:rsid w:val="00EB129D"/>
    <w:rsid w:val="00EB3231"/>
    <w:rsid w:val="00EB6FAA"/>
    <w:rsid w:val="00EC13FA"/>
    <w:rsid w:val="00EC2007"/>
    <w:rsid w:val="00EC29E3"/>
    <w:rsid w:val="00EC421E"/>
    <w:rsid w:val="00EC48A8"/>
    <w:rsid w:val="00EC497D"/>
    <w:rsid w:val="00EC7659"/>
    <w:rsid w:val="00EC7F65"/>
    <w:rsid w:val="00ED02E9"/>
    <w:rsid w:val="00ED31D6"/>
    <w:rsid w:val="00ED375D"/>
    <w:rsid w:val="00ED4667"/>
    <w:rsid w:val="00ED7FBB"/>
    <w:rsid w:val="00EE1E02"/>
    <w:rsid w:val="00EE3036"/>
    <w:rsid w:val="00EE447F"/>
    <w:rsid w:val="00EE4BA8"/>
    <w:rsid w:val="00EE77D7"/>
    <w:rsid w:val="00EF7657"/>
    <w:rsid w:val="00EF7A78"/>
    <w:rsid w:val="00F02091"/>
    <w:rsid w:val="00F02273"/>
    <w:rsid w:val="00F04525"/>
    <w:rsid w:val="00F052E7"/>
    <w:rsid w:val="00F05CB0"/>
    <w:rsid w:val="00F1005D"/>
    <w:rsid w:val="00F102F5"/>
    <w:rsid w:val="00F10F12"/>
    <w:rsid w:val="00F24958"/>
    <w:rsid w:val="00F25A7B"/>
    <w:rsid w:val="00F3296D"/>
    <w:rsid w:val="00F34851"/>
    <w:rsid w:val="00F35D68"/>
    <w:rsid w:val="00F3660A"/>
    <w:rsid w:val="00F40E20"/>
    <w:rsid w:val="00F41641"/>
    <w:rsid w:val="00F42770"/>
    <w:rsid w:val="00F45700"/>
    <w:rsid w:val="00F46AE8"/>
    <w:rsid w:val="00F540D0"/>
    <w:rsid w:val="00F617D6"/>
    <w:rsid w:val="00F6370D"/>
    <w:rsid w:val="00F637A2"/>
    <w:rsid w:val="00F63B34"/>
    <w:rsid w:val="00F71E02"/>
    <w:rsid w:val="00F74DF4"/>
    <w:rsid w:val="00F76713"/>
    <w:rsid w:val="00F768A7"/>
    <w:rsid w:val="00F80D64"/>
    <w:rsid w:val="00F80F96"/>
    <w:rsid w:val="00F841FB"/>
    <w:rsid w:val="00F8427E"/>
    <w:rsid w:val="00F85453"/>
    <w:rsid w:val="00F86974"/>
    <w:rsid w:val="00F90567"/>
    <w:rsid w:val="00F930E3"/>
    <w:rsid w:val="00F957C6"/>
    <w:rsid w:val="00F961BB"/>
    <w:rsid w:val="00F97BC9"/>
    <w:rsid w:val="00FA02DE"/>
    <w:rsid w:val="00FA419C"/>
    <w:rsid w:val="00FA47CD"/>
    <w:rsid w:val="00FA4C2F"/>
    <w:rsid w:val="00FB139A"/>
    <w:rsid w:val="00FB2783"/>
    <w:rsid w:val="00FB39DF"/>
    <w:rsid w:val="00FB483C"/>
    <w:rsid w:val="00FB78DF"/>
    <w:rsid w:val="00FC13ED"/>
    <w:rsid w:val="00FC1405"/>
    <w:rsid w:val="00FC25E8"/>
    <w:rsid w:val="00FC2EEC"/>
    <w:rsid w:val="00FC5A1C"/>
    <w:rsid w:val="00FC6EFD"/>
    <w:rsid w:val="00FD23D1"/>
    <w:rsid w:val="00FD546A"/>
    <w:rsid w:val="00FD6056"/>
    <w:rsid w:val="00FD638F"/>
    <w:rsid w:val="00FD7A4D"/>
    <w:rsid w:val="00FE0CE1"/>
    <w:rsid w:val="00FE4132"/>
    <w:rsid w:val="00FE5C5A"/>
    <w:rsid w:val="00FE6725"/>
    <w:rsid w:val="00FE7CC1"/>
    <w:rsid w:val="00FF019D"/>
    <w:rsid w:val="00FF29B9"/>
    <w:rsid w:val="00FF7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406CE2"/>
  <w15:chartTrackingRefBased/>
  <w15:docId w15:val="{62D254EF-B94F-C64E-972A-E322177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5EE2"/>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50180"/>
    <w:pPr>
      <w:pBdr>
        <w:top w:val="nil"/>
        <w:left w:val="nil"/>
        <w:bottom w:val="nil"/>
        <w:right w:val="nil"/>
        <w:between w:val="nil"/>
        <w:bar w:val="nil"/>
      </w:pBdr>
      <w:spacing w:after="200" w:line="276" w:lineRule="auto"/>
      <w:jc w:val="both"/>
    </w:pPr>
    <w:rPr>
      <w:rFonts w:ascii="Calibri" w:eastAsia="Calibri" w:hAnsi="Calibri" w:cs="Calibri"/>
      <w:color w:val="000000"/>
      <w:kern w:val="0"/>
      <w:sz w:val="20"/>
      <w:szCs w:val="20"/>
      <w:u w:color="000000"/>
      <w:bdr w:val="nil"/>
      <w14:ligatures w14:val="none"/>
    </w:rPr>
  </w:style>
  <w:style w:type="paragraph" w:styleId="ListParagraph">
    <w:name w:val="List Paragraph"/>
    <w:basedOn w:val="Normal"/>
    <w:qFormat/>
    <w:rsid w:val="00A50180"/>
    <w:pPr>
      <w:spacing w:after="200" w:line="276" w:lineRule="auto"/>
      <w:ind w:left="720"/>
      <w:contextualSpacing/>
    </w:pPr>
    <w:rPr>
      <w:kern w:val="0"/>
      <w:sz w:val="22"/>
      <w:szCs w:val="22"/>
      <w14:ligatures w14:val="none"/>
    </w:rPr>
  </w:style>
  <w:style w:type="paragraph" w:customStyle="1" w:styleId="Default">
    <w:name w:val="Default"/>
    <w:rsid w:val="00A50180"/>
    <w:pPr>
      <w:autoSpaceDE w:val="0"/>
      <w:autoSpaceDN w:val="0"/>
      <w:adjustRightInd w:val="0"/>
    </w:pPr>
    <w:rPr>
      <w:rFonts w:ascii="Futura Std Medium" w:eastAsia="Times New Roman" w:hAnsi="Futura Std Medium" w:cs="Futura Std Medium"/>
      <w:color w:val="000000"/>
      <w:kern w:val="0"/>
      <w14:ligatures w14:val="none"/>
    </w:rPr>
  </w:style>
  <w:style w:type="character" w:styleId="CommentReference">
    <w:name w:val="annotation reference"/>
    <w:basedOn w:val="DefaultParagraphFont"/>
    <w:uiPriority w:val="99"/>
    <w:semiHidden/>
    <w:unhideWhenUsed/>
    <w:rsid w:val="00473EE0"/>
    <w:rPr>
      <w:sz w:val="16"/>
      <w:szCs w:val="16"/>
    </w:rPr>
  </w:style>
  <w:style w:type="character" w:customStyle="1" w:styleId="Heading1Char">
    <w:name w:val="Heading 1 Char"/>
    <w:basedOn w:val="DefaultParagraphFont"/>
    <w:link w:val="Heading1"/>
    <w:uiPriority w:val="9"/>
    <w:rsid w:val="00B75EE2"/>
    <w:rPr>
      <w:rFonts w:ascii="Times New Roman" w:eastAsia="Times New Roman" w:hAnsi="Times New Roman" w:cs="Times New Roman"/>
      <w:b/>
      <w:bCs/>
      <w:kern w:val="36"/>
      <w:sz w:val="48"/>
      <w:szCs w:val="48"/>
      <w14:ligatures w14:val="none"/>
    </w:rPr>
  </w:style>
  <w:style w:type="character" w:customStyle="1" w:styleId="base">
    <w:name w:val="base"/>
    <w:basedOn w:val="DefaultParagraphFont"/>
    <w:rsid w:val="00B75EE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Footer">
    <w:name w:val="footer"/>
    <w:basedOn w:val="Normal"/>
    <w:link w:val="FooterChar"/>
    <w:uiPriority w:val="99"/>
    <w:unhideWhenUsed/>
    <w:rsid w:val="00082E0E"/>
    <w:pPr>
      <w:tabs>
        <w:tab w:val="center" w:pos="4680"/>
        <w:tab w:val="right" w:pos="9360"/>
      </w:tabs>
    </w:pPr>
  </w:style>
  <w:style w:type="character" w:customStyle="1" w:styleId="FooterChar">
    <w:name w:val="Footer Char"/>
    <w:basedOn w:val="DefaultParagraphFont"/>
    <w:link w:val="Footer"/>
    <w:uiPriority w:val="99"/>
    <w:rsid w:val="00082E0E"/>
  </w:style>
  <w:style w:type="character" w:styleId="PageNumber">
    <w:name w:val="page number"/>
    <w:basedOn w:val="DefaultParagraphFont"/>
    <w:uiPriority w:val="99"/>
    <w:semiHidden/>
    <w:unhideWhenUsed/>
    <w:rsid w:val="00082E0E"/>
  </w:style>
  <w:style w:type="paragraph" w:styleId="Header">
    <w:name w:val="header"/>
    <w:basedOn w:val="Normal"/>
    <w:link w:val="HeaderChar"/>
    <w:uiPriority w:val="99"/>
    <w:unhideWhenUsed/>
    <w:rsid w:val="00082E0E"/>
    <w:pPr>
      <w:tabs>
        <w:tab w:val="center" w:pos="4680"/>
        <w:tab w:val="right" w:pos="9360"/>
      </w:tabs>
    </w:pPr>
  </w:style>
  <w:style w:type="character" w:customStyle="1" w:styleId="HeaderChar">
    <w:name w:val="Header Char"/>
    <w:basedOn w:val="DefaultParagraphFont"/>
    <w:link w:val="Header"/>
    <w:uiPriority w:val="99"/>
    <w:rsid w:val="00082E0E"/>
  </w:style>
  <w:style w:type="paragraph" w:styleId="Revision">
    <w:name w:val="Revision"/>
    <w:hidden/>
    <w:uiPriority w:val="99"/>
    <w:semiHidden/>
    <w:rsid w:val="004C0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10337">
      <w:bodyDiv w:val="1"/>
      <w:marLeft w:val="0"/>
      <w:marRight w:val="0"/>
      <w:marTop w:val="0"/>
      <w:marBottom w:val="0"/>
      <w:divBdr>
        <w:top w:val="none" w:sz="0" w:space="0" w:color="auto"/>
        <w:left w:val="none" w:sz="0" w:space="0" w:color="auto"/>
        <w:bottom w:val="none" w:sz="0" w:space="0" w:color="auto"/>
        <w:right w:val="none" w:sz="0" w:space="0" w:color="auto"/>
      </w:divBdr>
      <w:divsChild>
        <w:div w:id="580871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9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Violaine Harris</dc:creator>
  <cp:keywords/>
  <dc:description/>
  <cp:lastModifiedBy>Violaine Harris</cp:lastModifiedBy>
  <cp:revision>6</cp:revision>
  <dcterms:created xsi:type="dcterms:W3CDTF">2024-03-12T14:35:00Z</dcterms:created>
  <dcterms:modified xsi:type="dcterms:W3CDTF">2024-03-22T21:26:00Z</dcterms:modified>
</cp:coreProperties>
</file>